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70F1F" w14:textId="77777777">
      <w:pPr>
        <w:pStyle w:val="Cm"/>
      </w:pPr>
      <w:r>
        <w:rPr>
          <w:noProof/>
        </w:rPr>
        <w:drawing>
          <wp:anchor distT="0" distB="0" distL="114300" distR="114300" simplePos="0" relativeHeight="251687936" behindDoc="0" locked="0" layoutInCell="1" allowOverlap="1" wp14:anchorId="753F6D74" wp14:editId="1D56F7AD">
            <wp:simplePos x="905774" y="715992"/>
            <wp:positionH relativeFrom="margin">
              <wp:align>center</wp:align>
            </wp:positionH>
            <wp:positionV relativeFrom="margin">
              <wp:posOffset>0</wp:posOffset>
            </wp:positionV>
            <wp:extent cx="5000400" cy="3963600"/>
            <wp:effectExtent l="0" t="0" r="0"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0400" cy="3963600"/>
                    </a:xfrm>
                    <a:prstGeom prst="rect">
                      <a:avLst/>
                    </a:prstGeom>
                    <a:noFill/>
                    <a:ln>
                      <a:noFill/>
                    </a:ln>
                  </pic:spPr>
                </pic:pic>
              </a:graphicData>
            </a:graphic>
            <wp14:sizeRelH relativeFrom="margin">
              <wp14:pctWidth>0</wp14:pctWidth>
            </wp14:sizeRelH>
            <wp14:sizeRelV relativeFrom="margin">
              <wp14:pctHeight>0</wp14:pctHeight>
            </wp14:sizeRelV>
          </wp:anchor>
        </w:drawing>
      </w:r>
      <w:r>
        <w:t>Encoding Guide</w:t>
      </w:r>
      <w:r>
        <w:br/>
      </w:r>
      <w:r>
        <w:rPr>
          <w:sz w:val="72"/>
          <w:szCs w:val="72"/>
        </w:rPr>
        <w:t>for Documentary Editions</w:t>
      </w:r>
    </w:p>
    <w:p w14:paraId="3BBC0103" w14:textId="77777777">
      <w:pPr>
        <w:pStyle w:val="Frontmatter"/>
      </w:pPr>
      <w:bookmarkStart w:id="0" w:name="_nlm3dlptfwlj" w:colFirst="0" w:colLast="0"/>
      <w:bookmarkStart w:id="1" w:name="_Hlk19355849"/>
      <w:bookmarkEnd w:id="0"/>
      <w:bookmarkEnd w:id="1"/>
      <w:r>
        <w:t>Dániel Balogh &amp; Arlo Griffiths</w:t>
      </w:r>
    </w:p>
    <w:p w14:paraId="367FA788" w14:textId="77777777">
      <w:pPr>
        <w:pStyle w:val="Frontmatter"/>
      </w:pPr>
    </w:p>
    <w:p w14:paraId="5A4AE545" w14:textId="063730A4">
      <w:pPr>
        <w:pStyle w:val="Frontmatter"/>
      </w:pPr>
      <w:bookmarkStart w:id="2" w:name="_6uvsaj3wvd38" w:colFirst="0" w:colLast="0"/>
      <w:bookmarkStart w:id="3" w:name="_4s3elmevh075" w:colFirst="0" w:colLast="0"/>
      <w:bookmarkEnd w:id="2"/>
      <w:bookmarkEnd w:id="3"/>
      <w:r>
        <w:t xml:space="preserve"> Version 2, 2026</w:t>
      </w:r>
    </w:p>
    <w:p w14:paraId="064A723E" w14:textId="77777777">
      <w:pPr>
        <w:pStyle w:val="Frontmatter"/>
        <w:spacing w:before="200"/>
      </w:pPr>
      <w:r>
        <w:rPr>
          <w:noProof/>
        </w:rPr>
        <w:drawing>
          <wp:anchor distT="0" distB="0" distL="114300" distR="114300" simplePos="0" relativeHeight="251686912" behindDoc="1" locked="0" layoutInCell="1" allowOverlap="1" wp14:anchorId="2C685721" wp14:editId="39E35811">
            <wp:simplePos x="0" y="0"/>
            <wp:positionH relativeFrom="margin">
              <wp:posOffset>1856105</wp:posOffset>
            </wp:positionH>
            <wp:positionV relativeFrom="bottomMargin">
              <wp:posOffset>-3090384</wp:posOffset>
            </wp:positionV>
            <wp:extent cx="2407920" cy="2415540"/>
            <wp:effectExtent l="0" t="0" r="0" b="3810"/>
            <wp:wrapNone/>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07920" cy="2415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0D76C2" w14:textId="77777777">
      <w:pPr>
        <w:pStyle w:val="Frontmatter"/>
      </w:pPr>
    </w:p>
    <w:p w14:paraId="2C91E032" w14:textId="77777777">
      <w:pPr>
        <w:pStyle w:val="Frontmatter"/>
      </w:pPr>
    </w:p>
    <w:p w14:paraId="7352B168" w14:textId="77777777">
      <w:pPr>
        <w:pStyle w:val="Frontmatter"/>
      </w:pPr>
    </w:p>
    <w:p w14:paraId="466CDB6A" w14:textId="77777777">
      <w:pPr>
        <w:pStyle w:val="Frontmatter"/>
      </w:pPr>
    </w:p>
    <w:p w14:paraId="592A5C6E" w14:textId="77777777">
      <w:pPr>
        <w:pStyle w:val="Frontmatter"/>
      </w:pPr>
    </w:p>
    <w:p w14:paraId="4928C984" w14:textId="77777777">
      <w:pPr>
        <w:pStyle w:val="Frontmatter"/>
      </w:pPr>
    </w:p>
    <w:p w14:paraId="3CC7B9D3" w14:textId="77777777">
      <w:pPr>
        <w:pStyle w:val="Frontmatter"/>
      </w:pPr>
    </w:p>
    <w:p w14:paraId="5530AA91" w14:textId="77777777">
      <w:pPr>
        <w:pStyle w:val="Frontmatter"/>
      </w:pPr>
    </w:p>
    <w:p w14:paraId="470C717D" w14:textId="77777777">
      <w:pPr>
        <w:pStyle w:val="Frontmatter"/>
      </w:pPr>
    </w:p>
    <w:p w14:paraId="436AA911" w14:textId="77777777">
      <w:pPr>
        <w:pStyle w:val="Frontmatter"/>
      </w:pPr>
      <w:bookmarkStart w:id="4" w:name="_Hlk44316166"/>
      <w:r>
        <w:t>This project has received funding from the European Research Council (ERC)</w:t>
      </w:r>
      <w:r>
        <w:br/>
        <w:t>under the European Union’s Horizon 2020 research and innovation programme</w:t>
      </w:r>
      <w:r>
        <w:br/>
        <w:t>(grant agreement No 809994).</w:t>
      </w:r>
    </w:p>
    <w:p w14:paraId="6DE4D727" w14:textId="77777777">
      <w:pPr>
        <w:pStyle w:val="Cm"/>
      </w:pPr>
      <w:bookmarkStart w:id="5" w:name="_62ze56ka8a10" w:colFirst="0" w:colLast="0"/>
      <w:bookmarkEnd w:id="4"/>
      <w:bookmarkEnd w:id="5"/>
      <w:r>
        <w:lastRenderedPageBreak/>
        <w:t>Contents</w:t>
      </w:r>
    </w:p>
    <w:p w14:paraId="3F2C0E46" w14:textId="050E6C5C">
      <w:pPr>
        <w:pStyle w:val="TJ1"/>
        <w:rPr>
          <w:rFonts w:asciiTheme="minorHAnsi" w:hAnsiTheme="minorHAnsi" w:cstheme="minorBidi"/>
          <w:b w:val="0"/>
          <w:noProof/>
          <w:sz w:val="24"/>
          <w:szCs w:val="21"/>
          <w:lang w:eastAsia="en-GB" w:bidi="sa-IN"/>
        </w:rPr>
      </w:pPr>
      <w:r>
        <w:rPr>
          <w:rFonts w:asciiTheme="majorHAnsi" w:hAnsiTheme="majorHAnsi"/>
          <w:b w:val="0"/>
          <w:sz w:val="18"/>
        </w:rPr>
        <w:fldChar w:fldCharType="begin"/>
      </w:r>
      <w:r>
        <w:instrText xml:space="preserve"> TOC \o "3-3" \h \z \t "Címsor 1,1,Címsor 2,2" </w:instrText>
      </w:r>
      <w:r>
        <w:rPr>
          <w:rFonts w:asciiTheme="majorHAnsi" w:hAnsiTheme="majorHAnsi"/>
          <w:b w:val="0"/>
          <w:sz w:val="18"/>
        </w:rPr>
        <w:fldChar w:fldCharType="separate"/>
      </w:r>
      <w:hyperlink w:anchor="_Toc243900224" w:history="1">
        <w:r>
          <w:rPr>
            <w:rStyle w:val="Hiperhivatkozs"/>
            <w:noProof/>
            <w:lang w:bidi="ar-SA"/>
          </w:rPr>
          <w:t>1. Introduction</w:t>
        </w:r>
        <w:r>
          <w:rPr>
            <w:noProof/>
            <w:webHidden/>
          </w:rPr>
          <w:tab/>
        </w:r>
        <w:r>
          <w:rPr>
            <w:noProof/>
            <w:webHidden/>
          </w:rPr>
          <w:fldChar w:fldCharType="begin"/>
        </w:r>
        <w:r>
          <w:rPr>
            <w:noProof/>
            <w:webHidden/>
          </w:rPr>
          <w:instrText xml:space="preserve"> PAGEREF _Toc243900224 \h </w:instrText>
        </w:r>
        <w:r>
          <w:rPr>
            <w:noProof/>
            <w:webHidden/>
          </w:rPr>
        </w:r>
        <w:r>
          <w:rPr>
            <w:noProof/>
            <w:webHidden/>
          </w:rPr>
          <w:fldChar w:fldCharType="separate"/>
        </w:r>
        <w:r>
          <w:rPr>
            <w:noProof/>
            <w:webHidden/>
          </w:rPr>
          <w:t>6</w:t>
        </w:r>
        <w:r>
          <w:rPr>
            <w:noProof/>
            <w:webHidden/>
          </w:rPr>
          <w:fldChar w:fldCharType="end"/>
        </w:r>
      </w:hyperlink>
    </w:p>
    <w:p w14:paraId="182C628F" w14:textId="12063B18">
      <w:pPr>
        <w:pStyle w:val="TJ2"/>
        <w:rPr>
          <w:rFonts w:asciiTheme="minorHAnsi" w:hAnsiTheme="minorHAnsi" w:cstheme="minorBidi"/>
          <w:noProof/>
          <w:sz w:val="24"/>
          <w:szCs w:val="21"/>
          <w:lang w:eastAsia="en-GB" w:bidi="sa-IN"/>
        </w:rPr>
      </w:pPr>
      <w:hyperlink w:anchor="_Toc243900225" w:history="1">
        <w:r>
          <w:rPr>
            <w:rStyle w:val="Hiperhivatkozs"/>
            <w:noProof/>
            <w:lang w:bidi="ar-SA"/>
          </w:rPr>
          <w:t>1.1. Version history</w:t>
        </w:r>
        <w:r>
          <w:rPr>
            <w:noProof/>
            <w:webHidden/>
          </w:rPr>
          <w:tab/>
        </w:r>
        <w:r>
          <w:rPr>
            <w:noProof/>
            <w:webHidden/>
          </w:rPr>
          <w:fldChar w:fldCharType="begin"/>
        </w:r>
        <w:r>
          <w:rPr>
            <w:noProof/>
            <w:webHidden/>
          </w:rPr>
          <w:instrText xml:space="preserve"> PAGEREF _Toc243900225 \h </w:instrText>
        </w:r>
        <w:r>
          <w:rPr>
            <w:noProof/>
            <w:webHidden/>
          </w:rPr>
        </w:r>
        <w:r>
          <w:rPr>
            <w:noProof/>
            <w:webHidden/>
          </w:rPr>
          <w:fldChar w:fldCharType="separate"/>
        </w:r>
        <w:r>
          <w:rPr>
            <w:noProof/>
            <w:webHidden/>
          </w:rPr>
          <w:t>6</w:t>
        </w:r>
        <w:r>
          <w:rPr>
            <w:noProof/>
            <w:webHidden/>
          </w:rPr>
          <w:fldChar w:fldCharType="end"/>
        </w:r>
      </w:hyperlink>
    </w:p>
    <w:p w14:paraId="79CDB43B" w14:textId="2372DF8B">
      <w:pPr>
        <w:pStyle w:val="TJ3"/>
        <w:rPr>
          <w:rFonts w:asciiTheme="minorHAnsi" w:hAnsiTheme="minorHAnsi" w:cstheme="minorBidi"/>
          <w:noProof/>
          <w:sz w:val="24"/>
          <w:szCs w:val="21"/>
          <w:lang w:eastAsia="en-GB" w:bidi="sa-IN"/>
        </w:rPr>
      </w:pPr>
      <w:hyperlink w:anchor="_Toc243900226" w:history="1">
        <w:r>
          <w:rPr>
            <w:rStyle w:val="Hiperhivatkozs"/>
            <w:noProof/>
            <w:lang w:bidi="ar-SA"/>
          </w:rPr>
          <w:t>1.1.1. About this version and how it relates to other versions</w:t>
        </w:r>
        <w:r>
          <w:rPr>
            <w:noProof/>
            <w:webHidden/>
          </w:rPr>
          <w:tab/>
        </w:r>
        <w:r>
          <w:rPr>
            <w:noProof/>
            <w:webHidden/>
          </w:rPr>
          <w:fldChar w:fldCharType="begin"/>
        </w:r>
        <w:r>
          <w:rPr>
            <w:noProof/>
            <w:webHidden/>
          </w:rPr>
          <w:instrText xml:space="preserve"> PAGEREF _Toc243900226 \h </w:instrText>
        </w:r>
        <w:r>
          <w:rPr>
            <w:noProof/>
            <w:webHidden/>
          </w:rPr>
        </w:r>
        <w:r>
          <w:rPr>
            <w:noProof/>
            <w:webHidden/>
          </w:rPr>
          <w:fldChar w:fldCharType="separate"/>
        </w:r>
        <w:r>
          <w:rPr>
            <w:noProof/>
            <w:webHidden/>
          </w:rPr>
          <w:t>6</w:t>
        </w:r>
        <w:r>
          <w:rPr>
            <w:noProof/>
            <w:webHidden/>
          </w:rPr>
          <w:fldChar w:fldCharType="end"/>
        </w:r>
      </w:hyperlink>
    </w:p>
    <w:p w14:paraId="638822AF" w14:textId="7532C4A5">
      <w:pPr>
        <w:pStyle w:val="TJ2"/>
        <w:rPr>
          <w:rFonts w:asciiTheme="minorHAnsi" w:hAnsiTheme="minorHAnsi" w:cstheme="minorBidi"/>
          <w:noProof/>
          <w:sz w:val="24"/>
          <w:szCs w:val="21"/>
          <w:lang w:eastAsia="en-GB" w:bidi="sa-IN"/>
        </w:rPr>
      </w:pPr>
      <w:hyperlink w:anchor="_Toc243900227" w:history="1">
        <w:r>
          <w:rPr>
            <w:rStyle w:val="Hiperhivatkozs"/>
            <w:noProof/>
            <w:lang w:bidi="ar-SA"/>
          </w:rPr>
          <w:t>1.2. Acknowledgements</w:t>
        </w:r>
        <w:r>
          <w:rPr>
            <w:noProof/>
            <w:webHidden/>
          </w:rPr>
          <w:tab/>
        </w:r>
        <w:r>
          <w:rPr>
            <w:noProof/>
            <w:webHidden/>
          </w:rPr>
          <w:fldChar w:fldCharType="begin"/>
        </w:r>
        <w:r>
          <w:rPr>
            <w:noProof/>
            <w:webHidden/>
          </w:rPr>
          <w:instrText xml:space="preserve"> PAGEREF _Toc243900227 \h </w:instrText>
        </w:r>
        <w:r>
          <w:rPr>
            <w:noProof/>
            <w:webHidden/>
          </w:rPr>
        </w:r>
        <w:r>
          <w:rPr>
            <w:noProof/>
            <w:webHidden/>
          </w:rPr>
          <w:fldChar w:fldCharType="separate"/>
        </w:r>
        <w:r>
          <w:rPr>
            <w:noProof/>
            <w:webHidden/>
          </w:rPr>
          <w:t>6</w:t>
        </w:r>
        <w:r>
          <w:rPr>
            <w:noProof/>
            <w:webHidden/>
          </w:rPr>
          <w:fldChar w:fldCharType="end"/>
        </w:r>
      </w:hyperlink>
    </w:p>
    <w:p w14:paraId="78A77919" w14:textId="499A39BA">
      <w:pPr>
        <w:pStyle w:val="TJ2"/>
        <w:rPr>
          <w:rFonts w:asciiTheme="minorHAnsi" w:hAnsiTheme="minorHAnsi" w:cstheme="minorBidi"/>
          <w:noProof/>
          <w:sz w:val="24"/>
          <w:szCs w:val="21"/>
          <w:lang w:eastAsia="en-GB" w:bidi="sa-IN"/>
        </w:rPr>
      </w:pPr>
      <w:hyperlink w:anchor="_Toc243900228" w:history="1">
        <w:r>
          <w:rPr>
            <w:rStyle w:val="Hiperhivatkozs"/>
            <w:noProof/>
            <w:lang w:bidi="ar-SA"/>
          </w:rPr>
          <w:t>1.3. Scope</w:t>
        </w:r>
        <w:r>
          <w:rPr>
            <w:noProof/>
            <w:webHidden/>
          </w:rPr>
          <w:tab/>
        </w:r>
        <w:r>
          <w:rPr>
            <w:noProof/>
            <w:webHidden/>
          </w:rPr>
          <w:fldChar w:fldCharType="begin"/>
        </w:r>
        <w:r>
          <w:rPr>
            <w:noProof/>
            <w:webHidden/>
          </w:rPr>
          <w:instrText xml:space="preserve"> PAGEREF _Toc243900228 \h </w:instrText>
        </w:r>
        <w:r>
          <w:rPr>
            <w:noProof/>
            <w:webHidden/>
          </w:rPr>
        </w:r>
        <w:r>
          <w:rPr>
            <w:noProof/>
            <w:webHidden/>
          </w:rPr>
          <w:fldChar w:fldCharType="separate"/>
        </w:r>
        <w:r>
          <w:rPr>
            <w:noProof/>
            <w:webHidden/>
          </w:rPr>
          <w:t>6</w:t>
        </w:r>
        <w:r>
          <w:rPr>
            <w:noProof/>
            <w:webHidden/>
          </w:rPr>
          <w:fldChar w:fldCharType="end"/>
        </w:r>
      </w:hyperlink>
    </w:p>
    <w:p w14:paraId="4BDDB901" w14:textId="3294D7CA">
      <w:pPr>
        <w:pStyle w:val="TJ2"/>
        <w:rPr>
          <w:rFonts w:asciiTheme="minorHAnsi" w:hAnsiTheme="minorHAnsi" w:cstheme="minorBidi"/>
          <w:noProof/>
          <w:sz w:val="24"/>
          <w:szCs w:val="21"/>
          <w:lang w:eastAsia="en-GB" w:bidi="sa-IN"/>
        </w:rPr>
      </w:pPr>
      <w:hyperlink w:anchor="_Toc243900229" w:history="1">
        <w:r>
          <w:rPr>
            <w:rStyle w:val="Hiperhivatkozs"/>
            <w:noProof/>
            <w:lang w:bidi="ar-SA"/>
          </w:rPr>
          <w:t>1.4. Further reading</w:t>
        </w:r>
        <w:r>
          <w:rPr>
            <w:noProof/>
            <w:webHidden/>
          </w:rPr>
          <w:tab/>
        </w:r>
        <w:r>
          <w:rPr>
            <w:noProof/>
            <w:webHidden/>
          </w:rPr>
          <w:fldChar w:fldCharType="begin"/>
        </w:r>
        <w:r>
          <w:rPr>
            <w:noProof/>
            <w:webHidden/>
          </w:rPr>
          <w:instrText xml:space="preserve"> PAGEREF _Toc243900229 \h </w:instrText>
        </w:r>
        <w:r>
          <w:rPr>
            <w:noProof/>
            <w:webHidden/>
          </w:rPr>
        </w:r>
        <w:r>
          <w:rPr>
            <w:noProof/>
            <w:webHidden/>
          </w:rPr>
          <w:fldChar w:fldCharType="separate"/>
        </w:r>
        <w:r>
          <w:rPr>
            <w:noProof/>
            <w:webHidden/>
          </w:rPr>
          <w:t>7</w:t>
        </w:r>
        <w:r>
          <w:rPr>
            <w:noProof/>
            <w:webHidden/>
          </w:rPr>
          <w:fldChar w:fldCharType="end"/>
        </w:r>
      </w:hyperlink>
    </w:p>
    <w:p w14:paraId="140F3E32" w14:textId="62EE8E82">
      <w:pPr>
        <w:pStyle w:val="TJ2"/>
        <w:rPr>
          <w:rFonts w:asciiTheme="minorHAnsi" w:hAnsiTheme="minorHAnsi" w:cstheme="minorBidi"/>
          <w:noProof/>
          <w:sz w:val="24"/>
          <w:szCs w:val="21"/>
          <w:lang w:eastAsia="en-GB" w:bidi="sa-IN"/>
        </w:rPr>
      </w:pPr>
      <w:hyperlink w:anchor="_Toc243900230" w:history="1">
        <w:r>
          <w:rPr>
            <w:rStyle w:val="Hiperhivatkozs"/>
            <w:noProof/>
            <w:lang w:bidi="ar-SA"/>
          </w:rPr>
          <w:t>1.5. Software</w:t>
        </w:r>
        <w:r>
          <w:rPr>
            <w:noProof/>
            <w:webHidden/>
          </w:rPr>
          <w:tab/>
        </w:r>
        <w:r>
          <w:rPr>
            <w:noProof/>
            <w:webHidden/>
          </w:rPr>
          <w:fldChar w:fldCharType="begin"/>
        </w:r>
        <w:r>
          <w:rPr>
            <w:noProof/>
            <w:webHidden/>
          </w:rPr>
          <w:instrText xml:space="preserve"> PAGEREF _Toc243900230 \h </w:instrText>
        </w:r>
        <w:r>
          <w:rPr>
            <w:noProof/>
            <w:webHidden/>
          </w:rPr>
        </w:r>
        <w:r>
          <w:rPr>
            <w:noProof/>
            <w:webHidden/>
          </w:rPr>
          <w:fldChar w:fldCharType="separate"/>
        </w:r>
        <w:r>
          <w:rPr>
            <w:noProof/>
            <w:webHidden/>
          </w:rPr>
          <w:t>7</w:t>
        </w:r>
        <w:r>
          <w:rPr>
            <w:noProof/>
            <w:webHidden/>
          </w:rPr>
          <w:fldChar w:fldCharType="end"/>
        </w:r>
      </w:hyperlink>
    </w:p>
    <w:p w14:paraId="27D1CE0C" w14:textId="011C9684">
      <w:pPr>
        <w:pStyle w:val="TJ2"/>
        <w:rPr>
          <w:rFonts w:asciiTheme="minorHAnsi" w:hAnsiTheme="minorHAnsi" w:cstheme="minorBidi"/>
          <w:noProof/>
          <w:sz w:val="24"/>
          <w:szCs w:val="21"/>
          <w:lang w:eastAsia="en-GB" w:bidi="sa-IN"/>
        </w:rPr>
      </w:pPr>
      <w:hyperlink w:anchor="_Toc243900231" w:history="1">
        <w:r>
          <w:rPr>
            <w:rStyle w:val="Hiperhivatkozs"/>
            <w:noProof/>
            <w:lang w:bidi="ar-SA"/>
          </w:rPr>
          <w:t>1.6. Note on the examples</w:t>
        </w:r>
        <w:r>
          <w:rPr>
            <w:noProof/>
            <w:webHidden/>
          </w:rPr>
          <w:tab/>
        </w:r>
        <w:r>
          <w:rPr>
            <w:noProof/>
            <w:webHidden/>
          </w:rPr>
          <w:fldChar w:fldCharType="begin"/>
        </w:r>
        <w:r>
          <w:rPr>
            <w:noProof/>
            <w:webHidden/>
          </w:rPr>
          <w:instrText xml:space="preserve"> PAGEREF _Toc243900231 \h </w:instrText>
        </w:r>
        <w:r>
          <w:rPr>
            <w:noProof/>
            <w:webHidden/>
          </w:rPr>
        </w:r>
        <w:r>
          <w:rPr>
            <w:noProof/>
            <w:webHidden/>
          </w:rPr>
          <w:fldChar w:fldCharType="separate"/>
        </w:r>
        <w:r>
          <w:rPr>
            <w:noProof/>
            <w:webHidden/>
          </w:rPr>
          <w:t>7</w:t>
        </w:r>
        <w:r>
          <w:rPr>
            <w:noProof/>
            <w:webHidden/>
          </w:rPr>
          <w:fldChar w:fldCharType="end"/>
        </w:r>
      </w:hyperlink>
    </w:p>
    <w:p w14:paraId="36DA5995" w14:textId="2AC954BE">
      <w:pPr>
        <w:pStyle w:val="TJ2"/>
        <w:rPr>
          <w:rFonts w:asciiTheme="minorHAnsi" w:hAnsiTheme="minorHAnsi" w:cstheme="minorBidi"/>
          <w:noProof/>
          <w:sz w:val="24"/>
          <w:szCs w:val="21"/>
          <w:lang w:eastAsia="en-GB" w:bidi="sa-IN"/>
        </w:rPr>
      </w:pPr>
      <w:hyperlink w:anchor="_Toc243900232" w:history="1">
        <w:r>
          <w:rPr>
            <w:rStyle w:val="Hiperhivatkozs"/>
            <w:noProof/>
            <w:lang w:bidi="ar-SA"/>
          </w:rPr>
          <w:t>1.7. Abbreviations</w:t>
        </w:r>
        <w:r>
          <w:rPr>
            <w:noProof/>
            <w:webHidden/>
          </w:rPr>
          <w:tab/>
        </w:r>
        <w:r>
          <w:rPr>
            <w:noProof/>
            <w:webHidden/>
          </w:rPr>
          <w:fldChar w:fldCharType="begin"/>
        </w:r>
        <w:r>
          <w:rPr>
            <w:noProof/>
            <w:webHidden/>
          </w:rPr>
          <w:instrText xml:space="preserve"> PAGEREF _Toc243900232 \h </w:instrText>
        </w:r>
        <w:r>
          <w:rPr>
            <w:noProof/>
            <w:webHidden/>
          </w:rPr>
        </w:r>
        <w:r>
          <w:rPr>
            <w:noProof/>
            <w:webHidden/>
          </w:rPr>
          <w:fldChar w:fldCharType="separate"/>
        </w:r>
        <w:r>
          <w:rPr>
            <w:noProof/>
            <w:webHidden/>
          </w:rPr>
          <w:t>8</w:t>
        </w:r>
        <w:r>
          <w:rPr>
            <w:noProof/>
            <w:webHidden/>
          </w:rPr>
          <w:fldChar w:fldCharType="end"/>
        </w:r>
      </w:hyperlink>
    </w:p>
    <w:p w14:paraId="71AB7DF2" w14:textId="7E93FA92">
      <w:pPr>
        <w:pStyle w:val="TJ1"/>
        <w:rPr>
          <w:rFonts w:asciiTheme="minorHAnsi" w:hAnsiTheme="minorHAnsi" w:cstheme="minorBidi"/>
          <w:b w:val="0"/>
          <w:noProof/>
          <w:sz w:val="24"/>
          <w:szCs w:val="21"/>
          <w:lang w:eastAsia="en-GB" w:bidi="sa-IN"/>
        </w:rPr>
      </w:pPr>
      <w:hyperlink w:anchor="_Toc243900233" w:history="1">
        <w:r>
          <w:rPr>
            <w:rStyle w:val="Hiperhivatkozs"/>
            <w:noProof/>
            <w:lang w:bidi="ar-SA"/>
          </w:rPr>
          <w:t>2. Theoretical framework</w:t>
        </w:r>
        <w:r>
          <w:rPr>
            <w:noProof/>
            <w:webHidden/>
          </w:rPr>
          <w:tab/>
        </w:r>
        <w:r>
          <w:rPr>
            <w:noProof/>
            <w:webHidden/>
          </w:rPr>
          <w:fldChar w:fldCharType="begin"/>
        </w:r>
        <w:r>
          <w:rPr>
            <w:noProof/>
            <w:webHidden/>
          </w:rPr>
          <w:instrText xml:space="preserve"> PAGEREF _Toc243900233 \h </w:instrText>
        </w:r>
        <w:r>
          <w:rPr>
            <w:noProof/>
            <w:webHidden/>
          </w:rPr>
        </w:r>
        <w:r>
          <w:rPr>
            <w:noProof/>
            <w:webHidden/>
          </w:rPr>
          <w:fldChar w:fldCharType="separate"/>
        </w:r>
        <w:r>
          <w:rPr>
            <w:noProof/>
            <w:webHidden/>
          </w:rPr>
          <w:t>9</w:t>
        </w:r>
        <w:r>
          <w:rPr>
            <w:noProof/>
            <w:webHidden/>
          </w:rPr>
          <w:fldChar w:fldCharType="end"/>
        </w:r>
      </w:hyperlink>
    </w:p>
    <w:p w14:paraId="5B0B9E6E" w14:textId="4C30FFF6">
      <w:pPr>
        <w:pStyle w:val="TJ2"/>
        <w:rPr>
          <w:rFonts w:asciiTheme="minorHAnsi" w:hAnsiTheme="minorHAnsi" w:cstheme="minorBidi"/>
          <w:noProof/>
          <w:sz w:val="24"/>
          <w:szCs w:val="21"/>
          <w:lang w:eastAsia="en-GB" w:bidi="sa-IN"/>
        </w:rPr>
      </w:pPr>
      <w:hyperlink w:anchor="_Toc243900234" w:history="1">
        <w:r>
          <w:rPr>
            <w:rStyle w:val="Hiperhivatkozs"/>
            <w:noProof/>
            <w:lang w:bidi="ar-SA"/>
          </w:rPr>
          <w:t>2.1. Terminology for the analysis of writing</w:t>
        </w:r>
        <w:r>
          <w:rPr>
            <w:noProof/>
            <w:webHidden/>
          </w:rPr>
          <w:tab/>
        </w:r>
        <w:r>
          <w:rPr>
            <w:noProof/>
            <w:webHidden/>
          </w:rPr>
          <w:fldChar w:fldCharType="begin"/>
        </w:r>
        <w:r>
          <w:rPr>
            <w:noProof/>
            <w:webHidden/>
          </w:rPr>
          <w:instrText xml:space="preserve"> PAGEREF _Toc243900234 \h </w:instrText>
        </w:r>
        <w:r>
          <w:rPr>
            <w:noProof/>
            <w:webHidden/>
          </w:rPr>
        </w:r>
        <w:r>
          <w:rPr>
            <w:noProof/>
            <w:webHidden/>
          </w:rPr>
          <w:fldChar w:fldCharType="separate"/>
        </w:r>
        <w:r>
          <w:rPr>
            <w:noProof/>
            <w:webHidden/>
          </w:rPr>
          <w:t>9</w:t>
        </w:r>
        <w:r>
          <w:rPr>
            <w:noProof/>
            <w:webHidden/>
          </w:rPr>
          <w:fldChar w:fldCharType="end"/>
        </w:r>
      </w:hyperlink>
    </w:p>
    <w:p w14:paraId="67C9C2FE" w14:textId="1EC700E2">
      <w:pPr>
        <w:pStyle w:val="TJ2"/>
        <w:rPr>
          <w:rFonts w:asciiTheme="minorHAnsi" w:hAnsiTheme="minorHAnsi" w:cstheme="minorBidi"/>
          <w:noProof/>
          <w:sz w:val="24"/>
          <w:szCs w:val="21"/>
          <w:lang w:eastAsia="en-GB" w:bidi="sa-IN"/>
        </w:rPr>
      </w:pPr>
      <w:hyperlink w:anchor="_Toc243900235" w:history="1">
        <w:r>
          <w:rPr>
            <w:rStyle w:val="Hiperhivatkozs"/>
            <w:noProof/>
            <w:lang w:bidi="ar-SA"/>
          </w:rPr>
          <w:t>2.2. Terminology for encoding</w:t>
        </w:r>
        <w:r>
          <w:rPr>
            <w:noProof/>
            <w:webHidden/>
          </w:rPr>
          <w:tab/>
        </w:r>
        <w:r>
          <w:rPr>
            <w:noProof/>
            <w:webHidden/>
          </w:rPr>
          <w:fldChar w:fldCharType="begin"/>
        </w:r>
        <w:r>
          <w:rPr>
            <w:noProof/>
            <w:webHidden/>
          </w:rPr>
          <w:instrText xml:space="preserve"> PAGEREF _Toc243900235 \h </w:instrText>
        </w:r>
        <w:r>
          <w:rPr>
            <w:noProof/>
            <w:webHidden/>
          </w:rPr>
        </w:r>
        <w:r>
          <w:rPr>
            <w:noProof/>
            <w:webHidden/>
          </w:rPr>
          <w:fldChar w:fldCharType="separate"/>
        </w:r>
        <w:r>
          <w:rPr>
            <w:noProof/>
            <w:webHidden/>
          </w:rPr>
          <w:t>10</w:t>
        </w:r>
        <w:r>
          <w:rPr>
            <w:noProof/>
            <w:webHidden/>
          </w:rPr>
          <w:fldChar w:fldCharType="end"/>
        </w:r>
      </w:hyperlink>
    </w:p>
    <w:p w14:paraId="424A6CBB" w14:textId="7BC3F610">
      <w:pPr>
        <w:pStyle w:val="TJ3"/>
        <w:rPr>
          <w:rFonts w:asciiTheme="minorHAnsi" w:hAnsiTheme="minorHAnsi" w:cstheme="minorBidi"/>
          <w:noProof/>
          <w:sz w:val="24"/>
          <w:szCs w:val="21"/>
          <w:lang w:eastAsia="en-GB" w:bidi="sa-IN"/>
        </w:rPr>
      </w:pPr>
      <w:hyperlink w:anchor="_Toc243900236" w:history="1">
        <w:r>
          <w:rPr>
            <w:rStyle w:val="Hiperhivatkozs"/>
            <w:noProof/>
            <w:lang w:bidi="ar-SA"/>
          </w:rPr>
          <w:t>2.2.1. Markup</w:t>
        </w:r>
        <w:r>
          <w:rPr>
            <w:noProof/>
            <w:webHidden/>
          </w:rPr>
          <w:tab/>
        </w:r>
        <w:r>
          <w:rPr>
            <w:noProof/>
            <w:webHidden/>
          </w:rPr>
          <w:fldChar w:fldCharType="begin"/>
        </w:r>
        <w:r>
          <w:rPr>
            <w:noProof/>
            <w:webHidden/>
          </w:rPr>
          <w:instrText xml:space="preserve"> PAGEREF _Toc243900236 \h </w:instrText>
        </w:r>
        <w:r>
          <w:rPr>
            <w:noProof/>
            <w:webHidden/>
          </w:rPr>
        </w:r>
        <w:r>
          <w:rPr>
            <w:noProof/>
            <w:webHidden/>
          </w:rPr>
          <w:fldChar w:fldCharType="separate"/>
        </w:r>
        <w:r>
          <w:rPr>
            <w:noProof/>
            <w:webHidden/>
          </w:rPr>
          <w:t>10</w:t>
        </w:r>
        <w:r>
          <w:rPr>
            <w:noProof/>
            <w:webHidden/>
          </w:rPr>
          <w:fldChar w:fldCharType="end"/>
        </w:r>
      </w:hyperlink>
    </w:p>
    <w:p w14:paraId="3C3A0F56" w14:textId="18D6E6B9">
      <w:pPr>
        <w:pStyle w:val="TJ3"/>
        <w:rPr>
          <w:rFonts w:asciiTheme="minorHAnsi" w:hAnsiTheme="minorHAnsi" w:cstheme="minorBidi"/>
          <w:noProof/>
          <w:sz w:val="24"/>
          <w:szCs w:val="21"/>
          <w:lang w:eastAsia="en-GB" w:bidi="sa-IN"/>
        </w:rPr>
      </w:pPr>
      <w:hyperlink w:anchor="_Toc243900237" w:history="1">
        <w:r>
          <w:rPr>
            <w:rStyle w:val="Hiperhivatkozs"/>
            <w:noProof/>
            <w:lang w:bidi="ar-SA"/>
          </w:rPr>
          <w:t>2.2.2. XML elements</w:t>
        </w:r>
        <w:r>
          <w:rPr>
            <w:noProof/>
            <w:webHidden/>
          </w:rPr>
          <w:tab/>
        </w:r>
        <w:r>
          <w:rPr>
            <w:noProof/>
            <w:webHidden/>
          </w:rPr>
          <w:fldChar w:fldCharType="begin"/>
        </w:r>
        <w:r>
          <w:rPr>
            <w:noProof/>
            <w:webHidden/>
          </w:rPr>
          <w:instrText xml:space="preserve"> PAGEREF _Toc243900237 \h </w:instrText>
        </w:r>
        <w:r>
          <w:rPr>
            <w:noProof/>
            <w:webHidden/>
          </w:rPr>
        </w:r>
        <w:r>
          <w:rPr>
            <w:noProof/>
            <w:webHidden/>
          </w:rPr>
          <w:fldChar w:fldCharType="separate"/>
        </w:r>
        <w:r>
          <w:rPr>
            <w:noProof/>
            <w:webHidden/>
          </w:rPr>
          <w:t>10</w:t>
        </w:r>
        <w:r>
          <w:rPr>
            <w:noProof/>
            <w:webHidden/>
          </w:rPr>
          <w:fldChar w:fldCharType="end"/>
        </w:r>
      </w:hyperlink>
    </w:p>
    <w:p w14:paraId="1A6B2212" w14:textId="3C10759E">
      <w:pPr>
        <w:pStyle w:val="TJ3"/>
        <w:rPr>
          <w:rFonts w:asciiTheme="minorHAnsi" w:hAnsiTheme="minorHAnsi" w:cstheme="minorBidi"/>
          <w:noProof/>
          <w:sz w:val="24"/>
          <w:szCs w:val="21"/>
          <w:lang w:eastAsia="en-GB" w:bidi="sa-IN"/>
        </w:rPr>
      </w:pPr>
      <w:hyperlink w:anchor="_Toc243900238" w:history="1">
        <w:r>
          <w:rPr>
            <w:rStyle w:val="Hiperhivatkozs"/>
            <w:noProof/>
            <w:lang w:bidi="ar-SA"/>
          </w:rPr>
          <w:t>2.2.3. Character entity references</w:t>
        </w:r>
        <w:r>
          <w:rPr>
            <w:noProof/>
            <w:webHidden/>
          </w:rPr>
          <w:tab/>
        </w:r>
        <w:r>
          <w:rPr>
            <w:noProof/>
            <w:webHidden/>
          </w:rPr>
          <w:fldChar w:fldCharType="begin"/>
        </w:r>
        <w:r>
          <w:rPr>
            <w:noProof/>
            <w:webHidden/>
          </w:rPr>
          <w:instrText xml:space="preserve"> PAGEREF _Toc243900238 \h </w:instrText>
        </w:r>
        <w:r>
          <w:rPr>
            <w:noProof/>
            <w:webHidden/>
          </w:rPr>
        </w:r>
        <w:r>
          <w:rPr>
            <w:noProof/>
            <w:webHidden/>
          </w:rPr>
          <w:fldChar w:fldCharType="separate"/>
        </w:r>
        <w:r>
          <w:rPr>
            <w:noProof/>
            <w:webHidden/>
          </w:rPr>
          <w:t>12</w:t>
        </w:r>
        <w:r>
          <w:rPr>
            <w:noProof/>
            <w:webHidden/>
          </w:rPr>
          <w:fldChar w:fldCharType="end"/>
        </w:r>
      </w:hyperlink>
    </w:p>
    <w:p w14:paraId="1B06DF7D" w14:textId="7BAF54FA">
      <w:pPr>
        <w:pStyle w:val="TJ3"/>
        <w:rPr>
          <w:rFonts w:asciiTheme="minorHAnsi" w:hAnsiTheme="minorHAnsi" w:cstheme="minorBidi"/>
          <w:noProof/>
          <w:sz w:val="24"/>
          <w:szCs w:val="21"/>
          <w:lang w:eastAsia="en-GB" w:bidi="sa-IN"/>
        </w:rPr>
      </w:pPr>
      <w:hyperlink w:anchor="_Toc243900239" w:history="1">
        <w:r>
          <w:rPr>
            <w:rStyle w:val="Hiperhivatkozs"/>
            <w:noProof/>
            <w:lang w:bidi="ar-SA"/>
          </w:rPr>
          <w:t>2.2.4. XML hierarchy</w:t>
        </w:r>
        <w:r>
          <w:rPr>
            <w:noProof/>
            <w:webHidden/>
          </w:rPr>
          <w:tab/>
        </w:r>
        <w:r>
          <w:rPr>
            <w:noProof/>
            <w:webHidden/>
          </w:rPr>
          <w:fldChar w:fldCharType="begin"/>
        </w:r>
        <w:r>
          <w:rPr>
            <w:noProof/>
            <w:webHidden/>
          </w:rPr>
          <w:instrText xml:space="preserve"> PAGEREF _Toc243900239 \h </w:instrText>
        </w:r>
        <w:r>
          <w:rPr>
            <w:noProof/>
            <w:webHidden/>
          </w:rPr>
        </w:r>
        <w:r>
          <w:rPr>
            <w:noProof/>
            <w:webHidden/>
          </w:rPr>
          <w:fldChar w:fldCharType="separate"/>
        </w:r>
        <w:r>
          <w:rPr>
            <w:noProof/>
            <w:webHidden/>
          </w:rPr>
          <w:t>12</w:t>
        </w:r>
        <w:r>
          <w:rPr>
            <w:noProof/>
            <w:webHidden/>
          </w:rPr>
          <w:fldChar w:fldCharType="end"/>
        </w:r>
      </w:hyperlink>
    </w:p>
    <w:p w14:paraId="71B874CE" w14:textId="34F8F8A6">
      <w:pPr>
        <w:pStyle w:val="TJ3"/>
        <w:rPr>
          <w:rFonts w:asciiTheme="minorHAnsi" w:hAnsiTheme="minorHAnsi" w:cstheme="minorBidi"/>
          <w:noProof/>
          <w:sz w:val="24"/>
          <w:szCs w:val="21"/>
          <w:lang w:eastAsia="en-GB" w:bidi="sa-IN"/>
        </w:rPr>
      </w:pPr>
      <w:hyperlink w:anchor="_Toc243900240" w:history="1">
        <w:r>
          <w:rPr>
            <w:rStyle w:val="Hiperhivatkozs"/>
            <w:noProof/>
            <w:lang w:bidi="ar-SA"/>
          </w:rPr>
          <w:t>2.2.5. Well-formedness and validity</w:t>
        </w:r>
        <w:r>
          <w:rPr>
            <w:noProof/>
            <w:webHidden/>
          </w:rPr>
          <w:tab/>
        </w:r>
        <w:r>
          <w:rPr>
            <w:noProof/>
            <w:webHidden/>
          </w:rPr>
          <w:fldChar w:fldCharType="begin"/>
        </w:r>
        <w:r>
          <w:rPr>
            <w:noProof/>
            <w:webHidden/>
          </w:rPr>
          <w:instrText xml:space="preserve"> PAGEREF _Toc243900240 \h </w:instrText>
        </w:r>
        <w:r>
          <w:rPr>
            <w:noProof/>
            <w:webHidden/>
          </w:rPr>
        </w:r>
        <w:r>
          <w:rPr>
            <w:noProof/>
            <w:webHidden/>
          </w:rPr>
          <w:fldChar w:fldCharType="separate"/>
        </w:r>
        <w:r>
          <w:rPr>
            <w:noProof/>
            <w:webHidden/>
          </w:rPr>
          <w:t>13</w:t>
        </w:r>
        <w:r>
          <w:rPr>
            <w:noProof/>
            <w:webHidden/>
          </w:rPr>
          <w:fldChar w:fldCharType="end"/>
        </w:r>
      </w:hyperlink>
    </w:p>
    <w:p w14:paraId="4C65FE18" w14:textId="7CAB6D01">
      <w:pPr>
        <w:pStyle w:val="TJ2"/>
        <w:rPr>
          <w:rFonts w:asciiTheme="minorHAnsi" w:hAnsiTheme="minorHAnsi" w:cstheme="minorBidi"/>
          <w:noProof/>
          <w:sz w:val="24"/>
          <w:szCs w:val="21"/>
          <w:lang w:eastAsia="en-GB" w:bidi="sa-IN"/>
        </w:rPr>
      </w:pPr>
      <w:hyperlink w:anchor="_Toc243900241" w:history="1">
        <w:r>
          <w:rPr>
            <w:rStyle w:val="Hiperhivatkozs"/>
            <w:noProof/>
            <w:lang w:bidi="ar-SA"/>
          </w:rPr>
          <w:t>2.3. The framework of an EpiDoc edition</w:t>
        </w:r>
        <w:r>
          <w:rPr>
            <w:noProof/>
            <w:webHidden/>
          </w:rPr>
          <w:tab/>
        </w:r>
        <w:r>
          <w:rPr>
            <w:noProof/>
            <w:webHidden/>
          </w:rPr>
          <w:fldChar w:fldCharType="begin"/>
        </w:r>
        <w:r>
          <w:rPr>
            <w:noProof/>
            <w:webHidden/>
          </w:rPr>
          <w:instrText xml:space="preserve"> PAGEREF _Toc243900241 \h </w:instrText>
        </w:r>
        <w:r>
          <w:rPr>
            <w:noProof/>
            <w:webHidden/>
          </w:rPr>
        </w:r>
        <w:r>
          <w:rPr>
            <w:noProof/>
            <w:webHidden/>
          </w:rPr>
          <w:fldChar w:fldCharType="separate"/>
        </w:r>
        <w:r>
          <w:rPr>
            <w:noProof/>
            <w:webHidden/>
          </w:rPr>
          <w:t>13</w:t>
        </w:r>
        <w:r>
          <w:rPr>
            <w:noProof/>
            <w:webHidden/>
          </w:rPr>
          <w:fldChar w:fldCharType="end"/>
        </w:r>
      </w:hyperlink>
    </w:p>
    <w:p w14:paraId="7FD1B0E9" w14:textId="248872EA">
      <w:pPr>
        <w:pStyle w:val="TJ3"/>
        <w:rPr>
          <w:rFonts w:asciiTheme="minorHAnsi" w:hAnsiTheme="minorHAnsi" w:cstheme="minorBidi"/>
          <w:noProof/>
          <w:sz w:val="24"/>
          <w:szCs w:val="21"/>
          <w:lang w:eastAsia="en-GB" w:bidi="sa-IN"/>
        </w:rPr>
      </w:pPr>
      <w:hyperlink w:anchor="_Toc243900242" w:history="1">
        <w:r>
          <w:rPr>
            <w:rStyle w:val="Hiperhivatkozs"/>
            <w:noProof/>
            <w:lang w:bidi="ar-SA"/>
          </w:rPr>
          <w:t>2.3.1. Technical specifications</w:t>
        </w:r>
        <w:r>
          <w:rPr>
            <w:noProof/>
            <w:webHidden/>
          </w:rPr>
          <w:tab/>
        </w:r>
        <w:r>
          <w:rPr>
            <w:noProof/>
            <w:webHidden/>
          </w:rPr>
          <w:fldChar w:fldCharType="begin"/>
        </w:r>
        <w:r>
          <w:rPr>
            <w:noProof/>
            <w:webHidden/>
          </w:rPr>
          <w:instrText xml:space="preserve"> PAGEREF _Toc243900242 \h </w:instrText>
        </w:r>
        <w:r>
          <w:rPr>
            <w:noProof/>
            <w:webHidden/>
          </w:rPr>
        </w:r>
        <w:r>
          <w:rPr>
            <w:noProof/>
            <w:webHidden/>
          </w:rPr>
          <w:fldChar w:fldCharType="separate"/>
        </w:r>
        <w:r>
          <w:rPr>
            <w:noProof/>
            <w:webHidden/>
          </w:rPr>
          <w:t>13</w:t>
        </w:r>
        <w:r>
          <w:rPr>
            <w:noProof/>
            <w:webHidden/>
          </w:rPr>
          <w:fldChar w:fldCharType="end"/>
        </w:r>
      </w:hyperlink>
    </w:p>
    <w:p w14:paraId="2A7CE4D0" w14:textId="0EE819AD">
      <w:pPr>
        <w:pStyle w:val="TJ3"/>
        <w:rPr>
          <w:rFonts w:asciiTheme="minorHAnsi" w:hAnsiTheme="minorHAnsi" w:cstheme="minorBidi"/>
          <w:noProof/>
          <w:sz w:val="24"/>
          <w:szCs w:val="21"/>
          <w:lang w:eastAsia="en-GB" w:bidi="sa-IN"/>
        </w:rPr>
      </w:pPr>
      <w:hyperlink w:anchor="_Toc243900243" w:history="1">
        <w:r>
          <w:rPr>
            <w:rStyle w:val="Hiperhivatkozs"/>
            <w:noProof/>
            <w:lang w:bidi="ar-SA"/>
          </w:rPr>
          <w:t>2.3.2. The TEI header</w:t>
        </w:r>
        <w:r>
          <w:rPr>
            <w:noProof/>
            <w:webHidden/>
          </w:rPr>
          <w:tab/>
        </w:r>
        <w:r>
          <w:rPr>
            <w:noProof/>
            <w:webHidden/>
          </w:rPr>
          <w:fldChar w:fldCharType="begin"/>
        </w:r>
        <w:r>
          <w:rPr>
            <w:noProof/>
            <w:webHidden/>
          </w:rPr>
          <w:instrText xml:space="preserve"> PAGEREF _Toc243900243 \h </w:instrText>
        </w:r>
        <w:r>
          <w:rPr>
            <w:noProof/>
            <w:webHidden/>
          </w:rPr>
        </w:r>
        <w:r>
          <w:rPr>
            <w:noProof/>
            <w:webHidden/>
          </w:rPr>
          <w:fldChar w:fldCharType="separate"/>
        </w:r>
        <w:r>
          <w:rPr>
            <w:noProof/>
            <w:webHidden/>
          </w:rPr>
          <w:t>14</w:t>
        </w:r>
        <w:r>
          <w:rPr>
            <w:noProof/>
            <w:webHidden/>
          </w:rPr>
          <w:fldChar w:fldCharType="end"/>
        </w:r>
      </w:hyperlink>
    </w:p>
    <w:p w14:paraId="1462D74E" w14:textId="68DCEAF8">
      <w:pPr>
        <w:pStyle w:val="TJ3"/>
        <w:rPr>
          <w:rFonts w:asciiTheme="minorHAnsi" w:hAnsiTheme="minorHAnsi" w:cstheme="minorBidi"/>
          <w:noProof/>
          <w:sz w:val="24"/>
          <w:szCs w:val="21"/>
          <w:lang w:eastAsia="en-GB" w:bidi="sa-IN"/>
        </w:rPr>
      </w:pPr>
      <w:hyperlink w:anchor="_Toc243900244" w:history="1">
        <w:r>
          <w:rPr>
            <w:rStyle w:val="Hiperhivatkozs"/>
            <w:noProof/>
            <w:lang w:bidi="ar-SA"/>
          </w:rPr>
          <w:t>2.3.3. The body of the document</w:t>
        </w:r>
        <w:r>
          <w:rPr>
            <w:noProof/>
            <w:webHidden/>
          </w:rPr>
          <w:tab/>
        </w:r>
        <w:r>
          <w:rPr>
            <w:noProof/>
            <w:webHidden/>
          </w:rPr>
          <w:fldChar w:fldCharType="begin"/>
        </w:r>
        <w:r>
          <w:rPr>
            <w:noProof/>
            <w:webHidden/>
          </w:rPr>
          <w:instrText xml:space="preserve"> PAGEREF _Toc243900244 \h </w:instrText>
        </w:r>
        <w:r>
          <w:rPr>
            <w:noProof/>
            <w:webHidden/>
          </w:rPr>
        </w:r>
        <w:r>
          <w:rPr>
            <w:noProof/>
            <w:webHidden/>
          </w:rPr>
          <w:fldChar w:fldCharType="separate"/>
        </w:r>
        <w:r>
          <w:rPr>
            <w:noProof/>
            <w:webHidden/>
          </w:rPr>
          <w:t>14</w:t>
        </w:r>
        <w:r>
          <w:rPr>
            <w:noProof/>
            <w:webHidden/>
          </w:rPr>
          <w:fldChar w:fldCharType="end"/>
        </w:r>
      </w:hyperlink>
    </w:p>
    <w:p w14:paraId="2EEA99B6" w14:textId="715EC151">
      <w:pPr>
        <w:pStyle w:val="TJ1"/>
        <w:rPr>
          <w:rFonts w:asciiTheme="minorHAnsi" w:hAnsiTheme="minorHAnsi" w:cstheme="minorBidi"/>
          <w:b w:val="0"/>
          <w:noProof/>
          <w:sz w:val="24"/>
          <w:szCs w:val="21"/>
          <w:lang w:eastAsia="en-GB" w:bidi="sa-IN"/>
        </w:rPr>
      </w:pPr>
      <w:hyperlink w:anchor="_Toc243900245" w:history="1">
        <w:r>
          <w:rPr>
            <w:rStyle w:val="Hiperhivatkozs"/>
            <w:noProof/>
            <w:lang w:bidi="ar-SA"/>
          </w:rPr>
          <w:t>3. Intrinsic structure</w:t>
        </w:r>
        <w:r>
          <w:rPr>
            <w:noProof/>
            <w:webHidden/>
          </w:rPr>
          <w:tab/>
        </w:r>
        <w:r>
          <w:rPr>
            <w:noProof/>
            <w:webHidden/>
          </w:rPr>
          <w:fldChar w:fldCharType="begin"/>
        </w:r>
        <w:r>
          <w:rPr>
            <w:noProof/>
            <w:webHidden/>
          </w:rPr>
          <w:instrText xml:space="preserve"> PAGEREF _Toc243900245 \h </w:instrText>
        </w:r>
        <w:r>
          <w:rPr>
            <w:noProof/>
            <w:webHidden/>
          </w:rPr>
        </w:r>
        <w:r>
          <w:rPr>
            <w:noProof/>
            <w:webHidden/>
          </w:rPr>
          <w:fldChar w:fldCharType="separate"/>
        </w:r>
        <w:r>
          <w:rPr>
            <w:noProof/>
            <w:webHidden/>
          </w:rPr>
          <w:t>16</w:t>
        </w:r>
        <w:r>
          <w:rPr>
            <w:noProof/>
            <w:webHidden/>
          </w:rPr>
          <w:fldChar w:fldCharType="end"/>
        </w:r>
      </w:hyperlink>
    </w:p>
    <w:p w14:paraId="7917B4CE" w14:textId="21675FC3">
      <w:pPr>
        <w:pStyle w:val="TJ2"/>
        <w:rPr>
          <w:rFonts w:asciiTheme="minorHAnsi" w:hAnsiTheme="minorHAnsi" w:cstheme="minorBidi"/>
          <w:noProof/>
          <w:sz w:val="24"/>
          <w:szCs w:val="21"/>
          <w:lang w:eastAsia="en-GB" w:bidi="sa-IN"/>
        </w:rPr>
      </w:pPr>
      <w:hyperlink w:anchor="_Toc243900246" w:history="1">
        <w:r>
          <w:rPr>
            <w:rStyle w:val="Hiperhivatkozs"/>
            <w:noProof/>
            <w:lang w:bidi="ar-SA"/>
          </w:rPr>
          <w:t>3.1. Representing intrinsic structure</w:t>
        </w:r>
        <w:r>
          <w:rPr>
            <w:noProof/>
            <w:webHidden/>
          </w:rPr>
          <w:tab/>
        </w:r>
        <w:r>
          <w:rPr>
            <w:noProof/>
            <w:webHidden/>
          </w:rPr>
          <w:fldChar w:fldCharType="begin"/>
        </w:r>
        <w:r>
          <w:rPr>
            <w:noProof/>
            <w:webHidden/>
          </w:rPr>
          <w:instrText xml:space="preserve"> PAGEREF _Toc243900246 \h </w:instrText>
        </w:r>
        <w:r>
          <w:rPr>
            <w:noProof/>
            <w:webHidden/>
          </w:rPr>
        </w:r>
        <w:r>
          <w:rPr>
            <w:noProof/>
            <w:webHidden/>
          </w:rPr>
          <w:fldChar w:fldCharType="separate"/>
        </w:r>
        <w:r>
          <w:rPr>
            <w:noProof/>
            <w:webHidden/>
          </w:rPr>
          <w:t>16</w:t>
        </w:r>
        <w:r>
          <w:rPr>
            <w:noProof/>
            <w:webHidden/>
          </w:rPr>
          <w:fldChar w:fldCharType="end"/>
        </w:r>
      </w:hyperlink>
    </w:p>
    <w:p w14:paraId="1D802CF0" w14:textId="1E8E6944">
      <w:pPr>
        <w:pStyle w:val="TJ3"/>
        <w:rPr>
          <w:rFonts w:asciiTheme="minorHAnsi" w:hAnsiTheme="minorHAnsi" w:cstheme="minorBidi"/>
          <w:noProof/>
          <w:sz w:val="24"/>
          <w:szCs w:val="21"/>
          <w:lang w:eastAsia="en-GB" w:bidi="sa-IN"/>
        </w:rPr>
      </w:pPr>
      <w:hyperlink w:anchor="_Toc243900247" w:history="1">
        <w:r>
          <w:rPr>
            <w:rStyle w:val="Hiperhivatkozs"/>
            <w:noProof/>
            <w:lang w:bidi="ar-SA"/>
          </w:rPr>
          <w:t>3.1.1. Numeration for reference</w:t>
        </w:r>
        <w:r>
          <w:rPr>
            <w:noProof/>
            <w:webHidden/>
          </w:rPr>
          <w:tab/>
        </w:r>
        <w:r>
          <w:rPr>
            <w:noProof/>
            <w:webHidden/>
          </w:rPr>
          <w:fldChar w:fldCharType="begin"/>
        </w:r>
        <w:r>
          <w:rPr>
            <w:noProof/>
            <w:webHidden/>
          </w:rPr>
          <w:instrText xml:space="preserve"> PAGEREF _Toc243900247 \h </w:instrText>
        </w:r>
        <w:r>
          <w:rPr>
            <w:noProof/>
            <w:webHidden/>
          </w:rPr>
        </w:r>
        <w:r>
          <w:rPr>
            <w:noProof/>
            <w:webHidden/>
          </w:rPr>
          <w:fldChar w:fldCharType="separate"/>
        </w:r>
        <w:r>
          <w:rPr>
            <w:noProof/>
            <w:webHidden/>
          </w:rPr>
          <w:t>17</w:t>
        </w:r>
        <w:r>
          <w:rPr>
            <w:noProof/>
            <w:webHidden/>
          </w:rPr>
          <w:fldChar w:fldCharType="end"/>
        </w:r>
      </w:hyperlink>
    </w:p>
    <w:p w14:paraId="5948AE74" w14:textId="504FDE5B">
      <w:pPr>
        <w:pStyle w:val="TJ2"/>
        <w:rPr>
          <w:rFonts w:asciiTheme="minorHAnsi" w:hAnsiTheme="minorHAnsi" w:cstheme="minorBidi"/>
          <w:noProof/>
          <w:sz w:val="24"/>
          <w:szCs w:val="21"/>
          <w:lang w:eastAsia="en-GB" w:bidi="sa-IN"/>
        </w:rPr>
      </w:pPr>
      <w:hyperlink w:anchor="_Toc243900248" w:history="1">
        <w:r>
          <w:rPr>
            <w:rStyle w:val="Hiperhivatkozs"/>
            <w:noProof/>
            <w:lang w:bidi="ar-SA"/>
          </w:rPr>
          <w:t>3.2. Encoding with block-level containers</w:t>
        </w:r>
        <w:r>
          <w:rPr>
            <w:noProof/>
            <w:webHidden/>
          </w:rPr>
          <w:tab/>
        </w:r>
        <w:r>
          <w:rPr>
            <w:noProof/>
            <w:webHidden/>
          </w:rPr>
          <w:fldChar w:fldCharType="begin"/>
        </w:r>
        <w:r>
          <w:rPr>
            <w:noProof/>
            <w:webHidden/>
          </w:rPr>
          <w:instrText xml:space="preserve"> PAGEREF _Toc243900248 \h </w:instrText>
        </w:r>
        <w:r>
          <w:rPr>
            <w:noProof/>
            <w:webHidden/>
          </w:rPr>
        </w:r>
        <w:r>
          <w:rPr>
            <w:noProof/>
            <w:webHidden/>
          </w:rPr>
          <w:fldChar w:fldCharType="separate"/>
        </w:r>
        <w:r>
          <w:rPr>
            <w:noProof/>
            <w:webHidden/>
          </w:rPr>
          <w:t>17</w:t>
        </w:r>
        <w:r>
          <w:rPr>
            <w:noProof/>
            <w:webHidden/>
          </w:rPr>
          <w:fldChar w:fldCharType="end"/>
        </w:r>
      </w:hyperlink>
    </w:p>
    <w:p w14:paraId="54598BFB" w14:textId="0C7524D7">
      <w:pPr>
        <w:pStyle w:val="TJ3"/>
        <w:rPr>
          <w:rFonts w:asciiTheme="minorHAnsi" w:hAnsiTheme="minorHAnsi" w:cstheme="minorBidi"/>
          <w:noProof/>
          <w:sz w:val="24"/>
          <w:szCs w:val="21"/>
          <w:lang w:eastAsia="en-GB" w:bidi="sa-IN"/>
        </w:rPr>
      </w:pPr>
      <w:hyperlink w:anchor="_Toc243900249" w:history="1">
        <w:r>
          <w:rPr>
            <w:rStyle w:val="Hiperhivatkozs"/>
            <w:noProof/>
            <w:lang w:bidi="ar-SA"/>
          </w:rPr>
          <w:t>3.2.1. Prose containers</w:t>
        </w:r>
        <w:r>
          <w:rPr>
            <w:noProof/>
            <w:webHidden/>
          </w:rPr>
          <w:tab/>
        </w:r>
        <w:r>
          <w:rPr>
            <w:noProof/>
            <w:webHidden/>
          </w:rPr>
          <w:fldChar w:fldCharType="begin"/>
        </w:r>
        <w:r>
          <w:rPr>
            <w:noProof/>
            <w:webHidden/>
          </w:rPr>
          <w:instrText xml:space="preserve"> PAGEREF _Toc243900249 \h </w:instrText>
        </w:r>
        <w:r>
          <w:rPr>
            <w:noProof/>
            <w:webHidden/>
          </w:rPr>
        </w:r>
        <w:r>
          <w:rPr>
            <w:noProof/>
            <w:webHidden/>
          </w:rPr>
          <w:fldChar w:fldCharType="separate"/>
        </w:r>
        <w:r>
          <w:rPr>
            <w:noProof/>
            <w:webHidden/>
          </w:rPr>
          <w:t>17</w:t>
        </w:r>
        <w:r>
          <w:rPr>
            <w:noProof/>
            <w:webHidden/>
          </w:rPr>
          <w:fldChar w:fldCharType="end"/>
        </w:r>
      </w:hyperlink>
    </w:p>
    <w:p w14:paraId="0A5BEEFC" w14:textId="436B39BE">
      <w:pPr>
        <w:pStyle w:val="TJ3"/>
        <w:rPr>
          <w:rFonts w:asciiTheme="minorHAnsi" w:hAnsiTheme="minorHAnsi" w:cstheme="minorBidi"/>
          <w:noProof/>
          <w:sz w:val="24"/>
          <w:szCs w:val="21"/>
          <w:lang w:eastAsia="en-GB" w:bidi="sa-IN"/>
        </w:rPr>
      </w:pPr>
      <w:hyperlink w:anchor="_Toc243900250" w:history="1">
        <w:r>
          <w:rPr>
            <w:rStyle w:val="Hiperhivatkozs"/>
            <w:noProof/>
            <w:lang w:bidi="ar-SA"/>
          </w:rPr>
          <w:t>3.2.2. Verse containers</w:t>
        </w:r>
        <w:r>
          <w:rPr>
            <w:noProof/>
            <w:webHidden/>
          </w:rPr>
          <w:tab/>
        </w:r>
        <w:r>
          <w:rPr>
            <w:noProof/>
            <w:webHidden/>
          </w:rPr>
          <w:fldChar w:fldCharType="begin"/>
        </w:r>
        <w:r>
          <w:rPr>
            <w:noProof/>
            <w:webHidden/>
          </w:rPr>
          <w:instrText xml:space="preserve"> PAGEREF _Toc243900250 \h </w:instrText>
        </w:r>
        <w:r>
          <w:rPr>
            <w:noProof/>
            <w:webHidden/>
          </w:rPr>
        </w:r>
        <w:r>
          <w:rPr>
            <w:noProof/>
            <w:webHidden/>
          </w:rPr>
          <w:fldChar w:fldCharType="separate"/>
        </w:r>
        <w:r>
          <w:rPr>
            <w:noProof/>
            <w:webHidden/>
          </w:rPr>
          <w:t>18</w:t>
        </w:r>
        <w:r>
          <w:rPr>
            <w:noProof/>
            <w:webHidden/>
          </w:rPr>
          <w:fldChar w:fldCharType="end"/>
        </w:r>
      </w:hyperlink>
    </w:p>
    <w:p w14:paraId="03EBE203" w14:textId="3AFA96F3">
      <w:pPr>
        <w:pStyle w:val="TJ3"/>
        <w:rPr>
          <w:rFonts w:asciiTheme="minorHAnsi" w:hAnsiTheme="minorHAnsi" w:cstheme="minorBidi"/>
          <w:noProof/>
          <w:sz w:val="24"/>
          <w:szCs w:val="21"/>
          <w:lang w:eastAsia="en-GB" w:bidi="sa-IN"/>
        </w:rPr>
      </w:pPr>
      <w:hyperlink w:anchor="_Toc243900251" w:history="1">
        <w:r>
          <w:rPr>
            <w:rStyle w:val="Hiperhivatkozs"/>
            <w:noProof/>
            <w:lang w:bidi="ar-SA"/>
          </w:rPr>
          <w:t>3.2.3. Interrupted container boundaries</w:t>
        </w:r>
        <w:r>
          <w:rPr>
            <w:noProof/>
            <w:webHidden/>
          </w:rPr>
          <w:tab/>
        </w:r>
        <w:r>
          <w:rPr>
            <w:noProof/>
            <w:webHidden/>
          </w:rPr>
          <w:fldChar w:fldCharType="begin"/>
        </w:r>
        <w:r>
          <w:rPr>
            <w:noProof/>
            <w:webHidden/>
          </w:rPr>
          <w:instrText xml:space="preserve"> PAGEREF _Toc243900251 \h </w:instrText>
        </w:r>
        <w:r>
          <w:rPr>
            <w:noProof/>
            <w:webHidden/>
          </w:rPr>
        </w:r>
        <w:r>
          <w:rPr>
            <w:noProof/>
            <w:webHidden/>
          </w:rPr>
          <w:fldChar w:fldCharType="separate"/>
        </w:r>
        <w:r>
          <w:rPr>
            <w:noProof/>
            <w:webHidden/>
          </w:rPr>
          <w:t>20</w:t>
        </w:r>
        <w:r>
          <w:rPr>
            <w:noProof/>
            <w:webHidden/>
          </w:rPr>
          <w:fldChar w:fldCharType="end"/>
        </w:r>
      </w:hyperlink>
    </w:p>
    <w:p w14:paraId="0B4A43DE" w14:textId="0395C135">
      <w:pPr>
        <w:pStyle w:val="TJ3"/>
        <w:rPr>
          <w:rFonts w:asciiTheme="minorHAnsi" w:hAnsiTheme="minorHAnsi" w:cstheme="minorBidi"/>
          <w:noProof/>
          <w:sz w:val="24"/>
          <w:szCs w:val="21"/>
          <w:lang w:eastAsia="en-GB" w:bidi="sa-IN"/>
        </w:rPr>
      </w:pPr>
      <w:hyperlink w:anchor="_Toc243900252" w:history="1">
        <w:r>
          <w:rPr>
            <w:rStyle w:val="Hiperhivatkozs"/>
            <w:noProof/>
            <w:lang w:bidi="ar-SA"/>
          </w:rPr>
          <w:t>3.2.4. Container boundaries interrupting the text</w:t>
        </w:r>
        <w:r>
          <w:rPr>
            <w:noProof/>
            <w:webHidden/>
          </w:rPr>
          <w:tab/>
        </w:r>
        <w:r>
          <w:rPr>
            <w:noProof/>
            <w:webHidden/>
          </w:rPr>
          <w:fldChar w:fldCharType="begin"/>
        </w:r>
        <w:r>
          <w:rPr>
            <w:noProof/>
            <w:webHidden/>
          </w:rPr>
          <w:instrText xml:space="preserve"> PAGEREF _Toc243900252 \h </w:instrText>
        </w:r>
        <w:r>
          <w:rPr>
            <w:noProof/>
            <w:webHidden/>
          </w:rPr>
        </w:r>
        <w:r>
          <w:rPr>
            <w:noProof/>
            <w:webHidden/>
          </w:rPr>
          <w:fldChar w:fldCharType="separate"/>
        </w:r>
        <w:r>
          <w:rPr>
            <w:noProof/>
            <w:webHidden/>
          </w:rPr>
          <w:t>22</w:t>
        </w:r>
        <w:r>
          <w:rPr>
            <w:noProof/>
            <w:webHidden/>
          </w:rPr>
          <w:fldChar w:fldCharType="end"/>
        </w:r>
      </w:hyperlink>
    </w:p>
    <w:p w14:paraId="3B1A46A8" w14:textId="5FD8A2B3">
      <w:pPr>
        <w:pStyle w:val="TJ3"/>
        <w:rPr>
          <w:rFonts w:asciiTheme="minorHAnsi" w:hAnsiTheme="minorHAnsi" w:cstheme="minorBidi"/>
          <w:noProof/>
          <w:sz w:val="24"/>
          <w:szCs w:val="21"/>
          <w:lang w:eastAsia="en-GB" w:bidi="sa-IN"/>
        </w:rPr>
      </w:pPr>
      <w:hyperlink w:anchor="_Toc243900253" w:history="1">
        <w:r>
          <w:rPr>
            <w:rStyle w:val="Hiperhivatkozs"/>
            <w:noProof/>
            <w:lang w:bidi="ar-SA"/>
          </w:rPr>
          <w:t>3.2.5. Good encoding practice for block-level elements</w:t>
        </w:r>
        <w:r>
          <w:rPr>
            <w:noProof/>
            <w:webHidden/>
          </w:rPr>
          <w:tab/>
        </w:r>
        <w:r>
          <w:rPr>
            <w:noProof/>
            <w:webHidden/>
          </w:rPr>
          <w:fldChar w:fldCharType="begin"/>
        </w:r>
        <w:r>
          <w:rPr>
            <w:noProof/>
            <w:webHidden/>
          </w:rPr>
          <w:instrText xml:space="preserve"> PAGEREF _Toc243900253 \h </w:instrText>
        </w:r>
        <w:r>
          <w:rPr>
            <w:noProof/>
            <w:webHidden/>
          </w:rPr>
        </w:r>
        <w:r>
          <w:rPr>
            <w:noProof/>
            <w:webHidden/>
          </w:rPr>
          <w:fldChar w:fldCharType="separate"/>
        </w:r>
        <w:r>
          <w:rPr>
            <w:noProof/>
            <w:webHidden/>
          </w:rPr>
          <w:t>26</w:t>
        </w:r>
        <w:r>
          <w:rPr>
            <w:noProof/>
            <w:webHidden/>
          </w:rPr>
          <w:fldChar w:fldCharType="end"/>
        </w:r>
      </w:hyperlink>
    </w:p>
    <w:p w14:paraId="7A157EE8" w14:textId="6ED2F626">
      <w:pPr>
        <w:pStyle w:val="TJ2"/>
        <w:rPr>
          <w:rFonts w:asciiTheme="minorHAnsi" w:hAnsiTheme="minorHAnsi" w:cstheme="minorBidi"/>
          <w:noProof/>
          <w:sz w:val="24"/>
          <w:szCs w:val="21"/>
          <w:lang w:eastAsia="en-GB" w:bidi="sa-IN"/>
        </w:rPr>
      </w:pPr>
      <w:hyperlink w:anchor="_Toc243900254" w:history="1">
        <w:r>
          <w:rPr>
            <w:rStyle w:val="Hiperhivatkozs"/>
            <w:noProof/>
            <w:lang w:bidi="ar-SA"/>
          </w:rPr>
          <w:t>3.3. Encoding metre in verse</w:t>
        </w:r>
        <w:r>
          <w:rPr>
            <w:noProof/>
            <w:webHidden/>
          </w:rPr>
          <w:tab/>
        </w:r>
        <w:r>
          <w:rPr>
            <w:noProof/>
            <w:webHidden/>
          </w:rPr>
          <w:fldChar w:fldCharType="begin"/>
        </w:r>
        <w:r>
          <w:rPr>
            <w:noProof/>
            <w:webHidden/>
          </w:rPr>
          <w:instrText xml:space="preserve"> PAGEREF _Toc243900254 \h </w:instrText>
        </w:r>
        <w:r>
          <w:rPr>
            <w:noProof/>
            <w:webHidden/>
          </w:rPr>
        </w:r>
        <w:r>
          <w:rPr>
            <w:noProof/>
            <w:webHidden/>
          </w:rPr>
          <w:fldChar w:fldCharType="separate"/>
        </w:r>
        <w:r>
          <w:rPr>
            <w:noProof/>
            <w:webHidden/>
          </w:rPr>
          <w:t>27</w:t>
        </w:r>
        <w:r>
          <w:rPr>
            <w:noProof/>
            <w:webHidden/>
          </w:rPr>
          <w:fldChar w:fldCharType="end"/>
        </w:r>
      </w:hyperlink>
    </w:p>
    <w:p w14:paraId="25B28F5B" w14:textId="0271267A">
      <w:pPr>
        <w:pStyle w:val="TJ3"/>
        <w:rPr>
          <w:rFonts w:asciiTheme="minorHAnsi" w:hAnsiTheme="minorHAnsi" w:cstheme="minorBidi"/>
          <w:noProof/>
          <w:sz w:val="24"/>
          <w:szCs w:val="21"/>
          <w:lang w:eastAsia="en-GB" w:bidi="sa-IN"/>
        </w:rPr>
      </w:pPr>
      <w:hyperlink w:anchor="_Toc243900255" w:history="1">
        <w:r>
          <w:rPr>
            <w:rStyle w:val="Hiperhivatkozs"/>
            <w:noProof/>
            <w:lang w:bidi="ar-SA"/>
          </w:rPr>
          <w:t xml:space="preserve">3.3.1. Encoding an abstract prosodic template with </w:t>
        </w:r>
        <w:r>
          <w:rPr>
            <w:rStyle w:val="Hiperhivatkozs"/>
            <w:rFonts w:ascii="Consolas" w:hAnsi="Consolas" w:cs="Consolas"/>
            <w:noProof/>
            <w:shd w:val="clear" w:color="auto" w:fill="F2F2F2" w:themeFill="background1" w:themeFillShade="F2"/>
            <w:lang w:bidi="ar-SA"/>
          </w:rPr>
          <w:t>@met</w:t>
        </w:r>
        <w:r>
          <w:rPr>
            <w:noProof/>
            <w:webHidden/>
          </w:rPr>
          <w:tab/>
        </w:r>
        <w:r>
          <w:rPr>
            <w:noProof/>
            <w:webHidden/>
          </w:rPr>
          <w:fldChar w:fldCharType="begin"/>
        </w:r>
        <w:r>
          <w:rPr>
            <w:noProof/>
            <w:webHidden/>
          </w:rPr>
          <w:instrText xml:space="preserve"> PAGEREF _Toc243900255 \h </w:instrText>
        </w:r>
        <w:r>
          <w:rPr>
            <w:noProof/>
            <w:webHidden/>
          </w:rPr>
        </w:r>
        <w:r>
          <w:rPr>
            <w:noProof/>
            <w:webHidden/>
          </w:rPr>
          <w:fldChar w:fldCharType="separate"/>
        </w:r>
        <w:r>
          <w:rPr>
            <w:noProof/>
            <w:webHidden/>
          </w:rPr>
          <w:t>27</w:t>
        </w:r>
        <w:r>
          <w:rPr>
            <w:noProof/>
            <w:webHidden/>
          </w:rPr>
          <w:fldChar w:fldCharType="end"/>
        </w:r>
      </w:hyperlink>
    </w:p>
    <w:p w14:paraId="4E326050" w14:textId="5DDDF9E9">
      <w:pPr>
        <w:pStyle w:val="TJ3"/>
        <w:rPr>
          <w:rFonts w:asciiTheme="minorHAnsi" w:hAnsiTheme="minorHAnsi" w:cstheme="minorBidi"/>
          <w:noProof/>
          <w:sz w:val="24"/>
          <w:szCs w:val="21"/>
          <w:lang w:eastAsia="en-GB" w:bidi="sa-IN"/>
        </w:rPr>
      </w:pPr>
      <w:hyperlink w:anchor="_Toc243900256" w:history="1">
        <w:r>
          <w:rPr>
            <w:rStyle w:val="Hiperhivatkozs"/>
            <w:noProof/>
            <w:lang w:bidi="ar-SA"/>
          </w:rPr>
          <w:t xml:space="preserve">3.3.2. Encoding an actual prosodic realisation with </w:t>
        </w:r>
        <w:r>
          <w:rPr>
            <w:rStyle w:val="Hiperhivatkozs"/>
            <w:rFonts w:ascii="Consolas" w:hAnsi="Consolas" w:cs="Consolas"/>
            <w:noProof/>
            <w:shd w:val="clear" w:color="auto" w:fill="F2F2F2" w:themeFill="background1" w:themeFillShade="F2"/>
            <w:lang w:bidi="ar-SA"/>
          </w:rPr>
          <w:t>@real</w:t>
        </w:r>
        <w:r>
          <w:rPr>
            <w:noProof/>
            <w:webHidden/>
          </w:rPr>
          <w:tab/>
        </w:r>
        <w:r>
          <w:rPr>
            <w:noProof/>
            <w:webHidden/>
          </w:rPr>
          <w:fldChar w:fldCharType="begin"/>
        </w:r>
        <w:r>
          <w:rPr>
            <w:noProof/>
            <w:webHidden/>
          </w:rPr>
          <w:instrText xml:space="preserve"> PAGEREF _Toc243900256 \h </w:instrText>
        </w:r>
        <w:r>
          <w:rPr>
            <w:noProof/>
            <w:webHidden/>
          </w:rPr>
        </w:r>
        <w:r>
          <w:rPr>
            <w:noProof/>
            <w:webHidden/>
          </w:rPr>
          <w:fldChar w:fldCharType="separate"/>
        </w:r>
        <w:r>
          <w:rPr>
            <w:noProof/>
            <w:webHidden/>
          </w:rPr>
          <w:t>27</w:t>
        </w:r>
        <w:r>
          <w:rPr>
            <w:noProof/>
            <w:webHidden/>
          </w:rPr>
          <w:fldChar w:fldCharType="end"/>
        </w:r>
      </w:hyperlink>
    </w:p>
    <w:p w14:paraId="7DA5B71F" w14:textId="6F080C32">
      <w:pPr>
        <w:pStyle w:val="TJ3"/>
        <w:rPr>
          <w:rFonts w:asciiTheme="minorHAnsi" w:hAnsiTheme="minorHAnsi" w:cstheme="minorBidi"/>
          <w:noProof/>
          <w:sz w:val="24"/>
          <w:szCs w:val="21"/>
          <w:lang w:eastAsia="en-GB" w:bidi="sa-IN"/>
        </w:rPr>
      </w:pPr>
      <w:hyperlink w:anchor="_Toc243900257" w:history="1">
        <w:r>
          <w:rPr>
            <w:rStyle w:val="Hiperhivatkozs"/>
            <w:noProof/>
            <w:lang w:bidi="ar-SA"/>
          </w:rPr>
          <w:t>3.3.3. Metres not associated with a clear name</w:t>
        </w:r>
        <w:r>
          <w:rPr>
            <w:noProof/>
            <w:webHidden/>
          </w:rPr>
          <w:tab/>
        </w:r>
        <w:r>
          <w:rPr>
            <w:noProof/>
            <w:webHidden/>
          </w:rPr>
          <w:fldChar w:fldCharType="begin"/>
        </w:r>
        <w:r>
          <w:rPr>
            <w:noProof/>
            <w:webHidden/>
          </w:rPr>
          <w:instrText xml:space="preserve"> PAGEREF _Toc243900257 \h </w:instrText>
        </w:r>
        <w:r>
          <w:rPr>
            <w:noProof/>
            <w:webHidden/>
          </w:rPr>
        </w:r>
        <w:r>
          <w:rPr>
            <w:noProof/>
            <w:webHidden/>
          </w:rPr>
          <w:fldChar w:fldCharType="separate"/>
        </w:r>
        <w:r>
          <w:rPr>
            <w:noProof/>
            <w:webHidden/>
          </w:rPr>
          <w:t>27</w:t>
        </w:r>
        <w:r>
          <w:rPr>
            <w:noProof/>
            <w:webHidden/>
          </w:rPr>
          <w:fldChar w:fldCharType="end"/>
        </w:r>
      </w:hyperlink>
    </w:p>
    <w:p w14:paraId="596F2D33" w14:textId="0EFDD36F">
      <w:pPr>
        <w:pStyle w:val="TJ3"/>
        <w:rPr>
          <w:rFonts w:asciiTheme="minorHAnsi" w:hAnsiTheme="minorHAnsi" w:cstheme="minorBidi"/>
          <w:noProof/>
          <w:sz w:val="24"/>
          <w:szCs w:val="21"/>
          <w:lang w:eastAsia="en-GB" w:bidi="sa-IN"/>
        </w:rPr>
      </w:pPr>
      <w:hyperlink w:anchor="_Toc243900258" w:history="1">
        <w:r>
          <w:rPr>
            <w:rStyle w:val="Hiperhivatkozs"/>
            <w:noProof/>
            <w:lang w:bidi="ar-SA"/>
          </w:rPr>
          <w:t>3.3.4. Metrical complications</w:t>
        </w:r>
        <w:r>
          <w:rPr>
            <w:noProof/>
            <w:webHidden/>
          </w:rPr>
          <w:tab/>
        </w:r>
        <w:r>
          <w:rPr>
            <w:noProof/>
            <w:webHidden/>
          </w:rPr>
          <w:fldChar w:fldCharType="begin"/>
        </w:r>
        <w:r>
          <w:rPr>
            <w:noProof/>
            <w:webHidden/>
          </w:rPr>
          <w:instrText xml:space="preserve"> PAGEREF _Toc243900258 \h </w:instrText>
        </w:r>
        <w:r>
          <w:rPr>
            <w:noProof/>
            <w:webHidden/>
          </w:rPr>
        </w:r>
        <w:r>
          <w:rPr>
            <w:noProof/>
            <w:webHidden/>
          </w:rPr>
          <w:fldChar w:fldCharType="separate"/>
        </w:r>
        <w:r>
          <w:rPr>
            <w:noProof/>
            <w:webHidden/>
          </w:rPr>
          <w:t>29</w:t>
        </w:r>
        <w:r>
          <w:rPr>
            <w:noProof/>
            <w:webHidden/>
          </w:rPr>
          <w:fldChar w:fldCharType="end"/>
        </w:r>
      </w:hyperlink>
    </w:p>
    <w:p w14:paraId="1925F0FF" w14:textId="655B0377">
      <w:pPr>
        <w:pStyle w:val="TJ1"/>
        <w:rPr>
          <w:rFonts w:asciiTheme="minorHAnsi" w:hAnsiTheme="minorHAnsi" w:cstheme="minorBidi"/>
          <w:b w:val="0"/>
          <w:noProof/>
          <w:sz w:val="24"/>
          <w:szCs w:val="21"/>
          <w:lang w:eastAsia="en-GB" w:bidi="sa-IN"/>
        </w:rPr>
      </w:pPr>
      <w:hyperlink w:anchor="_Toc243900259" w:history="1">
        <w:r>
          <w:rPr>
            <w:rStyle w:val="Hiperhivatkozs"/>
            <w:noProof/>
            <w:lang w:bidi="ar-SA"/>
          </w:rPr>
          <w:t>4. Extrinsic structure</w:t>
        </w:r>
        <w:r>
          <w:rPr>
            <w:noProof/>
            <w:webHidden/>
          </w:rPr>
          <w:tab/>
        </w:r>
        <w:r>
          <w:rPr>
            <w:noProof/>
            <w:webHidden/>
          </w:rPr>
          <w:fldChar w:fldCharType="begin"/>
        </w:r>
        <w:r>
          <w:rPr>
            <w:noProof/>
            <w:webHidden/>
          </w:rPr>
          <w:instrText xml:space="preserve"> PAGEREF _Toc243900259 \h </w:instrText>
        </w:r>
        <w:r>
          <w:rPr>
            <w:noProof/>
            <w:webHidden/>
          </w:rPr>
        </w:r>
        <w:r>
          <w:rPr>
            <w:noProof/>
            <w:webHidden/>
          </w:rPr>
          <w:fldChar w:fldCharType="separate"/>
        </w:r>
        <w:r>
          <w:rPr>
            <w:noProof/>
            <w:webHidden/>
          </w:rPr>
          <w:t>32</w:t>
        </w:r>
        <w:r>
          <w:rPr>
            <w:noProof/>
            <w:webHidden/>
          </w:rPr>
          <w:fldChar w:fldCharType="end"/>
        </w:r>
      </w:hyperlink>
    </w:p>
    <w:p w14:paraId="5F9B1697" w14:textId="06290EB9">
      <w:pPr>
        <w:pStyle w:val="TJ2"/>
        <w:rPr>
          <w:rFonts w:asciiTheme="minorHAnsi" w:hAnsiTheme="minorHAnsi" w:cstheme="minorBidi"/>
          <w:noProof/>
          <w:sz w:val="24"/>
          <w:szCs w:val="21"/>
          <w:lang w:eastAsia="en-GB" w:bidi="sa-IN"/>
        </w:rPr>
      </w:pPr>
      <w:hyperlink w:anchor="_Toc243900260" w:history="1">
        <w:r>
          <w:rPr>
            <w:rStyle w:val="Hiperhivatkozs"/>
            <w:noProof/>
            <w:lang w:bidi="ar-SA"/>
          </w:rPr>
          <w:t>4.1. Representing extrinsic structure</w:t>
        </w:r>
        <w:r>
          <w:rPr>
            <w:noProof/>
            <w:webHidden/>
          </w:rPr>
          <w:tab/>
        </w:r>
        <w:r>
          <w:rPr>
            <w:noProof/>
            <w:webHidden/>
          </w:rPr>
          <w:fldChar w:fldCharType="begin"/>
        </w:r>
        <w:r>
          <w:rPr>
            <w:noProof/>
            <w:webHidden/>
          </w:rPr>
          <w:instrText xml:space="preserve"> PAGEREF _Toc243900260 \h </w:instrText>
        </w:r>
        <w:r>
          <w:rPr>
            <w:noProof/>
            <w:webHidden/>
          </w:rPr>
        </w:r>
        <w:r>
          <w:rPr>
            <w:noProof/>
            <w:webHidden/>
          </w:rPr>
          <w:fldChar w:fldCharType="separate"/>
        </w:r>
        <w:r>
          <w:rPr>
            <w:noProof/>
            <w:webHidden/>
          </w:rPr>
          <w:t>32</w:t>
        </w:r>
        <w:r>
          <w:rPr>
            <w:noProof/>
            <w:webHidden/>
          </w:rPr>
          <w:fldChar w:fldCharType="end"/>
        </w:r>
      </w:hyperlink>
    </w:p>
    <w:p w14:paraId="5BBE8249" w14:textId="10F47F4D">
      <w:pPr>
        <w:pStyle w:val="TJ3"/>
        <w:rPr>
          <w:rFonts w:asciiTheme="minorHAnsi" w:hAnsiTheme="minorHAnsi" w:cstheme="minorBidi"/>
          <w:noProof/>
          <w:sz w:val="24"/>
          <w:szCs w:val="21"/>
          <w:lang w:eastAsia="en-GB" w:bidi="sa-IN"/>
        </w:rPr>
      </w:pPr>
      <w:hyperlink w:anchor="_Toc243900261" w:history="1">
        <w:r>
          <w:rPr>
            <w:rStyle w:val="Hiperhivatkozs"/>
            <w:noProof/>
            <w:lang w:bidi="ar-SA"/>
          </w:rPr>
          <w:t>4.1.1. Numeration for reference</w:t>
        </w:r>
        <w:r>
          <w:rPr>
            <w:noProof/>
            <w:webHidden/>
          </w:rPr>
          <w:tab/>
        </w:r>
        <w:r>
          <w:rPr>
            <w:noProof/>
            <w:webHidden/>
          </w:rPr>
          <w:fldChar w:fldCharType="begin"/>
        </w:r>
        <w:r>
          <w:rPr>
            <w:noProof/>
            <w:webHidden/>
          </w:rPr>
          <w:instrText xml:space="preserve"> PAGEREF _Toc243900261 \h </w:instrText>
        </w:r>
        <w:r>
          <w:rPr>
            <w:noProof/>
            <w:webHidden/>
          </w:rPr>
        </w:r>
        <w:r>
          <w:rPr>
            <w:noProof/>
            <w:webHidden/>
          </w:rPr>
          <w:fldChar w:fldCharType="separate"/>
        </w:r>
        <w:r>
          <w:rPr>
            <w:noProof/>
            <w:webHidden/>
          </w:rPr>
          <w:t>35</w:t>
        </w:r>
        <w:r>
          <w:rPr>
            <w:noProof/>
            <w:webHidden/>
          </w:rPr>
          <w:fldChar w:fldCharType="end"/>
        </w:r>
      </w:hyperlink>
    </w:p>
    <w:p w14:paraId="369905C8" w14:textId="1EF9EA59">
      <w:pPr>
        <w:pStyle w:val="TJ2"/>
        <w:rPr>
          <w:rFonts w:asciiTheme="minorHAnsi" w:hAnsiTheme="minorHAnsi" w:cstheme="minorBidi"/>
          <w:noProof/>
          <w:sz w:val="24"/>
          <w:szCs w:val="21"/>
          <w:lang w:eastAsia="en-GB" w:bidi="sa-IN"/>
        </w:rPr>
      </w:pPr>
      <w:hyperlink w:anchor="_Toc243900262" w:history="1">
        <w:r>
          <w:rPr>
            <w:rStyle w:val="Hiperhivatkozs"/>
            <w:noProof/>
            <w:lang w:bidi="ar-SA"/>
          </w:rPr>
          <w:t>4.2. Boxlike partitions</w:t>
        </w:r>
        <w:r>
          <w:rPr>
            <w:noProof/>
            <w:webHidden/>
          </w:rPr>
          <w:tab/>
        </w:r>
        <w:r>
          <w:rPr>
            <w:noProof/>
            <w:webHidden/>
          </w:rPr>
          <w:fldChar w:fldCharType="begin"/>
        </w:r>
        <w:r>
          <w:rPr>
            <w:noProof/>
            <w:webHidden/>
          </w:rPr>
          <w:instrText xml:space="preserve"> PAGEREF _Toc243900262 \h </w:instrText>
        </w:r>
        <w:r>
          <w:rPr>
            <w:noProof/>
            <w:webHidden/>
          </w:rPr>
        </w:r>
        <w:r>
          <w:rPr>
            <w:noProof/>
            <w:webHidden/>
          </w:rPr>
          <w:fldChar w:fldCharType="separate"/>
        </w:r>
        <w:r>
          <w:rPr>
            <w:noProof/>
            <w:webHidden/>
          </w:rPr>
          <w:t>35</w:t>
        </w:r>
        <w:r>
          <w:rPr>
            <w:noProof/>
            <w:webHidden/>
          </w:rPr>
          <w:fldChar w:fldCharType="end"/>
        </w:r>
      </w:hyperlink>
    </w:p>
    <w:p w14:paraId="277FACA3" w14:textId="3D4D7AB7">
      <w:pPr>
        <w:pStyle w:val="TJ3"/>
        <w:rPr>
          <w:rFonts w:asciiTheme="minorHAnsi" w:hAnsiTheme="minorHAnsi" w:cstheme="minorBidi"/>
          <w:noProof/>
          <w:sz w:val="24"/>
          <w:szCs w:val="21"/>
          <w:lang w:eastAsia="en-GB" w:bidi="sa-IN"/>
        </w:rPr>
      </w:pPr>
      <w:hyperlink w:anchor="_Toc243900263" w:history="1">
        <w:r>
          <w:rPr>
            <w:rStyle w:val="Hiperhivatkozs"/>
            <w:noProof/>
            <w:lang w:bidi="ar-SA"/>
          </w:rPr>
          <w:t>4.2.1. Encoding as textpart divisions</w:t>
        </w:r>
        <w:r>
          <w:rPr>
            <w:noProof/>
            <w:webHidden/>
          </w:rPr>
          <w:tab/>
        </w:r>
        <w:r>
          <w:rPr>
            <w:noProof/>
            <w:webHidden/>
          </w:rPr>
          <w:fldChar w:fldCharType="begin"/>
        </w:r>
        <w:r>
          <w:rPr>
            <w:noProof/>
            <w:webHidden/>
          </w:rPr>
          <w:instrText xml:space="preserve"> PAGEREF _Toc243900263 \h </w:instrText>
        </w:r>
        <w:r>
          <w:rPr>
            <w:noProof/>
            <w:webHidden/>
          </w:rPr>
        </w:r>
        <w:r>
          <w:rPr>
            <w:noProof/>
            <w:webHidden/>
          </w:rPr>
          <w:fldChar w:fldCharType="separate"/>
        </w:r>
        <w:r>
          <w:rPr>
            <w:noProof/>
            <w:webHidden/>
          </w:rPr>
          <w:t>36</w:t>
        </w:r>
        <w:r>
          <w:rPr>
            <w:noProof/>
            <w:webHidden/>
          </w:rPr>
          <w:fldChar w:fldCharType="end"/>
        </w:r>
      </w:hyperlink>
    </w:p>
    <w:p w14:paraId="680EC107" w14:textId="4ABDF939">
      <w:pPr>
        <w:pStyle w:val="TJ2"/>
        <w:rPr>
          <w:rFonts w:asciiTheme="minorHAnsi" w:hAnsiTheme="minorHAnsi" w:cstheme="minorBidi"/>
          <w:noProof/>
          <w:sz w:val="24"/>
          <w:szCs w:val="21"/>
          <w:lang w:eastAsia="en-GB" w:bidi="sa-IN"/>
        </w:rPr>
      </w:pPr>
      <w:hyperlink w:anchor="_Toc243900264" w:history="1">
        <w:r>
          <w:rPr>
            <w:rStyle w:val="Hiperhivatkozs"/>
            <w:noProof/>
            <w:lang w:bidi="ar-SA"/>
          </w:rPr>
          <w:t>4.3. Encoding with milestones</w:t>
        </w:r>
        <w:r>
          <w:rPr>
            <w:noProof/>
            <w:webHidden/>
          </w:rPr>
          <w:tab/>
        </w:r>
        <w:r>
          <w:rPr>
            <w:noProof/>
            <w:webHidden/>
          </w:rPr>
          <w:fldChar w:fldCharType="begin"/>
        </w:r>
        <w:r>
          <w:rPr>
            <w:noProof/>
            <w:webHidden/>
          </w:rPr>
          <w:instrText xml:space="preserve"> PAGEREF _Toc243900264 \h </w:instrText>
        </w:r>
        <w:r>
          <w:rPr>
            <w:noProof/>
            <w:webHidden/>
          </w:rPr>
        </w:r>
        <w:r>
          <w:rPr>
            <w:noProof/>
            <w:webHidden/>
          </w:rPr>
          <w:fldChar w:fldCharType="separate"/>
        </w:r>
        <w:r>
          <w:rPr>
            <w:noProof/>
            <w:webHidden/>
          </w:rPr>
          <w:t>38</w:t>
        </w:r>
        <w:r>
          <w:rPr>
            <w:noProof/>
            <w:webHidden/>
          </w:rPr>
          <w:fldChar w:fldCharType="end"/>
        </w:r>
      </w:hyperlink>
    </w:p>
    <w:p w14:paraId="19102541" w14:textId="57C7C9FE">
      <w:pPr>
        <w:pStyle w:val="TJ3"/>
        <w:rPr>
          <w:rFonts w:asciiTheme="minorHAnsi" w:hAnsiTheme="minorHAnsi" w:cstheme="minorBidi"/>
          <w:noProof/>
          <w:sz w:val="24"/>
          <w:szCs w:val="21"/>
          <w:lang w:eastAsia="en-GB" w:bidi="sa-IN"/>
        </w:rPr>
      </w:pPr>
      <w:hyperlink w:anchor="_Toc243900265" w:history="1">
        <w:r>
          <w:rPr>
            <w:rStyle w:val="Hiperhivatkozs"/>
            <w:noProof/>
            <w:lang w:bidi="ar-SA"/>
          </w:rPr>
          <w:t>4.3.1. Milestone units</w:t>
        </w:r>
        <w:r>
          <w:rPr>
            <w:noProof/>
            <w:webHidden/>
          </w:rPr>
          <w:tab/>
        </w:r>
        <w:r>
          <w:rPr>
            <w:noProof/>
            <w:webHidden/>
          </w:rPr>
          <w:fldChar w:fldCharType="begin"/>
        </w:r>
        <w:r>
          <w:rPr>
            <w:noProof/>
            <w:webHidden/>
          </w:rPr>
          <w:instrText xml:space="preserve"> PAGEREF _Toc243900265 \h </w:instrText>
        </w:r>
        <w:r>
          <w:rPr>
            <w:noProof/>
            <w:webHidden/>
          </w:rPr>
        </w:r>
        <w:r>
          <w:rPr>
            <w:noProof/>
            <w:webHidden/>
          </w:rPr>
          <w:fldChar w:fldCharType="separate"/>
        </w:r>
        <w:r>
          <w:rPr>
            <w:noProof/>
            <w:webHidden/>
          </w:rPr>
          <w:t>38</w:t>
        </w:r>
        <w:r>
          <w:rPr>
            <w:noProof/>
            <w:webHidden/>
          </w:rPr>
          <w:fldChar w:fldCharType="end"/>
        </w:r>
      </w:hyperlink>
    </w:p>
    <w:p w14:paraId="1B71DDD2" w14:textId="7011E03C">
      <w:pPr>
        <w:pStyle w:val="TJ3"/>
        <w:rPr>
          <w:rFonts w:asciiTheme="minorHAnsi" w:hAnsiTheme="minorHAnsi" w:cstheme="minorBidi"/>
          <w:noProof/>
          <w:sz w:val="24"/>
          <w:szCs w:val="21"/>
          <w:lang w:eastAsia="en-GB" w:bidi="sa-IN"/>
        </w:rPr>
      </w:pPr>
      <w:hyperlink w:anchor="_Toc243900266" w:history="1">
        <w:r>
          <w:rPr>
            <w:rStyle w:val="Hiperhivatkozs"/>
            <w:noProof/>
            <w:lang w:bidi="ar-SA"/>
          </w:rPr>
          <w:t>4.3.2. Milestones interrupting the text</w:t>
        </w:r>
        <w:r>
          <w:rPr>
            <w:noProof/>
            <w:webHidden/>
          </w:rPr>
          <w:tab/>
        </w:r>
        <w:r>
          <w:rPr>
            <w:noProof/>
            <w:webHidden/>
          </w:rPr>
          <w:fldChar w:fldCharType="begin"/>
        </w:r>
        <w:r>
          <w:rPr>
            <w:noProof/>
            <w:webHidden/>
          </w:rPr>
          <w:instrText xml:space="preserve"> PAGEREF _Toc243900266 \h </w:instrText>
        </w:r>
        <w:r>
          <w:rPr>
            <w:noProof/>
            <w:webHidden/>
          </w:rPr>
        </w:r>
        <w:r>
          <w:rPr>
            <w:noProof/>
            <w:webHidden/>
          </w:rPr>
          <w:fldChar w:fldCharType="separate"/>
        </w:r>
        <w:r>
          <w:rPr>
            <w:noProof/>
            <w:webHidden/>
          </w:rPr>
          <w:t>39</w:t>
        </w:r>
        <w:r>
          <w:rPr>
            <w:noProof/>
            <w:webHidden/>
          </w:rPr>
          <w:fldChar w:fldCharType="end"/>
        </w:r>
      </w:hyperlink>
    </w:p>
    <w:p w14:paraId="7A578565" w14:textId="05B9BCAA">
      <w:pPr>
        <w:pStyle w:val="TJ3"/>
        <w:rPr>
          <w:rFonts w:asciiTheme="minorHAnsi" w:hAnsiTheme="minorHAnsi" w:cstheme="minorBidi"/>
          <w:noProof/>
          <w:sz w:val="24"/>
          <w:szCs w:val="21"/>
          <w:lang w:eastAsia="en-GB" w:bidi="sa-IN"/>
        </w:rPr>
      </w:pPr>
      <w:hyperlink w:anchor="_Toc243900267" w:history="1">
        <w:r>
          <w:rPr>
            <w:rStyle w:val="Hiperhivatkozs"/>
            <w:noProof/>
            <w:lang w:bidi="ar-SA"/>
          </w:rPr>
          <w:t>4.3.3. Good encoding practice for milestone elements</w:t>
        </w:r>
        <w:r>
          <w:rPr>
            <w:noProof/>
            <w:webHidden/>
          </w:rPr>
          <w:tab/>
        </w:r>
        <w:r>
          <w:rPr>
            <w:noProof/>
            <w:webHidden/>
          </w:rPr>
          <w:fldChar w:fldCharType="begin"/>
        </w:r>
        <w:r>
          <w:rPr>
            <w:noProof/>
            <w:webHidden/>
          </w:rPr>
          <w:instrText xml:space="preserve"> PAGEREF _Toc243900267 \h </w:instrText>
        </w:r>
        <w:r>
          <w:rPr>
            <w:noProof/>
            <w:webHidden/>
          </w:rPr>
        </w:r>
        <w:r>
          <w:rPr>
            <w:noProof/>
            <w:webHidden/>
          </w:rPr>
          <w:fldChar w:fldCharType="separate"/>
        </w:r>
        <w:r>
          <w:rPr>
            <w:noProof/>
            <w:webHidden/>
          </w:rPr>
          <w:t>40</w:t>
        </w:r>
        <w:r>
          <w:rPr>
            <w:noProof/>
            <w:webHidden/>
          </w:rPr>
          <w:fldChar w:fldCharType="end"/>
        </w:r>
      </w:hyperlink>
    </w:p>
    <w:p w14:paraId="0AA5782B" w14:textId="06B873A9">
      <w:pPr>
        <w:pStyle w:val="TJ2"/>
        <w:rPr>
          <w:rFonts w:asciiTheme="minorHAnsi" w:hAnsiTheme="minorHAnsi" w:cstheme="minorBidi"/>
          <w:noProof/>
          <w:sz w:val="24"/>
          <w:szCs w:val="21"/>
          <w:lang w:eastAsia="en-GB" w:bidi="sa-IN"/>
        </w:rPr>
      </w:pPr>
      <w:hyperlink w:anchor="_Toc243900268" w:history="1">
        <w:r>
          <w:rPr>
            <w:rStyle w:val="Hiperhivatkozs"/>
            <w:noProof/>
            <w:lang w:bidi="ar-SA"/>
          </w:rPr>
          <w:t>4.4. Pagelike partitions</w:t>
        </w:r>
        <w:r>
          <w:rPr>
            <w:noProof/>
            <w:webHidden/>
          </w:rPr>
          <w:tab/>
        </w:r>
        <w:r>
          <w:rPr>
            <w:noProof/>
            <w:webHidden/>
          </w:rPr>
          <w:fldChar w:fldCharType="begin"/>
        </w:r>
        <w:r>
          <w:rPr>
            <w:noProof/>
            <w:webHidden/>
          </w:rPr>
          <w:instrText xml:space="preserve"> PAGEREF _Toc243900268 \h </w:instrText>
        </w:r>
        <w:r>
          <w:rPr>
            <w:noProof/>
            <w:webHidden/>
          </w:rPr>
        </w:r>
        <w:r>
          <w:rPr>
            <w:noProof/>
            <w:webHidden/>
          </w:rPr>
          <w:fldChar w:fldCharType="separate"/>
        </w:r>
        <w:r>
          <w:rPr>
            <w:noProof/>
            <w:webHidden/>
          </w:rPr>
          <w:t>42</w:t>
        </w:r>
        <w:r>
          <w:rPr>
            <w:noProof/>
            <w:webHidden/>
          </w:rPr>
          <w:fldChar w:fldCharType="end"/>
        </w:r>
      </w:hyperlink>
    </w:p>
    <w:p w14:paraId="08FFC27F" w14:textId="5DBE3421">
      <w:pPr>
        <w:pStyle w:val="TJ3"/>
        <w:rPr>
          <w:rFonts w:asciiTheme="minorHAnsi" w:hAnsiTheme="minorHAnsi" w:cstheme="minorBidi"/>
          <w:noProof/>
          <w:sz w:val="24"/>
          <w:szCs w:val="21"/>
          <w:lang w:eastAsia="en-GB" w:bidi="sa-IN"/>
        </w:rPr>
      </w:pPr>
      <w:hyperlink w:anchor="_Toc243900269" w:history="1">
        <w:r>
          <w:rPr>
            <w:rStyle w:val="Hiperhivatkozs"/>
            <w:noProof/>
            <w:lang w:bidi="ar-SA"/>
          </w:rPr>
          <w:t>4.4.2. Marking up genuine pages</w:t>
        </w:r>
        <w:r>
          <w:rPr>
            <w:noProof/>
            <w:webHidden/>
          </w:rPr>
          <w:tab/>
        </w:r>
        <w:r>
          <w:rPr>
            <w:noProof/>
            <w:webHidden/>
          </w:rPr>
          <w:fldChar w:fldCharType="begin"/>
        </w:r>
        <w:r>
          <w:rPr>
            <w:noProof/>
            <w:webHidden/>
          </w:rPr>
          <w:instrText xml:space="preserve"> PAGEREF _Toc243900269 \h </w:instrText>
        </w:r>
        <w:r>
          <w:rPr>
            <w:noProof/>
            <w:webHidden/>
          </w:rPr>
        </w:r>
        <w:r>
          <w:rPr>
            <w:noProof/>
            <w:webHidden/>
          </w:rPr>
          <w:fldChar w:fldCharType="separate"/>
        </w:r>
        <w:r>
          <w:rPr>
            <w:noProof/>
            <w:webHidden/>
          </w:rPr>
          <w:t>42</w:t>
        </w:r>
        <w:r>
          <w:rPr>
            <w:noProof/>
            <w:webHidden/>
          </w:rPr>
          <w:fldChar w:fldCharType="end"/>
        </w:r>
      </w:hyperlink>
    </w:p>
    <w:p w14:paraId="56D53071" w14:textId="6B8AFB21">
      <w:pPr>
        <w:pStyle w:val="TJ3"/>
        <w:rPr>
          <w:rFonts w:asciiTheme="minorHAnsi" w:hAnsiTheme="minorHAnsi" w:cstheme="minorBidi"/>
          <w:noProof/>
          <w:sz w:val="24"/>
          <w:szCs w:val="21"/>
          <w:lang w:eastAsia="en-GB" w:bidi="sa-IN"/>
        </w:rPr>
      </w:pPr>
      <w:hyperlink w:anchor="_Toc243900270" w:history="1">
        <w:r>
          <w:rPr>
            <w:rStyle w:val="Hiperhivatkozs"/>
            <w:noProof/>
            <w:lang w:bidi="ar-SA"/>
          </w:rPr>
          <w:t>4.4.3. Marking up other pagelike zones</w:t>
        </w:r>
        <w:r>
          <w:rPr>
            <w:noProof/>
            <w:webHidden/>
          </w:rPr>
          <w:tab/>
        </w:r>
        <w:r>
          <w:rPr>
            <w:noProof/>
            <w:webHidden/>
          </w:rPr>
          <w:fldChar w:fldCharType="begin"/>
        </w:r>
        <w:r>
          <w:rPr>
            <w:noProof/>
            <w:webHidden/>
          </w:rPr>
          <w:instrText xml:space="preserve"> PAGEREF _Toc243900270 \h </w:instrText>
        </w:r>
        <w:r>
          <w:rPr>
            <w:noProof/>
            <w:webHidden/>
          </w:rPr>
        </w:r>
        <w:r>
          <w:rPr>
            <w:noProof/>
            <w:webHidden/>
          </w:rPr>
          <w:fldChar w:fldCharType="separate"/>
        </w:r>
        <w:r>
          <w:rPr>
            <w:noProof/>
            <w:webHidden/>
          </w:rPr>
          <w:t>44</w:t>
        </w:r>
        <w:r>
          <w:rPr>
            <w:noProof/>
            <w:webHidden/>
          </w:rPr>
          <w:fldChar w:fldCharType="end"/>
        </w:r>
      </w:hyperlink>
    </w:p>
    <w:p w14:paraId="4BB042A1" w14:textId="670513CF">
      <w:pPr>
        <w:pStyle w:val="TJ3"/>
        <w:rPr>
          <w:rFonts w:asciiTheme="minorHAnsi" w:hAnsiTheme="minorHAnsi" w:cstheme="minorBidi"/>
          <w:noProof/>
          <w:sz w:val="24"/>
          <w:szCs w:val="21"/>
          <w:lang w:eastAsia="en-GB" w:bidi="sa-IN"/>
        </w:rPr>
      </w:pPr>
      <w:hyperlink w:anchor="_Toc243900271" w:history="1">
        <w:r>
          <w:rPr>
            <w:rStyle w:val="Hiperhivatkozs"/>
            <w:noProof/>
            <w:lang w:bidi="ar-SA"/>
          </w:rPr>
          <w:t>4.4.4. Numbered elements in pagelike partitions</w:t>
        </w:r>
        <w:r>
          <w:rPr>
            <w:noProof/>
            <w:webHidden/>
          </w:rPr>
          <w:tab/>
        </w:r>
        <w:r>
          <w:rPr>
            <w:noProof/>
            <w:webHidden/>
          </w:rPr>
          <w:fldChar w:fldCharType="begin"/>
        </w:r>
        <w:r>
          <w:rPr>
            <w:noProof/>
            <w:webHidden/>
          </w:rPr>
          <w:instrText xml:space="preserve"> PAGEREF _Toc243900271 \h </w:instrText>
        </w:r>
        <w:r>
          <w:rPr>
            <w:noProof/>
            <w:webHidden/>
          </w:rPr>
        </w:r>
        <w:r>
          <w:rPr>
            <w:noProof/>
            <w:webHidden/>
          </w:rPr>
          <w:fldChar w:fldCharType="separate"/>
        </w:r>
        <w:r>
          <w:rPr>
            <w:noProof/>
            <w:webHidden/>
          </w:rPr>
          <w:t>45</w:t>
        </w:r>
        <w:r>
          <w:rPr>
            <w:noProof/>
            <w:webHidden/>
          </w:rPr>
          <w:fldChar w:fldCharType="end"/>
        </w:r>
      </w:hyperlink>
    </w:p>
    <w:p w14:paraId="43F903B0" w14:textId="5084EC7B">
      <w:pPr>
        <w:pStyle w:val="TJ2"/>
        <w:rPr>
          <w:rFonts w:asciiTheme="minorHAnsi" w:hAnsiTheme="minorHAnsi" w:cstheme="minorBidi"/>
          <w:noProof/>
          <w:sz w:val="24"/>
          <w:szCs w:val="21"/>
          <w:lang w:eastAsia="en-GB" w:bidi="sa-IN"/>
        </w:rPr>
      </w:pPr>
      <w:hyperlink w:anchor="_Toc243900272" w:history="1">
        <w:r>
          <w:rPr>
            <w:rStyle w:val="Hiperhivatkozs"/>
            <w:noProof/>
            <w:lang w:bidi="ar-SA"/>
          </w:rPr>
          <w:t>4.5. Physical lines</w:t>
        </w:r>
        <w:r>
          <w:rPr>
            <w:noProof/>
            <w:webHidden/>
          </w:rPr>
          <w:tab/>
        </w:r>
        <w:r>
          <w:rPr>
            <w:noProof/>
            <w:webHidden/>
          </w:rPr>
          <w:fldChar w:fldCharType="begin"/>
        </w:r>
        <w:r>
          <w:rPr>
            <w:noProof/>
            <w:webHidden/>
          </w:rPr>
          <w:instrText xml:space="preserve"> PAGEREF _Toc243900272 \h </w:instrText>
        </w:r>
        <w:r>
          <w:rPr>
            <w:noProof/>
            <w:webHidden/>
          </w:rPr>
        </w:r>
        <w:r>
          <w:rPr>
            <w:noProof/>
            <w:webHidden/>
          </w:rPr>
          <w:fldChar w:fldCharType="separate"/>
        </w:r>
        <w:r>
          <w:rPr>
            <w:noProof/>
            <w:webHidden/>
          </w:rPr>
          <w:t>45</w:t>
        </w:r>
        <w:r>
          <w:rPr>
            <w:noProof/>
            <w:webHidden/>
          </w:rPr>
          <w:fldChar w:fldCharType="end"/>
        </w:r>
      </w:hyperlink>
    </w:p>
    <w:p w14:paraId="430F51AD" w14:textId="0777097D">
      <w:pPr>
        <w:pStyle w:val="TJ3"/>
        <w:rPr>
          <w:rFonts w:asciiTheme="minorHAnsi" w:hAnsiTheme="minorHAnsi" w:cstheme="minorBidi"/>
          <w:noProof/>
          <w:sz w:val="24"/>
          <w:szCs w:val="21"/>
          <w:lang w:eastAsia="en-GB" w:bidi="sa-IN"/>
        </w:rPr>
      </w:pPr>
      <w:hyperlink w:anchor="_Toc243900273" w:history="1">
        <w:r>
          <w:rPr>
            <w:rStyle w:val="Hiperhivatkozs"/>
            <w:noProof/>
            <w:lang w:bidi="ar-SA"/>
          </w:rPr>
          <w:t>4.5.1. Marking up line beginnings</w:t>
        </w:r>
        <w:r>
          <w:rPr>
            <w:noProof/>
            <w:webHidden/>
          </w:rPr>
          <w:tab/>
        </w:r>
        <w:r>
          <w:rPr>
            <w:noProof/>
            <w:webHidden/>
          </w:rPr>
          <w:fldChar w:fldCharType="begin"/>
        </w:r>
        <w:r>
          <w:rPr>
            <w:noProof/>
            <w:webHidden/>
          </w:rPr>
          <w:instrText xml:space="preserve"> PAGEREF _Toc243900273 \h </w:instrText>
        </w:r>
        <w:r>
          <w:rPr>
            <w:noProof/>
            <w:webHidden/>
          </w:rPr>
        </w:r>
        <w:r>
          <w:rPr>
            <w:noProof/>
            <w:webHidden/>
          </w:rPr>
          <w:fldChar w:fldCharType="separate"/>
        </w:r>
        <w:r>
          <w:rPr>
            <w:noProof/>
            <w:webHidden/>
          </w:rPr>
          <w:t>46</w:t>
        </w:r>
        <w:r>
          <w:rPr>
            <w:noProof/>
            <w:webHidden/>
          </w:rPr>
          <w:fldChar w:fldCharType="end"/>
        </w:r>
      </w:hyperlink>
    </w:p>
    <w:p w14:paraId="3DBD326A" w14:textId="127C5A7F">
      <w:pPr>
        <w:pStyle w:val="TJ3"/>
        <w:rPr>
          <w:rFonts w:asciiTheme="minorHAnsi" w:hAnsiTheme="minorHAnsi" w:cstheme="minorBidi"/>
          <w:noProof/>
          <w:sz w:val="24"/>
          <w:szCs w:val="21"/>
          <w:lang w:eastAsia="en-GB" w:bidi="sa-IN"/>
        </w:rPr>
      </w:pPr>
      <w:hyperlink w:anchor="_Toc243900274" w:history="1">
        <w:r>
          <w:rPr>
            <w:rStyle w:val="Hiperhivatkozs"/>
            <w:noProof/>
            <w:lang w:bidi="ar-SA"/>
          </w:rPr>
          <w:t>4.5.2. Numbering lines</w:t>
        </w:r>
        <w:r>
          <w:rPr>
            <w:noProof/>
            <w:webHidden/>
          </w:rPr>
          <w:tab/>
        </w:r>
        <w:r>
          <w:rPr>
            <w:noProof/>
            <w:webHidden/>
          </w:rPr>
          <w:fldChar w:fldCharType="begin"/>
        </w:r>
        <w:r>
          <w:rPr>
            <w:noProof/>
            <w:webHidden/>
          </w:rPr>
          <w:instrText xml:space="preserve"> PAGEREF _Toc243900274 \h </w:instrText>
        </w:r>
        <w:r>
          <w:rPr>
            <w:noProof/>
            <w:webHidden/>
          </w:rPr>
        </w:r>
        <w:r>
          <w:rPr>
            <w:noProof/>
            <w:webHidden/>
          </w:rPr>
          <w:fldChar w:fldCharType="separate"/>
        </w:r>
        <w:r>
          <w:rPr>
            <w:noProof/>
            <w:webHidden/>
          </w:rPr>
          <w:t>47</w:t>
        </w:r>
        <w:r>
          <w:rPr>
            <w:noProof/>
            <w:webHidden/>
          </w:rPr>
          <w:fldChar w:fldCharType="end"/>
        </w:r>
      </w:hyperlink>
    </w:p>
    <w:p w14:paraId="1E43DACF" w14:textId="25A9D8E1">
      <w:pPr>
        <w:pStyle w:val="TJ2"/>
        <w:rPr>
          <w:rFonts w:asciiTheme="minorHAnsi" w:hAnsiTheme="minorHAnsi" w:cstheme="minorBidi"/>
          <w:noProof/>
          <w:sz w:val="24"/>
          <w:szCs w:val="21"/>
          <w:lang w:eastAsia="en-GB" w:bidi="sa-IN"/>
        </w:rPr>
      </w:pPr>
      <w:hyperlink w:anchor="_Toc243900275" w:history="1">
        <w:r>
          <w:rPr>
            <w:rStyle w:val="Hiperhivatkozs"/>
            <w:noProof/>
            <w:lang w:bidi="ar-SA"/>
          </w:rPr>
          <w:t>4.6. Gridlike partitions</w:t>
        </w:r>
        <w:r>
          <w:rPr>
            <w:noProof/>
            <w:webHidden/>
          </w:rPr>
          <w:tab/>
        </w:r>
        <w:r>
          <w:rPr>
            <w:noProof/>
            <w:webHidden/>
          </w:rPr>
          <w:fldChar w:fldCharType="begin"/>
        </w:r>
        <w:r>
          <w:rPr>
            <w:noProof/>
            <w:webHidden/>
          </w:rPr>
          <w:instrText xml:space="preserve"> PAGEREF _Toc243900275 \h </w:instrText>
        </w:r>
        <w:r>
          <w:rPr>
            <w:noProof/>
            <w:webHidden/>
          </w:rPr>
        </w:r>
        <w:r>
          <w:rPr>
            <w:noProof/>
            <w:webHidden/>
          </w:rPr>
          <w:fldChar w:fldCharType="separate"/>
        </w:r>
        <w:r>
          <w:rPr>
            <w:noProof/>
            <w:webHidden/>
          </w:rPr>
          <w:t>48</w:t>
        </w:r>
        <w:r>
          <w:rPr>
            <w:noProof/>
            <w:webHidden/>
          </w:rPr>
          <w:fldChar w:fldCharType="end"/>
        </w:r>
      </w:hyperlink>
    </w:p>
    <w:p w14:paraId="2C2E09EC" w14:textId="7FBD2E98">
      <w:pPr>
        <w:pStyle w:val="TJ3"/>
        <w:rPr>
          <w:rFonts w:asciiTheme="minorHAnsi" w:hAnsiTheme="minorHAnsi" w:cstheme="minorBidi"/>
          <w:noProof/>
          <w:sz w:val="24"/>
          <w:szCs w:val="21"/>
          <w:lang w:eastAsia="en-GB" w:bidi="sa-IN"/>
        </w:rPr>
      </w:pPr>
      <w:hyperlink w:anchor="_Toc243900276" w:history="1">
        <w:r>
          <w:rPr>
            <w:rStyle w:val="Hiperhivatkozs"/>
            <w:noProof/>
            <w:lang w:bidi="ar-SA"/>
          </w:rPr>
          <w:t>4.6.1. Marking up gridlike partitions</w:t>
        </w:r>
        <w:r>
          <w:rPr>
            <w:noProof/>
            <w:webHidden/>
          </w:rPr>
          <w:tab/>
        </w:r>
        <w:r>
          <w:rPr>
            <w:noProof/>
            <w:webHidden/>
          </w:rPr>
          <w:fldChar w:fldCharType="begin"/>
        </w:r>
        <w:r>
          <w:rPr>
            <w:noProof/>
            <w:webHidden/>
          </w:rPr>
          <w:instrText xml:space="preserve"> PAGEREF _Toc243900276 \h </w:instrText>
        </w:r>
        <w:r>
          <w:rPr>
            <w:noProof/>
            <w:webHidden/>
          </w:rPr>
        </w:r>
        <w:r>
          <w:rPr>
            <w:noProof/>
            <w:webHidden/>
          </w:rPr>
          <w:fldChar w:fldCharType="separate"/>
        </w:r>
        <w:r>
          <w:rPr>
            <w:noProof/>
            <w:webHidden/>
          </w:rPr>
          <w:t>48</w:t>
        </w:r>
        <w:r>
          <w:rPr>
            <w:noProof/>
            <w:webHidden/>
          </w:rPr>
          <w:fldChar w:fldCharType="end"/>
        </w:r>
      </w:hyperlink>
    </w:p>
    <w:p w14:paraId="7D3F6A96" w14:textId="0F30E978">
      <w:pPr>
        <w:pStyle w:val="TJ2"/>
        <w:rPr>
          <w:rFonts w:asciiTheme="minorHAnsi" w:hAnsiTheme="minorHAnsi" w:cstheme="minorBidi"/>
          <w:noProof/>
          <w:sz w:val="24"/>
          <w:szCs w:val="21"/>
          <w:lang w:eastAsia="en-GB" w:bidi="sa-IN"/>
        </w:rPr>
      </w:pPr>
      <w:hyperlink w:anchor="_Toc243900277" w:history="1">
        <w:r>
          <w:rPr>
            <w:rStyle w:val="Hiperhivatkozs"/>
            <w:noProof/>
            <w:lang w:bidi="ar-SA"/>
          </w:rPr>
          <w:t>4.7. Dealing with the realities of extrinsic structure</w:t>
        </w:r>
        <w:r>
          <w:rPr>
            <w:noProof/>
            <w:webHidden/>
          </w:rPr>
          <w:tab/>
        </w:r>
        <w:r>
          <w:rPr>
            <w:noProof/>
            <w:webHidden/>
          </w:rPr>
          <w:fldChar w:fldCharType="begin"/>
        </w:r>
        <w:r>
          <w:rPr>
            <w:noProof/>
            <w:webHidden/>
          </w:rPr>
          <w:instrText xml:space="preserve"> PAGEREF _Toc243900277 \h </w:instrText>
        </w:r>
        <w:r>
          <w:rPr>
            <w:noProof/>
            <w:webHidden/>
          </w:rPr>
        </w:r>
        <w:r>
          <w:rPr>
            <w:noProof/>
            <w:webHidden/>
          </w:rPr>
          <w:fldChar w:fldCharType="separate"/>
        </w:r>
        <w:r>
          <w:rPr>
            <w:noProof/>
            <w:webHidden/>
          </w:rPr>
          <w:t>49</w:t>
        </w:r>
        <w:r>
          <w:rPr>
            <w:noProof/>
            <w:webHidden/>
          </w:rPr>
          <w:fldChar w:fldCharType="end"/>
        </w:r>
      </w:hyperlink>
    </w:p>
    <w:p w14:paraId="04E9041E" w14:textId="621CB969">
      <w:pPr>
        <w:pStyle w:val="TJ3"/>
        <w:rPr>
          <w:rFonts w:asciiTheme="minorHAnsi" w:hAnsiTheme="minorHAnsi" w:cstheme="minorBidi"/>
          <w:noProof/>
          <w:sz w:val="24"/>
          <w:szCs w:val="21"/>
          <w:lang w:eastAsia="en-GB" w:bidi="sa-IN"/>
        </w:rPr>
      </w:pPr>
      <w:hyperlink w:anchor="_Toc243900278" w:history="1">
        <w:r>
          <w:rPr>
            <w:rStyle w:val="Hiperhivatkozs"/>
            <w:noProof/>
            <w:lang w:bidi="ar-SA"/>
          </w:rPr>
          <w:t>4.7.1. Peripheral inscribed zones</w:t>
        </w:r>
        <w:r>
          <w:rPr>
            <w:noProof/>
            <w:webHidden/>
          </w:rPr>
          <w:tab/>
        </w:r>
        <w:r>
          <w:rPr>
            <w:noProof/>
            <w:webHidden/>
          </w:rPr>
          <w:fldChar w:fldCharType="begin"/>
        </w:r>
        <w:r>
          <w:rPr>
            <w:noProof/>
            <w:webHidden/>
          </w:rPr>
          <w:instrText xml:space="preserve"> PAGEREF _Toc243900278 \h </w:instrText>
        </w:r>
        <w:r>
          <w:rPr>
            <w:noProof/>
            <w:webHidden/>
          </w:rPr>
        </w:r>
        <w:r>
          <w:rPr>
            <w:noProof/>
            <w:webHidden/>
          </w:rPr>
          <w:fldChar w:fldCharType="separate"/>
        </w:r>
        <w:r>
          <w:rPr>
            <w:noProof/>
            <w:webHidden/>
          </w:rPr>
          <w:t>49</w:t>
        </w:r>
        <w:r>
          <w:rPr>
            <w:noProof/>
            <w:webHidden/>
          </w:rPr>
          <w:fldChar w:fldCharType="end"/>
        </w:r>
      </w:hyperlink>
    </w:p>
    <w:p w14:paraId="7A4F9DAE" w14:textId="786A44FB">
      <w:pPr>
        <w:pStyle w:val="TJ3"/>
        <w:rPr>
          <w:rFonts w:asciiTheme="minorHAnsi" w:hAnsiTheme="minorHAnsi" w:cstheme="minorBidi"/>
          <w:noProof/>
          <w:sz w:val="24"/>
          <w:szCs w:val="21"/>
          <w:lang w:eastAsia="en-GB" w:bidi="sa-IN"/>
        </w:rPr>
      </w:pPr>
      <w:hyperlink w:anchor="_Toc243900279" w:history="1">
        <w:r>
          <w:rPr>
            <w:rStyle w:val="Hiperhivatkozs"/>
            <w:noProof/>
            <w:lang w:bidi="ar-SA"/>
          </w:rPr>
          <w:t>4.7.2. Pagination or foliation: “forme work”</w:t>
        </w:r>
        <w:r>
          <w:rPr>
            <w:noProof/>
            <w:webHidden/>
          </w:rPr>
          <w:tab/>
        </w:r>
        <w:r>
          <w:rPr>
            <w:noProof/>
            <w:webHidden/>
          </w:rPr>
          <w:fldChar w:fldCharType="begin"/>
        </w:r>
        <w:r>
          <w:rPr>
            <w:noProof/>
            <w:webHidden/>
          </w:rPr>
          <w:instrText xml:space="preserve"> PAGEREF _Toc243900279 \h </w:instrText>
        </w:r>
        <w:r>
          <w:rPr>
            <w:noProof/>
            <w:webHidden/>
          </w:rPr>
        </w:r>
        <w:r>
          <w:rPr>
            <w:noProof/>
            <w:webHidden/>
          </w:rPr>
          <w:fldChar w:fldCharType="separate"/>
        </w:r>
        <w:r>
          <w:rPr>
            <w:noProof/>
            <w:webHidden/>
          </w:rPr>
          <w:t>52</w:t>
        </w:r>
        <w:r>
          <w:rPr>
            <w:noProof/>
            <w:webHidden/>
          </w:rPr>
          <w:fldChar w:fldCharType="end"/>
        </w:r>
      </w:hyperlink>
    </w:p>
    <w:p w14:paraId="5B61118C" w14:textId="3A875631">
      <w:pPr>
        <w:pStyle w:val="TJ3"/>
        <w:rPr>
          <w:rFonts w:asciiTheme="minorHAnsi" w:hAnsiTheme="minorHAnsi" w:cstheme="minorBidi"/>
          <w:noProof/>
          <w:sz w:val="24"/>
          <w:szCs w:val="21"/>
          <w:lang w:eastAsia="en-GB" w:bidi="sa-IN"/>
        </w:rPr>
      </w:pPr>
      <w:hyperlink w:anchor="_Toc243900280" w:history="1">
        <w:r>
          <w:rPr>
            <w:rStyle w:val="Hiperhivatkozs"/>
            <w:noProof/>
            <w:lang w:bidi="ar-SA"/>
          </w:rPr>
          <w:t>4.7.3. When to use textpart divisions</w:t>
        </w:r>
        <w:r>
          <w:rPr>
            <w:noProof/>
            <w:webHidden/>
          </w:rPr>
          <w:tab/>
        </w:r>
        <w:r>
          <w:rPr>
            <w:noProof/>
            <w:webHidden/>
          </w:rPr>
          <w:fldChar w:fldCharType="begin"/>
        </w:r>
        <w:r>
          <w:rPr>
            <w:noProof/>
            <w:webHidden/>
          </w:rPr>
          <w:instrText xml:space="preserve"> PAGEREF _Toc243900280 \h </w:instrText>
        </w:r>
        <w:r>
          <w:rPr>
            <w:noProof/>
            <w:webHidden/>
          </w:rPr>
        </w:r>
        <w:r>
          <w:rPr>
            <w:noProof/>
            <w:webHidden/>
          </w:rPr>
          <w:fldChar w:fldCharType="separate"/>
        </w:r>
        <w:r>
          <w:rPr>
            <w:noProof/>
            <w:webHidden/>
          </w:rPr>
          <w:t>54</w:t>
        </w:r>
        <w:r>
          <w:rPr>
            <w:noProof/>
            <w:webHidden/>
          </w:rPr>
          <w:fldChar w:fldCharType="end"/>
        </w:r>
      </w:hyperlink>
    </w:p>
    <w:p w14:paraId="35EB1315" w14:textId="7768306E">
      <w:pPr>
        <w:pStyle w:val="TJ3"/>
        <w:rPr>
          <w:rFonts w:asciiTheme="minorHAnsi" w:hAnsiTheme="minorHAnsi" w:cstheme="minorBidi"/>
          <w:noProof/>
          <w:sz w:val="24"/>
          <w:szCs w:val="21"/>
          <w:lang w:eastAsia="en-GB" w:bidi="sa-IN"/>
        </w:rPr>
      </w:pPr>
      <w:hyperlink w:anchor="_Toc243900281" w:history="1">
        <w:r>
          <w:rPr>
            <w:rStyle w:val="Hiperhivatkozs"/>
            <w:noProof/>
            <w:lang w:bidi="ar-SA"/>
          </w:rPr>
          <w:t>4.7.4. When to use pagelike partitions</w:t>
        </w:r>
        <w:r>
          <w:rPr>
            <w:noProof/>
            <w:webHidden/>
          </w:rPr>
          <w:tab/>
        </w:r>
        <w:r>
          <w:rPr>
            <w:noProof/>
            <w:webHidden/>
          </w:rPr>
          <w:fldChar w:fldCharType="begin"/>
        </w:r>
        <w:r>
          <w:rPr>
            <w:noProof/>
            <w:webHidden/>
          </w:rPr>
          <w:instrText xml:space="preserve"> PAGEREF _Toc243900281 \h </w:instrText>
        </w:r>
        <w:r>
          <w:rPr>
            <w:noProof/>
            <w:webHidden/>
          </w:rPr>
        </w:r>
        <w:r>
          <w:rPr>
            <w:noProof/>
            <w:webHidden/>
          </w:rPr>
          <w:fldChar w:fldCharType="separate"/>
        </w:r>
        <w:r>
          <w:rPr>
            <w:noProof/>
            <w:webHidden/>
          </w:rPr>
          <w:t>56</w:t>
        </w:r>
        <w:r>
          <w:rPr>
            <w:noProof/>
            <w:webHidden/>
          </w:rPr>
          <w:fldChar w:fldCharType="end"/>
        </w:r>
      </w:hyperlink>
    </w:p>
    <w:p w14:paraId="1647E3B3" w14:textId="51E1D3D5">
      <w:pPr>
        <w:pStyle w:val="TJ3"/>
        <w:rPr>
          <w:rFonts w:asciiTheme="minorHAnsi" w:hAnsiTheme="minorHAnsi" w:cstheme="minorBidi"/>
          <w:noProof/>
          <w:sz w:val="24"/>
          <w:szCs w:val="21"/>
          <w:lang w:eastAsia="en-GB" w:bidi="sa-IN"/>
        </w:rPr>
      </w:pPr>
      <w:hyperlink w:anchor="_Toc243900282" w:history="1">
        <w:r>
          <w:rPr>
            <w:rStyle w:val="Hiperhivatkozs"/>
            <w:noProof/>
            <w:lang w:bidi="ar-SA"/>
          </w:rPr>
          <w:t>4.7.5. When to use gridlike partitions</w:t>
        </w:r>
        <w:r>
          <w:rPr>
            <w:noProof/>
            <w:webHidden/>
          </w:rPr>
          <w:tab/>
        </w:r>
        <w:r>
          <w:rPr>
            <w:noProof/>
            <w:webHidden/>
          </w:rPr>
          <w:fldChar w:fldCharType="begin"/>
        </w:r>
        <w:r>
          <w:rPr>
            <w:noProof/>
            <w:webHidden/>
          </w:rPr>
          <w:instrText xml:space="preserve"> PAGEREF _Toc243900282 \h </w:instrText>
        </w:r>
        <w:r>
          <w:rPr>
            <w:noProof/>
            <w:webHidden/>
          </w:rPr>
        </w:r>
        <w:r>
          <w:rPr>
            <w:noProof/>
            <w:webHidden/>
          </w:rPr>
          <w:fldChar w:fldCharType="separate"/>
        </w:r>
        <w:r>
          <w:rPr>
            <w:noProof/>
            <w:webHidden/>
          </w:rPr>
          <w:t>60</w:t>
        </w:r>
        <w:r>
          <w:rPr>
            <w:noProof/>
            <w:webHidden/>
          </w:rPr>
          <w:fldChar w:fldCharType="end"/>
        </w:r>
      </w:hyperlink>
    </w:p>
    <w:p w14:paraId="5EF7000D" w14:textId="0EF47A4C">
      <w:pPr>
        <w:pStyle w:val="TJ3"/>
        <w:rPr>
          <w:rFonts w:asciiTheme="minorHAnsi" w:hAnsiTheme="minorHAnsi" w:cstheme="minorBidi"/>
          <w:noProof/>
          <w:sz w:val="24"/>
          <w:szCs w:val="21"/>
          <w:lang w:eastAsia="en-GB" w:bidi="sa-IN"/>
        </w:rPr>
      </w:pPr>
      <w:hyperlink w:anchor="_Toc243900283" w:history="1">
        <w:r>
          <w:rPr>
            <w:rStyle w:val="Hiperhivatkozs"/>
            <w:noProof/>
            <w:lang w:bidi="ar-SA"/>
          </w:rPr>
          <w:t>4.7.6. Untidy extrinsic structure</w:t>
        </w:r>
        <w:r>
          <w:rPr>
            <w:noProof/>
            <w:webHidden/>
          </w:rPr>
          <w:tab/>
        </w:r>
        <w:r>
          <w:rPr>
            <w:noProof/>
            <w:webHidden/>
          </w:rPr>
          <w:fldChar w:fldCharType="begin"/>
        </w:r>
        <w:r>
          <w:rPr>
            <w:noProof/>
            <w:webHidden/>
          </w:rPr>
          <w:instrText xml:space="preserve"> PAGEREF _Toc243900283 \h </w:instrText>
        </w:r>
        <w:r>
          <w:rPr>
            <w:noProof/>
            <w:webHidden/>
          </w:rPr>
        </w:r>
        <w:r>
          <w:rPr>
            <w:noProof/>
            <w:webHidden/>
          </w:rPr>
          <w:fldChar w:fldCharType="separate"/>
        </w:r>
        <w:r>
          <w:rPr>
            <w:noProof/>
            <w:webHidden/>
          </w:rPr>
          <w:t>64</w:t>
        </w:r>
        <w:r>
          <w:rPr>
            <w:noProof/>
            <w:webHidden/>
          </w:rPr>
          <w:fldChar w:fldCharType="end"/>
        </w:r>
      </w:hyperlink>
    </w:p>
    <w:p w14:paraId="44C9CB23" w14:textId="47770BB7">
      <w:pPr>
        <w:pStyle w:val="TJ1"/>
        <w:rPr>
          <w:rFonts w:asciiTheme="minorHAnsi" w:hAnsiTheme="minorHAnsi" w:cstheme="minorBidi"/>
          <w:b w:val="0"/>
          <w:noProof/>
          <w:sz w:val="24"/>
          <w:szCs w:val="21"/>
          <w:lang w:eastAsia="en-GB" w:bidi="sa-IN"/>
        </w:rPr>
      </w:pPr>
      <w:hyperlink w:anchor="_Toc243900284" w:history="1">
        <w:r>
          <w:rPr>
            <w:rStyle w:val="Hiperhivatkozs"/>
            <w:noProof/>
            <w:lang w:bidi="ar-SA"/>
          </w:rPr>
          <w:t>5. The received text</w:t>
        </w:r>
        <w:r>
          <w:rPr>
            <w:noProof/>
            <w:webHidden/>
          </w:rPr>
          <w:tab/>
        </w:r>
        <w:r>
          <w:rPr>
            <w:noProof/>
            <w:webHidden/>
          </w:rPr>
          <w:fldChar w:fldCharType="begin"/>
        </w:r>
        <w:r>
          <w:rPr>
            <w:noProof/>
            <w:webHidden/>
          </w:rPr>
          <w:instrText xml:space="preserve"> PAGEREF _Toc243900284 \h </w:instrText>
        </w:r>
        <w:r>
          <w:rPr>
            <w:noProof/>
            <w:webHidden/>
          </w:rPr>
        </w:r>
        <w:r>
          <w:rPr>
            <w:noProof/>
            <w:webHidden/>
          </w:rPr>
          <w:fldChar w:fldCharType="separate"/>
        </w:r>
        <w:r>
          <w:rPr>
            <w:noProof/>
            <w:webHidden/>
          </w:rPr>
          <w:t>70</w:t>
        </w:r>
        <w:r>
          <w:rPr>
            <w:noProof/>
            <w:webHidden/>
          </w:rPr>
          <w:fldChar w:fldCharType="end"/>
        </w:r>
      </w:hyperlink>
    </w:p>
    <w:p w14:paraId="0C82E472" w14:textId="2AA08AD6">
      <w:pPr>
        <w:pStyle w:val="TJ2"/>
        <w:rPr>
          <w:rFonts w:asciiTheme="minorHAnsi" w:hAnsiTheme="minorHAnsi" w:cstheme="minorBidi"/>
          <w:noProof/>
          <w:sz w:val="24"/>
          <w:szCs w:val="21"/>
          <w:lang w:eastAsia="en-GB" w:bidi="sa-IN"/>
        </w:rPr>
      </w:pPr>
      <w:hyperlink w:anchor="_Toc243900285" w:history="1">
        <w:r>
          <w:rPr>
            <w:rStyle w:val="Hiperhivatkozs"/>
            <w:noProof/>
            <w:lang w:bidi="ar-SA"/>
          </w:rPr>
          <w:t>5.1. Phonographic graphemes</w:t>
        </w:r>
        <w:r>
          <w:rPr>
            <w:noProof/>
            <w:webHidden/>
          </w:rPr>
          <w:tab/>
        </w:r>
        <w:r>
          <w:rPr>
            <w:noProof/>
            <w:webHidden/>
          </w:rPr>
          <w:fldChar w:fldCharType="begin"/>
        </w:r>
        <w:r>
          <w:rPr>
            <w:noProof/>
            <w:webHidden/>
          </w:rPr>
          <w:instrText xml:space="preserve"> PAGEREF _Toc243900285 \h </w:instrText>
        </w:r>
        <w:r>
          <w:rPr>
            <w:noProof/>
            <w:webHidden/>
          </w:rPr>
        </w:r>
        <w:r>
          <w:rPr>
            <w:noProof/>
            <w:webHidden/>
          </w:rPr>
          <w:fldChar w:fldCharType="separate"/>
        </w:r>
        <w:r>
          <w:rPr>
            <w:noProof/>
            <w:webHidden/>
          </w:rPr>
          <w:t>70</w:t>
        </w:r>
        <w:r>
          <w:rPr>
            <w:noProof/>
            <w:webHidden/>
          </w:rPr>
          <w:fldChar w:fldCharType="end"/>
        </w:r>
      </w:hyperlink>
    </w:p>
    <w:p w14:paraId="14829E04" w14:textId="199B1AEC">
      <w:pPr>
        <w:pStyle w:val="TJ3"/>
        <w:rPr>
          <w:rFonts w:asciiTheme="minorHAnsi" w:hAnsiTheme="minorHAnsi" w:cstheme="minorBidi"/>
          <w:noProof/>
          <w:sz w:val="24"/>
          <w:szCs w:val="21"/>
          <w:lang w:eastAsia="en-GB" w:bidi="sa-IN"/>
        </w:rPr>
      </w:pPr>
      <w:hyperlink w:anchor="_Toc243900286" w:history="1">
        <w:r>
          <w:rPr>
            <w:rStyle w:val="Hiperhivatkozs"/>
            <w:noProof/>
            <w:lang w:bidi="ar-SA"/>
          </w:rPr>
          <w:t xml:space="preserve">5.1.1. Tagging target graphemes as one </w:t>
        </w:r>
        <w:r>
          <w:rPr>
            <w:rStyle w:val="Hiperhivatkozs"/>
            <w:i/>
            <w:iCs/>
            <w:noProof/>
            <w:lang w:bidi="ar-SA"/>
          </w:rPr>
          <w:t>akṣara</w:t>
        </w:r>
        <w:r>
          <w:rPr>
            <w:noProof/>
            <w:webHidden/>
          </w:rPr>
          <w:tab/>
        </w:r>
        <w:r>
          <w:rPr>
            <w:noProof/>
            <w:webHidden/>
          </w:rPr>
          <w:fldChar w:fldCharType="begin"/>
        </w:r>
        <w:r>
          <w:rPr>
            <w:noProof/>
            <w:webHidden/>
          </w:rPr>
          <w:instrText xml:space="preserve"> PAGEREF _Toc243900286 \h </w:instrText>
        </w:r>
        <w:r>
          <w:rPr>
            <w:noProof/>
            <w:webHidden/>
          </w:rPr>
        </w:r>
        <w:r>
          <w:rPr>
            <w:noProof/>
            <w:webHidden/>
          </w:rPr>
          <w:fldChar w:fldCharType="separate"/>
        </w:r>
        <w:r>
          <w:rPr>
            <w:noProof/>
            <w:webHidden/>
          </w:rPr>
          <w:t>70</w:t>
        </w:r>
        <w:r>
          <w:rPr>
            <w:noProof/>
            <w:webHidden/>
          </w:rPr>
          <w:fldChar w:fldCharType="end"/>
        </w:r>
      </w:hyperlink>
    </w:p>
    <w:p w14:paraId="71F4C68F" w14:textId="25714D98">
      <w:pPr>
        <w:pStyle w:val="TJ3"/>
        <w:rPr>
          <w:rFonts w:asciiTheme="minorHAnsi" w:hAnsiTheme="minorHAnsi" w:cstheme="minorBidi"/>
          <w:noProof/>
          <w:sz w:val="24"/>
          <w:szCs w:val="21"/>
          <w:lang w:eastAsia="en-GB" w:bidi="sa-IN"/>
        </w:rPr>
      </w:pPr>
      <w:hyperlink w:anchor="_Toc243900287" w:history="1">
        <w:r>
          <w:rPr>
            <w:rStyle w:val="Hiperhivatkozs"/>
            <w:noProof/>
            <w:lang w:bidi="ar-SA"/>
          </w:rPr>
          <w:t>5.1.2. Tagging parts of phonographic glyphs</w:t>
        </w:r>
        <w:r>
          <w:rPr>
            <w:noProof/>
            <w:webHidden/>
          </w:rPr>
          <w:tab/>
        </w:r>
        <w:r>
          <w:rPr>
            <w:noProof/>
            <w:webHidden/>
          </w:rPr>
          <w:fldChar w:fldCharType="begin"/>
        </w:r>
        <w:r>
          <w:rPr>
            <w:noProof/>
            <w:webHidden/>
          </w:rPr>
          <w:instrText xml:space="preserve"> PAGEREF _Toc243900287 \h </w:instrText>
        </w:r>
        <w:r>
          <w:rPr>
            <w:noProof/>
            <w:webHidden/>
          </w:rPr>
        </w:r>
        <w:r>
          <w:rPr>
            <w:noProof/>
            <w:webHidden/>
          </w:rPr>
          <w:fldChar w:fldCharType="separate"/>
        </w:r>
        <w:r>
          <w:rPr>
            <w:noProof/>
            <w:webHidden/>
          </w:rPr>
          <w:t>70</w:t>
        </w:r>
        <w:r>
          <w:rPr>
            <w:noProof/>
            <w:webHidden/>
          </w:rPr>
          <w:fldChar w:fldCharType="end"/>
        </w:r>
      </w:hyperlink>
    </w:p>
    <w:p w14:paraId="56724440" w14:textId="3F088AE2">
      <w:pPr>
        <w:pStyle w:val="TJ3"/>
        <w:rPr>
          <w:rFonts w:asciiTheme="minorHAnsi" w:hAnsiTheme="minorHAnsi" w:cstheme="minorBidi"/>
          <w:noProof/>
          <w:sz w:val="24"/>
          <w:szCs w:val="21"/>
          <w:lang w:eastAsia="en-GB" w:bidi="sa-IN"/>
        </w:rPr>
      </w:pPr>
      <w:hyperlink w:anchor="_Toc243900288" w:history="1">
        <w:r>
          <w:rPr>
            <w:rStyle w:val="Hiperhivatkozs"/>
            <w:noProof/>
            <w:lang w:bidi="ar-SA"/>
          </w:rPr>
          <w:t>5.1.3. Unusual spatial arrangement in conjuncts</w:t>
        </w:r>
        <w:r>
          <w:rPr>
            <w:noProof/>
            <w:webHidden/>
          </w:rPr>
          <w:tab/>
        </w:r>
        <w:r>
          <w:rPr>
            <w:noProof/>
            <w:webHidden/>
          </w:rPr>
          <w:fldChar w:fldCharType="begin"/>
        </w:r>
        <w:r>
          <w:rPr>
            <w:noProof/>
            <w:webHidden/>
          </w:rPr>
          <w:instrText xml:space="preserve"> PAGEREF _Toc243900288 \h </w:instrText>
        </w:r>
        <w:r>
          <w:rPr>
            <w:noProof/>
            <w:webHidden/>
          </w:rPr>
        </w:r>
        <w:r>
          <w:rPr>
            <w:noProof/>
            <w:webHidden/>
          </w:rPr>
          <w:fldChar w:fldCharType="separate"/>
        </w:r>
        <w:r>
          <w:rPr>
            <w:noProof/>
            <w:webHidden/>
          </w:rPr>
          <w:t>71</w:t>
        </w:r>
        <w:r>
          <w:rPr>
            <w:noProof/>
            <w:webHidden/>
          </w:rPr>
          <w:fldChar w:fldCharType="end"/>
        </w:r>
      </w:hyperlink>
    </w:p>
    <w:p w14:paraId="78B11F17" w14:textId="28A829BB">
      <w:pPr>
        <w:pStyle w:val="TJ3"/>
        <w:rPr>
          <w:rFonts w:asciiTheme="minorHAnsi" w:hAnsiTheme="minorHAnsi" w:cstheme="minorBidi"/>
          <w:noProof/>
          <w:sz w:val="24"/>
          <w:szCs w:val="21"/>
          <w:lang w:eastAsia="en-GB" w:bidi="sa-IN"/>
        </w:rPr>
      </w:pPr>
      <w:hyperlink w:anchor="_Toc243900289" w:history="1">
        <w:r>
          <w:rPr>
            <w:rStyle w:val="Hiperhivatkozs"/>
            <w:noProof/>
            <w:lang w:bidi="ar-SA"/>
          </w:rPr>
          <w:t>5.1.4. Complex glyphs deliberately split over an intervening feature</w:t>
        </w:r>
        <w:r>
          <w:rPr>
            <w:noProof/>
            <w:webHidden/>
          </w:rPr>
          <w:tab/>
        </w:r>
        <w:r>
          <w:rPr>
            <w:noProof/>
            <w:webHidden/>
          </w:rPr>
          <w:fldChar w:fldCharType="begin"/>
        </w:r>
        <w:r>
          <w:rPr>
            <w:noProof/>
            <w:webHidden/>
          </w:rPr>
          <w:instrText xml:space="preserve"> PAGEREF _Toc243900289 \h </w:instrText>
        </w:r>
        <w:r>
          <w:rPr>
            <w:noProof/>
            <w:webHidden/>
          </w:rPr>
        </w:r>
        <w:r>
          <w:rPr>
            <w:noProof/>
            <w:webHidden/>
          </w:rPr>
          <w:fldChar w:fldCharType="separate"/>
        </w:r>
        <w:r>
          <w:rPr>
            <w:noProof/>
            <w:webHidden/>
          </w:rPr>
          <w:t>72</w:t>
        </w:r>
        <w:r>
          <w:rPr>
            <w:noProof/>
            <w:webHidden/>
          </w:rPr>
          <w:fldChar w:fldCharType="end"/>
        </w:r>
      </w:hyperlink>
    </w:p>
    <w:p w14:paraId="3E02BF60" w14:textId="2E79EA82">
      <w:pPr>
        <w:pStyle w:val="TJ3"/>
        <w:rPr>
          <w:rFonts w:asciiTheme="minorHAnsi" w:hAnsiTheme="minorHAnsi" w:cstheme="minorBidi"/>
          <w:noProof/>
          <w:sz w:val="24"/>
          <w:szCs w:val="21"/>
          <w:lang w:eastAsia="en-GB" w:bidi="sa-IN"/>
        </w:rPr>
      </w:pPr>
      <w:hyperlink w:anchor="_Toc243900290" w:history="1">
        <w:r>
          <w:rPr>
            <w:rStyle w:val="Hiperhivatkozs"/>
            <w:noProof/>
            <w:lang w:bidi="ar-SA"/>
          </w:rPr>
          <w:t>5.1.5. Phonographic glyphs in a different function</w:t>
        </w:r>
        <w:r>
          <w:rPr>
            <w:noProof/>
            <w:webHidden/>
          </w:rPr>
          <w:tab/>
        </w:r>
        <w:r>
          <w:rPr>
            <w:noProof/>
            <w:webHidden/>
          </w:rPr>
          <w:fldChar w:fldCharType="begin"/>
        </w:r>
        <w:r>
          <w:rPr>
            <w:noProof/>
            <w:webHidden/>
          </w:rPr>
          <w:instrText xml:space="preserve"> PAGEREF _Toc243900290 \h </w:instrText>
        </w:r>
        <w:r>
          <w:rPr>
            <w:noProof/>
            <w:webHidden/>
          </w:rPr>
        </w:r>
        <w:r>
          <w:rPr>
            <w:noProof/>
            <w:webHidden/>
          </w:rPr>
          <w:fldChar w:fldCharType="separate"/>
        </w:r>
        <w:r>
          <w:rPr>
            <w:noProof/>
            <w:webHidden/>
          </w:rPr>
          <w:t>74</w:t>
        </w:r>
        <w:r>
          <w:rPr>
            <w:noProof/>
            <w:webHidden/>
          </w:rPr>
          <w:fldChar w:fldCharType="end"/>
        </w:r>
      </w:hyperlink>
    </w:p>
    <w:p w14:paraId="0A748FD5" w14:textId="539CEA40">
      <w:pPr>
        <w:pStyle w:val="TJ2"/>
        <w:rPr>
          <w:rFonts w:asciiTheme="minorHAnsi" w:hAnsiTheme="minorHAnsi" w:cstheme="minorBidi"/>
          <w:noProof/>
          <w:sz w:val="24"/>
          <w:szCs w:val="21"/>
          <w:lang w:eastAsia="en-GB" w:bidi="sa-IN"/>
        </w:rPr>
      </w:pPr>
      <w:hyperlink w:anchor="_Toc243900291" w:history="1">
        <w:r>
          <w:rPr>
            <w:rStyle w:val="Hiperhivatkozs"/>
            <w:noProof/>
            <w:lang w:bidi="ar-SA"/>
          </w:rPr>
          <w:t>5.2. Numeral signs</w:t>
        </w:r>
        <w:r>
          <w:rPr>
            <w:noProof/>
            <w:webHidden/>
          </w:rPr>
          <w:tab/>
        </w:r>
        <w:r>
          <w:rPr>
            <w:noProof/>
            <w:webHidden/>
          </w:rPr>
          <w:fldChar w:fldCharType="begin"/>
        </w:r>
        <w:r>
          <w:rPr>
            <w:noProof/>
            <w:webHidden/>
          </w:rPr>
          <w:instrText xml:space="preserve"> PAGEREF _Toc243900291 \h </w:instrText>
        </w:r>
        <w:r>
          <w:rPr>
            <w:noProof/>
            <w:webHidden/>
          </w:rPr>
        </w:r>
        <w:r>
          <w:rPr>
            <w:noProof/>
            <w:webHidden/>
          </w:rPr>
          <w:fldChar w:fldCharType="separate"/>
        </w:r>
        <w:r>
          <w:rPr>
            <w:noProof/>
            <w:webHidden/>
          </w:rPr>
          <w:t>74</w:t>
        </w:r>
        <w:r>
          <w:rPr>
            <w:noProof/>
            <w:webHidden/>
          </w:rPr>
          <w:fldChar w:fldCharType="end"/>
        </w:r>
      </w:hyperlink>
    </w:p>
    <w:p w14:paraId="34BE9C92" w14:textId="5C158979">
      <w:pPr>
        <w:pStyle w:val="TJ3"/>
        <w:rPr>
          <w:rFonts w:asciiTheme="minorHAnsi" w:hAnsiTheme="minorHAnsi" w:cstheme="minorBidi"/>
          <w:noProof/>
          <w:sz w:val="24"/>
          <w:szCs w:val="21"/>
          <w:lang w:eastAsia="en-GB" w:bidi="sa-IN"/>
        </w:rPr>
      </w:pPr>
      <w:hyperlink w:anchor="_Toc243900292" w:history="1">
        <w:r>
          <w:rPr>
            <w:rStyle w:val="Hiperhivatkozs"/>
            <w:noProof/>
            <w:lang w:bidi="ar-SA"/>
          </w:rPr>
          <w:t>5.2.1. Glyph encoding for numerals</w:t>
        </w:r>
        <w:r>
          <w:rPr>
            <w:noProof/>
            <w:webHidden/>
          </w:rPr>
          <w:tab/>
        </w:r>
        <w:r>
          <w:rPr>
            <w:noProof/>
            <w:webHidden/>
          </w:rPr>
          <w:fldChar w:fldCharType="begin"/>
        </w:r>
        <w:r>
          <w:rPr>
            <w:noProof/>
            <w:webHidden/>
          </w:rPr>
          <w:instrText xml:space="preserve"> PAGEREF _Toc243900292 \h </w:instrText>
        </w:r>
        <w:r>
          <w:rPr>
            <w:noProof/>
            <w:webHidden/>
          </w:rPr>
        </w:r>
        <w:r>
          <w:rPr>
            <w:noProof/>
            <w:webHidden/>
          </w:rPr>
          <w:fldChar w:fldCharType="separate"/>
        </w:r>
        <w:r>
          <w:rPr>
            <w:noProof/>
            <w:webHidden/>
          </w:rPr>
          <w:t>74</w:t>
        </w:r>
        <w:r>
          <w:rPr>
            <w:noProof/>
            <w:webHidden/>
          </w:rPr>
          <w:fldChar w:fldCharType="end"/>
        </w:r>
      </w:hyperlink>
    </w:p>
    <w:p w14:paraId="0F895DBD" w14:textId="7CC1357B">
      <w:pPr>
        <w:pStyle w:val="TJ3"/>
        <w:rPr>
          <w:rFonts w:asciiTheme="minorHAnsi" w:hAnsiTheme="minorHAnsi" w:cstheme="minorBidi"/>
          <w:noProof/>
          <w:sz w:val="24"/>
          <w:szCs w:val="21"/>
          <w:lang w:eastAsia="en-GB" w:bidi="sa-IN"/>
        </w:rPr>
      </w:pPr>
      <w:hyperlink w:anchor="_Toc243900293" w:history="1">
        <w:r>
          <w:rPr>
            <w:rStyle w:val="Hiperhivatkozs"/>
            <w:noProof/>
            <w:lang w:bidi="ar-SA"/>
          </w:rPr>
          <w:t>5.2.2. Numeral signs and their context</w:t>
        </w:r>
        <w:r>
          <w:rPr>
            <w:noProof/>
            <w:webHidden/>
          </w:rPr>
          <w:tab/>
        </w:r>
        <w:r>
          <w:rPr>
            <w:noProof/>
            <w:webHidden/>
          </w:rPr>
          <w:fldChar w:fldCharType="begin"/>
        </w:r>
        <w:r>
          <w:rPr>
            <w:noProof/>
            <w:webHidden/>
          </w:rPr>
          <w:instrText xml:space="preserve"> PAGEREF _Toc243900293 \h </w:instrText>
        </w:r>
        <w:r>
          <w:rPr>
            <w:noProof/>
            <w:webHidden/>
          </w:rPr>
        </w:r>
        <w:r>
          <w:rPr>
            <w:noProof/>
            <w:webHidden/>
          </w:rPr>
          <w:fldChar w:fldCharType="separate"/>
        </w:r>
        <w:r>
          <w:rPr>
            <w:noProof/>
            <w:webHidden/>
          </w:rPr>
          <w:t>75</w:t>
        </w:r>
        <w:r>
          <w:rPr>
            <w:noProof/>
            <w:webHidden/>
          </w:rPr>
          <w:fldChar w:fldCharType="end"/>
        </w:r>
      </w:hyperlink>
    </w:p>
    <w:p w14:paraId="23DDE731" w14:textId="400F8840">
      <w:pPr>
        <w:pStyle w:val="TJ3"/>
        <w:rPr>
          <w:rFonts w:asciiTheme="minorHAnsi" w:hAnsiTheme="minorHAnsi" w:cstheme="minorBidi"/>
          <w:noProof/>
          <w:sz w:val="24"/>
          <w:szCs w:val="21"/>
          <w:lang w:eastAsia="en-GB" w:bidi="sa-IN"/>
        </w:rPr>
      </w:pPr>
      <w:hyperlink w:anchor="_Toc243900294" w:history="1">
        <w:r>
          <w:rPr>
            <w:rStyle w:val="Hiperhivatkozs"/>
            <w:noProof/>
            <w:lang w:bidi="ar-SA"/>
          </w:rPr>
          <w:t>5.2.3. Numeral glyphs in a non-numeral function</w:t>
        </w:r>
        <w:r>
          <w:rPr>
            <w:noProof/>
            <w:webHidden/>
          </w:rPr>
          <w:tab/>
        </w:r>
        <w:r>
          <w:rPr>
            <w:noProof/>
            <w:webHidden/>
          </w:rPr>
          <w:fldChar w:fldCharType="begin"/>
        </w:r>
        <w:r>
          <w:rPr>
            <w:noProof/>
            <w:webHidden/>
          </w:rPr>
          <w:instrText xml:space="preserve"> PAGEREF _Toc243900294 \h </w:instrText>
        </w:r>
        <w:r>
          <w:rPr>
            <w:noProof/>
            <w:webHidden/>
          </w:rPr>
        </w:r>
        <w:r>
          <w:rPr>
            <w:noProof/>
            <w:webHidden/>
          </w:rPr>
          <w:fldChar w:fldCharType="separate"/>
        </w:r>
        <w:r>
          <w:rPr>
            <w:noProof/>
            <w:webHidden/>
          </w:rPr>
          <w:t>75</w:t>
        </w:r>
        <w:r>
          <w:rPr>
            <w:noProof/>
            <w:webHidden/>
          </w:rPr>
          <w:fldChar w:fldCharType="end"/>
        </w:r>
      </w:hyperlink>
    </w:p>
    <w:p w14:paraId="12FAF9E0" w14:textId="024F3C44">
      <w:pPr>
        <w:pStyle w:val="TJ2"/>
        <w:rPr>
          <w:rFonts w:asciiTheme="minorHAnsi" w:hAnsiTheme="minorHAnsi" w:cstheme="minorBidi"/>
          <w:noProof/>
          <w:sz w:val="24"/>
          <w:szCs w:val="21"/>
          <w:lang w:eastAsia="en-GB" w:bidi="sa-IN"/>
        </w:rPr>
      </w:pPr>
      <w:hyperlink w:anchor="_Toc243900295" w:history="1">
        <w:r>
          <w:rPr>
            <w:rStyle w:val="Hiperhivatkozs"/>
            <w:noProof/>
            <w:lang w:bidi="ar-SA"/>
          </w:rPr>
          <w:t>5.3. Peripheral graphemes</w:t>
        </w:r>
        <w:r>
          <w:rPr>
            <w:noProof/>
            <w:webHidden/>
          </w:rPr>
          <w:tab/>
        </w:r>
        <w:r>
          <w:rPr>
            <w:noProof/>
            <w:webHidden/>
          </w:rPr>
          <w:fldChar w:fldCharType="begin"/>
        </w:r>
        <w:r>
          <w:rPr>
            <w:noProof/>
            <w:webHidden/>
          </w:rPr>
          <w:instrText xml:space="preserve"> PAGEREF _Toc243900295 \h </w:instrText>
        </w:r>
        <w:r>
          <w:rPr>
            <w:noProof/>
            <w:webHidden/>
          </w:rPr>
        </w:r>
        <w:r>
          <w:rPr>
            <w:noProof/>
            <w:webHidden/>
          </w:rPr>
          <w:fldChar w:fldCharType="separate"/>
        </w:r>
        <w:r>
          <w:rPr>
            <w:noProof/>
            <w:webHidden/>
          </w:rPr>
          <w:t>76</w:t>
        </w:r>
        <w:r>
          <w:rPr>
            <w:noProof/>
            <w:webHidden/>
          </w:rPr>
          <w:fldChar w:fldCharType="end"/>
        </w:r>
      </w:hyperlink>
    </w:p>
    <w:p w14:paraId="4150CD42" w14:textId="69DE9BFB">
      <w:pPr>
        <w:pStyle w:val="TJ3"/>
        <w:rPr>
          <w:rFonts w:asciiTheme="minorHAnsi" w:hAnsiTheme="minorHAnsi" w:cstheme="minorBidi"/>
          <w:noProof/>
          <w:sz w:val="24"/>
          <w:szCs w:val="21"/>
          <w:lang w:eastAsia="en-GB" w:bidi="sa-IN"/>
        </w:rPr>
      </w:pPr>
      <w:hyperlink w:anchor="_Toc243900296" w:history="1">
        <w:r>
          <w:rPr>
            <w:rStyle w:val="Hiperhivatkozs"/>
            <w:noProof/>
            <w:lang w:bidi="ar-SA"/>
          </w:rPr>
          <w:t>5.3.1. Representing peripheral graphemes in a digital edition</w:t>
        </w:r>
        <w:r>
          <w:rPr>
            <w:noProof/>
            <w:webHidden/>
          </w:rPr>
          <w:tab/>
        </w:r>
        <w:r>
          <w:rPr>
            <w:noProof/>
            <w:webHidden/>
          </w:rPr>
          <w:fldChar w:fldCharType="begin"/>
        </w:r>
        <w:r>
          <w:rPr>
            <w:noProof/>
            <w:webHidden/>
          </w:rPr>
          <w:instrText xml:space="preserve"> PAGEREF _Toc243900296 \h </w:instrText>
        </w:r>
        <w:r>
          <w:rPr>
            <w:noProof/>
            <w:webHidden/>
          </w:rPr>
        </w:r>
        <w:r>
          <w:rPr>
            <w:noProof/>
            <w:webHidden/>
          </w:rPr>
          <w:fldChar w:fldCharType="separate"/>
        </w:r>
        <w:r>
          <w:rPr>
            <w:noProof/>
            <w:webHidden/>
          </w:rPr>
          <w:t>76</w:t>
        </w:r>
        <w:r>
          <w:rPr>
            <w:noProof/>
            <w:webHidden/>
          </w:rPr>
          <w:fldChar w:fldCharType="end"/>
        </w:r>
      </w:hyperlink>
    </w:p>
    <w:p w14:paraId="53DF305F" w14:textId="1A4BC2F0">
      <w:pPr>
        <w:pStyle w:val="TJ3"/>
        <w:rPr>
          <w:rFonts w:asciiTheme="minorHAnsi" w:hAnsiTheme="minorHAnsi" w:cstheme="minorBidi"/>
          <w:noProof/>
          <w:sz w:val="24"/>
          <w:szCs w:val="21"/>
          <w:lang w:eastAsia="en-GB" w:bidi="sa-IN"/>
        </w:rPr>
      </w:pPr>
      <w:hyperlink w:anchor="_Toc243900297" w:history="1">
        <w:r>
          <w:rPr>
            <w:rStyle w:val="Hiperhivatkozs"/>
            <w:noProof/>
            <w:lang w:bidi="ar-SA"/>
          </w:rPr>
          <w:t>5.3.2. Classifying symbols by function</w:t>
        </w:r>
        <w:r>
          <w:rPr>
            <w:noProof/>
            <w:webHidden/>
          </w:rPr>
          <w:tab/>
        </w:r>
        <w:r>
          <w:rPr>
            <w:noProof/>
            <w:webHidden/>
          </w:rPr>
          <w:fldChar w:fldCharType="begin"/>
        </w:r>
        <w:r>
          <w:rPr>
            <w:noProof/>
            <w:webHidden/>
          </w:rPr>
          <w:instrText xml:space="preserve"> PAGEREF _Toc243900297 \h </w:instrText>
        </w:r>
        <w:r>
          <w:rPr>
            <w:noProof/>
            <w:webHidden/>
          </w:rPr>
        </w:r>
        <w:r>
          <w:rPr>
            <w:noProof/>
            <w:webHidden/>
          </w:rPr>
          <w:fldChar w:fldCharType="separate"/>
        </w:r>
        <w:r>
          <w:rPr>
            <w:noProof/>
            <w:webHidden/>
          </w:rPr>
          <w:t>77</w:t>
        </w:r>
        <w:r>
          <w:rPr>
            <w:noProof/>
            <w:webHidden/>
          </w:rPr>
          <w:fldChar w:fldCharType="end"/>
        </w:r>
      </w:hyperlink>
    </w:p>
    <w:p w14:paraId="344F8CB8" w14:textId="06AE6078">
      <w:pPr>
        <w:pStyle w:val="TJ3"/>
        <w:rPr>
          <w:rFonts w:asciiTheme="minorHAnsi" w:hAnsiTheme="minorHAnsi" w:cstheme="minorBidi"/>
          <w:noProof/>
          <w:sz w:val="24"/>
          <w:szCs w:val="21"/>
          <w:lang w:eastAsia="en-GB" w:bidi="sa-IN"/>
        </w:rPr>
      </w:pPr>
      <w:hyperlink w:anchor="_Toc243900298" w:history="1">
        <w:r>
          <w:rPr>
            <w:rStyle w:val="Hiperhivatkozs"/>
            <w:noProof/>
            <w:lang w:bidi="ar-SA"/>
          </w:rPr>
          <w:t>5.3.3. Transliterating peripheral graphemes</w:t>
        </w:r>
        <w:r>
          <w:rPr>
            <w:noProof/>
            <w:webHidden/>
          </w:rPr>
          <w:tab/>
        </w:r>
        <w:r>
          <w:rPr>
            <w:noProof/>
            <w:webHidden/>
          </w:rPr>
          <w:fldChar w:fldCharType="begin"/>
        </w:r>
        <w:r>
          <w:rPr>
            <w:noProof/>
            <w:webHidden/>
          </w:rPr>
          <w:instrText xml:space="preserve"> PAGEREF _Toc243900298 \h </w:instrText>
        </w:r>
        <w:r>
          <w:rPr>
            <w:noProof/>
            <w:webHidden/>
          </w:rPr>
        </w:r>
        <w:r>
          <w:rPr>
            <w:noProof/>
            <w:webHidden/>
          </w:rPr>
          <w:fldChar w:fldCharType="separate"/>
        </w:r>
        <w:r>
          <w:rPr>
            <w:noProof/>
            <w:webHidden/>
          </w:rPr>
          <w:t>78</w:t>
        </w:r>
        <w:r>
          <w:rPr>
            <w:noProof/>
            <w:webHidden/>
          </w:rPr>
          <w:fldChar w:fldCharType="end"/>
        </w:r>
      </w:hyperlink>
    </w:p>
    <w:p w14:paraId="6AD6515F" w14:textId="1E18414D">
      <w:pPr>
        <w:pStyle w:val="TJ3"/>
        <w:rPr>
          <w:rFonts w:asciiTheme="minorHAnsi" w:hAnsiTheme="minorHAnsi" w:cstheme="minorBidi"/>
          <w:noProof/>
          <w:sz w:val="24"/>
          <w:szCs w:val="21"/>
          <w:lang w:eastAsia="en-GB" w:bidi="sa-IN"/>
        </w:rPr>
      </w:pPr>
      <w:hyperlink w:anchor="_Toc243900299" w:history="1">
        <w:r>
          <w:rPr>
            <w:rStyle w:val="Hiperhivatkozs"/>
            <w:noProof/>
            <w:lang w:bidi="ar-SA"/>
          </w:rPr>
          <w:t>5.3.4. Glyph encoding for peripheral graphemes</w:t>
        </w:r>
        <w:r>
          <w:rPr>
            <w:noProof/>
            <w:webHidden/>
          </w:rPr>
          <w:tab/>
        </w:r>
        <w:r>
          <w:rPr>
            <w:noProof/>
            <w:webHidden/>
          </w:rPr>
          <w:fldChar w:fldCharType="begin"/>
        </w:r>
        <w:r>
          <w:rPr>
            <w:noProof/>
            <w:webHidden/>
          </w:rPr>
          <w:instrText xml:space="preserve"> PAGEREF _Toc243900299 \h </w:instrText>
        </w:r>
        <w:r>
          <w:rPr>
            <w:noProof/>
            <w:webHidden/>
          </w:rPr>
        </w:r>
        <w:r>
          <w:rPr>
            <w:noProof/>
            <w:webHidden/>
          </w:rPr>
          <w:fldChar w:fldCharType="separate"/>
        </w:r>
        <w:r>
          <w:rPr>
            <w:noProof/>
            <w:webHidden/>
          </w:rPr>
          <w:t>78</w:t>
        </w:r>
        <w:r>
          <w:rPr>
            <w:noProof/>
            <w:webHidden/>
          </w:rPr>
          <w:fldChar w:fldCharType="end"/>
        </w:r>
      </w:hyperlink>
    </w:p>
    <w:p w14:paraId="3AFCA43F" w14:textId="161EA724">
      <w:pPr>
        <w:pStyle w:val="TJ3"/>
        <w:rPr>
          <w:rFonts w:asciiTheme="minorHAnsi" w:hAnsiTheme="minorHAnsi" w:cstheme="minorBidi"/>
          <w:noProof/>
          <w:sz w:val="24"/>
          <w:szCs w:val="21"/>
          <w:lang w:eastAsia="en-GB" w:bidi="sa-IN"/>
        </w:rPr>
      </w:pPr>
      <w:hyperlink w:anchor="_Toc243900300" w:history="1">
        <w:r>
          <w:rPr>
            <w:rStyle w:val="Hiperhivatkozs"/>
            <w:noProof/>
            <w:lang w:bidi="ar-SA"/>
          </w:rPr>
          <w:t>5.3.5. Multiple peripheral graphemes</w:t>
        </w:r>
        <w:r>
          <w:rPr>
            <w:noProof/>
            <w:webHidden/>
          </w:rPr>
          <w:tab/>
        </w:r>
        <w:r>
          <w:rPr>
            <w:noProof/>
            <w:webHidden/>
          </w:rPr>
          <w:fldChar w:fldCharType="begin"/>
        </w:r>
        <w:r>
          <w:rPr>
            <w:noProof/>
            <w:webHidden/>
          </w:rPr>
          <w:instrText xml:space="preserve"> PAGEREF _Toc243900300 \h </w:instrText>
        </w:r>
        <w:r>
          <w:rPr>
            <w:noProof/>
            <w:webHidden/>
          </w:rPr>
        </w:r>
        <w:r>
          <w:rPr>
            <w:noProof/>
            <w:webHidden/>
          </w:rPr>
          <w:fldChar w:fldCharType="separate"/>
        </w:r>
        <w:r>
          <w:rPr>
            <w:noProof/>
            <w:webHidden/>
          </w:rPr>
          <w:t>82</w:t>
        </w:r>
        <w:r>
          <w:rPr>
            <w:noProof/>
            <w:webHidden/>
          </w:rPr>
          <w:fldChar w:fldCharType="end"/>
        </w:r>
      </w:hyperlink>
    </w:p>
    <w:p w14:paraId="0935CCBF" w14:textId="37703DF8">
      <w:pPr>
        <w:pStyle w:val="TJ3"/>
        <w:rPr>
          <w:rFonts w:asciiTheme="minorHAnsi" w:hAnsiTheme="minorHAnsi" w:cstheme="minorBidi"/>
          <w:noProof/>
          <w:sz w:val="24"/>
          <w:szCs w:val="21"/>
          <w:lang w:eastAsia="en-GB" w:bidi="sa-IN"/>
        </w:rPr>
      </w:pPr>
      <w:hyperlink w:anchor="_Toc243900301" w:history="1">
        <w:r>
          <w:rPr>
            <w:rStyle w:val="Hiperhivatkozs"/>
            <w:noProof/>
            <w:lang w:bidi="ar-SA"/>
          </w:rPr>
          <w:t>5.3.6. Peripheral graphemes and their context</w:t>
        </w:r>
        <w:r>
          <w:rPr>
            <w:noProof/>
            <w:webHidden/>
          </w:rPr>
          <w:tab/>
        </w:r>
        <w:r>
          <w:rPr>
            <w:noProof/>
            <w:webHidden/>
          </w:rPr>
          <w:fldChar w:fldCharType="begin"/>
        </w:r>
        <w:r>
          <w:rPr>
            <w:noProof/>
            <w:webHidden/>
          </w:rPr>
          <w:instrText xml:space="preserve"> PAGEREF _Toc243900301 \h </w:instrText>
        </w:r>
        <w:r>
          <w:rPr>
            <w:noProof/>
            <w:webHidden/>
          </w:rPr>
        </w:r>
        <w:r>
          <w:rPr>
            <w:noProof/>
            <w:webHidden/>
          </w:rPr>
          <w:fldChar w:fldCharType="separate"/>
        </w:r>
        <w:r>
          <w:rPr>
            <w:noProof/>
            <w:webHidden/>
          </w:rPr>
          <w:t>82</w:t>
        </w:r>
        <w:r>
          <w:rPr>
            <w:noProof/>
            <w:webHidden/>
          </w:rPr>
          <w:fldChar w:fldCharType="end"/>
        </w:r>
      </w:hyperlink>
    </w:p>
    <w:p w14:paraId="6FFC7647" w14:textId="4C5EC7E1">
      <w:pPr>
        <w:pStyle w:val="TJ2"/>
        <w:rPr>
          <w:rFonts w:asciiTheme="minorHAnsi" w:hAnsiTheme="minorHAnsi" w:cstheme="minorBidi"/>
          <w:noProof/>
          <w:sz w:val="24"/>
          <w:szCs w:val="21"/>
          <w:lang w:eastAsia="en-GB" w:bidi="sa-IN"/>
        </w:rPr>
      </w:pPr>
      <w:hyperlink w:anchor="_Toc243900302" w:history="1">
        <w:r>
          <w:rPr>
            <w:rStyle w:val="Hiperhivatkozs"/>
            <w:noProof/>
            <w:lang w:bidi="ar-SA"/>
          </w:rPr>
          <w:t>5.4. Space left blank in the original</w:t>
        </w:r>
        <w:r>
          <w:rPr>
            <w:noProof/>
            <w:webHidden/>
          </w:rPr>
          <w:tab/>
        </w:r>
        <w:r>
          <w:rPr>
            <w:noProof/>
            <w:webHidden/>
          </w:rPr>
          <w:fldChar w:fldCharType="begin"/>
        </w:r>
        <w:r>
          <w:rPr>
            <w:noProof/>
            <w:webHidden/>
          </w:rPr>
          <w:instrText xml:space="preserve"> PAGEREF _Toc243900302 \h </w:instrText>
        </w:r>
        <w:r>
          <w:rPr>
            <w:noProof/>
            <w:webHidden/>
          </w:rPr>
        </w:r>
        <w:r>
          <w:rPr>
            <w:noProof/>
            <w:webHidden/>
          </w:rPr>
          <w:fldChar w:fldCharType="separate"/>
        </w:r>
        <w:r>
          <w:rPr>
            <w:noProof/>
            <w:webHidden/>
          </w:rPr>
          <w:t>83</w:t>
        </w:r>
        <w:r>
          <w:rPr>
            <w:noProof/>
            <w:webHidden/>
          </w:rPr>
          <w:fldChar w:fldCharType="end"/>
        </w:r>
      </w:hyperlink>
    </w:p>
    <w:p w14:paraId="43527927" w14:textId="4EFF9362">
      <w:pPr>
        <w:pStyle w:val="TJ3"/>
        <w:rPr>
          <w:rFonts w:asciiTheme="minorHAnsi" w:hAnsiTheme="minorHAnsi" w:cstheme="minorBidi"/>
          <w:noProof/>
          <w:sz w:val="24"/>
          <w:szCs w:val="21"/>
          <w:lang w:eastAsia="en-GB" w:bidi="sa-IN"/>
        </w:rPr>
      </w:pPr>
      <w:hyperlink w:anchor="_Toc243900303" w:history="1">
        <w:r>
          <w:rPr>
            <w:rStyle w:val="Hiperhivatkozs"/>
            <w:noProof/>
            <w:lang w:bidi="ar-SA"/>
          </w:rPr>
          <w:t>5.4.1. Space for semantic segmentation</w:t>
        </w:r>
        <w:r>
          <w:rPr>
            <w:noProof/>
            <w:webHidden/>
          </w:rPr>
          <w:tab/>
        </w:r>
        <w:r>
          <w:rPr>
            <w:noProof/>
            <w:webHidden/>
          </w:rPr>
          <w:fldChar w:fldCharType="begin"/>
        </w:r>
        <w:r>
          <w:rPr>
            <w:noProof/>
            <w:webHidden/>
          </w:rPr>
          <w:instrText xml:space="preserve"> PAGEREF _Toc243900303 \h </w:instrText>
        </w:r>
        <w:r>
          <w:rPr>
            <w:noProof/>
            <w:webHidden/>
          </w:rPr>
        </w:r>
        <w:r>
          <w:rPr>
            <w:noProof/>
            <w:webHidden/>
          </w:rPr>
          <w:fldChar w:fldCharType="separate"/>
        </w:r>
        <w:r>
          <w:rPr>
            <w:noProof/>
            <w:webHidden/>
          </w:rPr>
          <w:t>83</w:t>
        </w:r>
        <w:r>
          <w:rPr>
            <w:noProof/>
            <w:webHidden/>
          </w:rPr>
          <w:fldChar w:fldCharType="end"/>
        </w:r>
      </w:hyperlink>
    </w:p>
    <w:p w14:paraId="4DFEB4A5" w14:textId="6DB17034">
      <w:pPr>
        <w:pStyle w:val="TJ3"/>
        <w:rPr>
          <w:rFonts w:asciiTheme="minorHAnsi" w:hAnsiTheme="minorHAnsi" w:cstheme="minorBidi"/>
          <w:noProof/>
          <w:sz w:val="24"/>
          <w:szCs w:val="21"/>
          <w:lang w:eastAsia="en-GB" w:bidi="sa-IN"/>
        </w:rPr>
      </w:pPr>
      <w:hyperlink w:anchor="_Toc243900304" w:history="1">
        <w:r>
          <w:rPr>
            <w:rStyle w:val="Hiperhivatkozs"/>
            <w:noProof/>
            <w:lang w:bidi="ar-SA"/>
          </w:rPr>
          <w:t>5.4.2. Other kinds of space</w:t>
        </w:r>
        <w:r>
          <w:rPr>
            <w:noProof/>
            <w:webHidden/>
          </w:rPr>
          <w:tab/>
        </w:r>
        <w:r>
          <w:rPr>
            <w:noProof/>
            <w:webHidden/>
          </w:rPr>
          <w:fldChar w:fldCharType="begin"/>
        </w:r>
        <w:r>
          <w:rPr>
            <w:noProof/>
            <w:webHidden/>
          </w:rPr>
          <w:instrText xml:space="preserve"> PAGEREF _Toc243900304 \h </w:instrText>
        </w:r>
        <w:r>
          <w:rPr>
            <w:noProof/>
            <w:webHidden/>
          </w:rPr>
        </w:r>
        <w:r>
          <w:rPr>
            <w:noProof/>
            <w:webHidden/>
          </w:rPr>
          <w:fldChar w:fldCharType="separate"/>
        </w:r>
        <w:r>
          <w:rPr>
            <w:noProof/>
            <w:webHidden/>
          </w:rPr>
          <w:t>85</w:t>
        </w:r>
        <w:r>
          <w:rPr>
            <w:noProof/>
            <w:webHidden/>
          </w:rPr>
          <w:fldChar w:fldCharType="end"/>
        </w:r>
      </w:hyperlink>
    </w:p>
    <w:p w14:paraId="3F64F1DD" w14:textId="353776B2">
      <w:pPr>
        <w:pStyle w:val="TJ3"/>
        <w:rPr>
          <w:rFonts w:asciiTheme="minorHAnsi" w:hAnsiTheme="minorHAnsi" w:cstheme="minorBidi"/>
          <w:noProof/>
          <w:sz w:val="24"/>
          <w:szCs w:val="21"/>
          <w:lang w:eastAsia="en-GB" w:bidi="sa-IN"/>
        </w:rPr>
      </w:pPr>
      <w:hyperlink w:anchor="_Toc243900305" w:history="1">
        <w:r>
          <w:rPr>
            <w:rStyle w:val="Hiperhivatkozs"/>
            <w:noProof/>
            <w:lang w:bidi="ar-SA"/>
          </w:rPr>
          <w:t>5.4.3. The size of spaces</w:t>
        </w:r>
        <w:r>
          <w:rPr>
            <w:noProof/>
            <w:webHidden/>
          </w:rPr>
          <w:tab/>
        </w:r>
        <w:r>
          <w:rPr>
            <w:noProof/>
            <w:webHidden/>
          </w:rPr>
          <w:fldChar w:fldCharType="begin"/>
        </w:r>
        <w:r>
          <w:rPr>
            <w:noProof/>
            <w:webHidden/>
          </w:rPr>
          <w:instrText xml:space="preserve"> PAGEREF _Toc243900305 \h </w:instrText>
        </w:r>
        <w:r>
          <w:rPr>
            <w:noProof/>
            <w:webHidden/>
          </w:rPr>
        </w:r>
        <w:r>
          <w:rPr>
            <w:noProof/>
            <w:webHidden/>
          </w:rPr>
          <w:fldChar w:fldCharType="separate"/>
        </w:r>
        <w:r>
          <w:rPr>
            <w:noProof/>
            <w:webHidden/>
          </w:rPr>
          <w:t>88</w:t>
        </w:r>
        <w:r>
          <w:rPr>
            <w:noProof/>
            <w:webHidden/>
          </w:rPr>
          <w:fldChar w:fldCharType="end"/>
        </w:r>
      </w:hyperlink>
    </w:p>
    <w:p w14:paraId="1E9F6F8C" w14:textId="17DBFF23">
      <w:pPr>
        <w:pStyle w:val="TJ3"/>
        <w:rPr>
          <w:rFonts w:asciiTheme="minorHAnsi" w:hAnsiTheme="minorHAnsi" w:cstheme="minorBidi"/>
          <w:noProof/>
          <w:sz w:val="24"/>
          <w:szCs w:val="21"/>
          <w:lang w:eastAsia="en-GB" w:bidi="sa-IN"/>
        </w:rPr>
      </w:pPr>
      <w:hyperlink w:anchor="_Toc243900306" w:history="1">
        <w:r>
          <w:rPr>
            <w:rStyle w:val="Hiperhivatkozs"/>
            <w:noProof/>
            <w:lang w:bidi="ar-SA"/>
          </w:rPr>
          <w:t>5.4.4. Spaces and their context</w:t>
        </w:r>
        <w:r>
          <w:rPr>
            <w:noProof/>
            <w:webHidden/>
          </w:rPr>
          <w:tab/>
        </w:r>
        <w:r>
          <w:rPr>
            <w:noProof/>
            <w:webHidden/>
          </w:rPr>
          <w:fldChar w:fldCharType="begin"/>
        </w:r>
        <w:r>
          <w:rPr>
            <w:noProof/>
            <w:webHidden/>
          </w:rPr>
          <w:instrText xml:space="preserve"> PAGEREF _Toc243900306 \h </w:instrText>
        </w:r>
        <w:r>
          <w:rPr>
            <w:noProof/>
            <w:webHidden/>
          </w:rPr>
        </w:r>
        <w:r>
          <w:rPr>
            <w:noProof/>
            <w:webHidden/>
          </w:rPr>
          <w:fldChar w:fldCharType="separate"/>
        </w:r>
        <w:r>
          <w:rPr>
            <w:noProof/>
            <w:webHidden/>
          </w:rPr>
          <w:t>88</w:t>
        </w:r>
        <w:r>
          <w:rPr>
            <w:noProof/>
            <w:webHidden/>
          </w:rPr>
          <w:fldChar w:fldCharType="end"/>
        </w:r>
      </w:hyperlink>
    </w:p>
    <w:p w14:paraId="6587138A" w14:textId="04BF50BE">
      <w:pPr>
        <w:pStyle w:val="TJ2"/>
        <w:rPr>
          <w:rFonts w:asciiTheme="minorHAnsi" w:hAnsiTheme="minorHAnsi" w:cstheme="minorBidi"/>
          <w:noProof/>
          <w:sz w:val="24"/>
          <w:szCs w:val="21"/>
          <w:lang w:eastAsia="en-GB" w:bidi="sa-IN"/>
        </w:rPr>
      </w:pPr>
      <w:hyperlink w:anchor="_Toc243900307" w:history="1">
        <w:r>
          <w:rPr>
            <w:rStyle w:val="Hiperhivatkozs"/>
            <w:noProof/>
            <w:lang w:bidi="ar-SA"/>
          </w:rPr>
          <w:t>5.5. Premodern scribal intervention</w:t>
        </w:r>
        <w:r>
          <w:rPr>
            <w:noProof/>
            <w:webHidden/>
          </w:rPr>
          <w:tab/>
        </w:r>
        <w:r>
          <w:rPr>
            <w:noProof/>
            <w:webHidden/>
          </w:rPr>
          <w:fldChar w:fldCharType="begin"/>
        </w:r>
        <w:r>
          <w:rPr>
            <w:noProof/>
            <w:webHidden/>
          </w:rPr>
          <w:instrText xml:space="preserve"> PAGEREF _Toc243900307 \h </w:instrText>
        </w:r>
        <w:r>
          <w:rPr>
            <w:noProof/>
            <w:webHidden/>
          </w:rPr>
        </w:r>
        <w:r>
          <w:rPr>
            <w:noProof/>
            <w:webHidden/>
          </w:rPr>
          <w:fldChar w:fldCharType="separate"/>
        </w:r>
        <w:r>
          <w:rPr>
            <w:noProof/>
            <w:webHidden/>
          </w:rPr>
          <w:t>88</w:t>
        </w:r>
        <w:r>
          <w:rPr>
            <w:noProof/>
            <w:webHidden/>
          </w:rPr>
          <w:fldChar w:fldCharType="end"/>
        </w:r>
      </w:hyperlink>
    </w:p>
    <w:p w14:paraId="0A05927E" w14:textId="3BA9A5C7">
      <w:pPr>
        <w:pStyle w:val="TJ3"/>
        <w:rPr>
          <w:rFonts w:asciiTheme="minorHAnsi" w:hAnsiTheme="minorHAnsi" w:cstheme="minorBidi"/>
          <w:noProof/>
          <w:sz w:val="24"/>
          <w:szCs w:val="21"/>
          <w:lang w:eastAsia="en-GB" w:bidi="sa-IN"/>
        </w:rPr>
      </w:pPr>
      <w:hyperlink w:anchor="_Toc243900308" w:history="1">
        <w:r>
          <w:rPr>
            <w:rStyle w:val="Hiperhivatkozs"/>
            <w:noProof/>
            <w:lang w:bidi="ar-SA"/>
          </w:rPr>
          <w:t>5.5.1. Scribal deletion</w:t>
        </w:r>
        <w:r>
          <w:rPr>
            <w:noProof/>
            <w:webHidden/>
          </w:rPr>
          <w:tab/>
        </w:r>
        <w:r>
          <w:rPr>
            <w:noProof/>
            <w:webHidden/>
          </w:rPr>
          <w:fldChar w:fldCharType="begin"/>
        </w:r>
        <w:r>
          <w:rPr>
            <w:noProof/>
            <w:webHidden/>
          </w:rPr>
          <w:instrText xml:space="preserve"> PAGEREF _Toc243900308 \h </w:instrText>
        </w:r>
        <w:r>
          <w:rPr>
            <w:noProof/>
            <w:webHidden/>
          </w:rPr>
        </w:r>
        <w:r>
          <w:rPr>
            <w:noProof/>
            <w:webHidden/>
          </w:rPr>
          <w:fldChar w:fldCharType="separate"/>
        </w:r>
        <w:r>
          <w:rPr>
            <w:noProof/>
            <w:webHidden/>
          </w:rPr>
          <w:t>89</w:t>
        </w:r>
        <w:r>
          <w:rPr>
            <w:noProof/>
            <w:webHidden/>
          </w:rPr>
          <w:fldChar w:fldCharType="end"/>
        </w:r>
      </w:hyperlink>
    </w:p>
    <w:p w14:paraId="12D19AD5" w14:textId="029961F5">
      <w:pPr>
        <w:pStyle w:val="TJ3"/>
        <w:rPr>
          <w:rFonts w:asciiTheme="minorHAnsi" w:hAnsiTheme="minorHAnsi" w:cstheme="minorBidi"/>
          <w:noProof/>
          <w:sz w:val="24"/>
          <w:szCs w:val="21"/>
          <w:lang w:eastAsia="en-GB" w:bidi="sa-IN"/>
        </w:rPr>
      </w:pPr>
      <w:hyperlink w:anchor="_Toc243900309" w:history="1">
        <w:r>
          <w:rPr>
            <w:rStyle w:val="Hiperhivatkozs"/>
            <w:noProof/>
            <w:lang w:bidi="ar-SA"/>
          </w:rPr>
          <w:t>5.5.2. Scribal addition</w:t>
        </w:r>
        <w:r>
          <w:rPr>
            <w:noProof/>
            <w:webHidden/>
          </w:rPr>
          <w:tab/>
        </w:r>
        <w:r>
          <w:rPr>
            <w:noProof/>
            <w:webHidden/>
          </w:rPr>
          <w:fldChar w:fldCharType="begin"/>
        </w:r>
        <w:r>
          <w:rPr>
            <w:noProof/>
            <w:webHidden/>
          </w:rPr>
          <w:instrText xml:space="preserve"> PAGEREF _Toc243900309 \h </w:instrText>
        </w:r>
        <w:r>
          <w:rPr>
            <w:noProof/>
            <w:webHidden/>
          </w:rPr>
        </w:r>
        <w:r>
          <w:rPr>
            <w:noProof/>
            <w:webHidden/>
          </w:rPr>
          <w:fldChar w:fldCharType="separate"/>
        </w:r>
        <w:r>
          <w:rPr>
            <w:noProof/>
            <w:webHidden/>
          </w:rPr>
          <w:t>89</w:t>
        </w:r>
        <w:r>
          <w:rPr>
            <w:noProof/>
            <w:webHidden/>
          </w:rPr>
          <w:fldChar w:fldCharType="end"/>
        </w:r>
      </w:hyperlink>
    </w:p>
    <w:p w14:paraId="0E2D938E" w14:textId="76C4F7C5">
      <w:pPr>
        <w:pStyle w:val="TJ3"/>
        <w:rPr>
          <w:rFonts w:asciiTheme="minorHAnsi" w:hAnsiTheme="minorHAnsi" w:cstheme="minorBidi"/>
          <w:noProof/>
          <w:sz w:val="24"/>
          <w:szCs w:val="21"/>
          <w:lang w:eastAsia="en-GB" w:bidi="sa-IN"/>
        </w:rPr>
      </w:pPr>
      <w:hyperlink w:anchor="_Toc243900310" w:history="1">
        <w:r>
          <w:rPr>
            <w:rStyle w:val="Hiperhivatkozs"/>
            <w:noProof/>
            <w:lang w:bidi="ar-SA"/>
          </w:rPr>
          <w:t>5.5.3. Scribal correction</w:t>
        </w:r>
        <w:r>
          <w:rPr>
            <w:noProof/>
            <w:webHidden/>
          </w:rPr>
          <w:tab/>
        </w:r>
        <w:r>
          <w:rPr>
            <w:noProof/>
            <w:webHidden/>
          </w:rPr>
          <w:fldChar w:fldCharType="begin"/>
        </w:r>
        <w:r>
          <w:rPr>
            <w:noProof/>
            <w:webHidden/>
          </w:rPr>
          <w:instrText xml:space="preserve"> PAGEREF _Toc243900310 \h </w:instrText>
        </w:r>
        <w:r>
          <w:rPr>
            <w:noProof/>
            <w:webHidden/>
          </w:rPr>
        </w:r>
        <w:r>
          <w:rPr>
            <w:noProof/>
            <w:webHidden/>
          </w:rPr>
          <w:fldChar w:fldCharType="separate"/>
        </w:r>
        <w:r>
          <w:rPr>
            <w:noProof/>
            <w:webHidden/>
          </w:rPr>
          <w:t>91</w:t>
        </w:r>
        <w:r>
          <w:rPr>
            <w:noProof/>
            <w:webHidden/>
          </w:rPr>
          <w:fldChar w:fldCharType="end"/>
        </w:r>
      </w:hyperlink>
    </w:p>
    <w:p w14:paraId="05826E94" w14:textId="3CC8FDD6">
      <w:pPr>
        <w:pStyle w:val="TJ3"/>
        <w:rPr>
          <w:rFonts w:asciiTheme="minorHAnsi" w:hAnsiTheme="minorHAnsi" w:cstheme="minorBidi"/>
          <w:noProof/>
          <w:sz w:val="24"/>
          <w:szCs w:val="21"/>
          <w:lang w:eastAsia="en-GB" w:bidi="sa-IN"/>
        </w:rPr>
      </w:pPr>
      <w:hyperlink w:anchor="_Toc243900311" w:history="1">
        <w:r>
          <w:rPr>
            <w:rStyle w:val="Hiperhivatkozs"/>
            <w:noProof/>
            <w:lang w:bidi="ar-SA"/>
          </w:rPr>
          <w:t>5.5.4. Good practice in encoding scribal intervention</w:t>
        </w:r>
        <w:r>
          <w:rPr>
            <w:noProof/>
            <w:webHidden/>
          </w:rPr>
          <w:tab/>
        </w:r>
        <w:r>
          <w:rPr>
            <w:noProof/>
            <w:webHidden/>
          </w:rPr>
          <w:fldChar w:fldCharType="begin"/>
        </w:r>
        <w:r>
          <w:rPr>
            <w:noProof/>
            <w:webHidden/>
          </w:rPr>
          <w:instrText xml:space="preserve"> PAGEREF _Toc243900311 \h </w:instrText>
        </w:r>
        <w:r>
          <w:rPr>
            <w:noProof/>
            <w:webHidden/>
          </w:rPr>
        </w:r>
        <w:r>
          <w:rPr>
            <w:noProof/>
            <w:webHidden/>
          </w:rPr>
          <w:fldChar w:fldCharType="separate"/>
        </w:r>
        <w:r>
          <w:rPr>
            <w:noProof/>
            <w:webHidden/>
          </w:rPr>
          <w:t>93</w:t>
        </w:r>
        <w:r>
          <w:rPr>
            <w:noProof/>
            <w:webHidden/>
          </w:rPr>
          <w:fldChar w:fldCharType="end"/>
        </w:r>
      </w:hyperlink>
    </w:p>
    <w:p w14:paraId="77D8DBE2" w14:textId="01E04CFB">
      <w:pPr>
        <w:pStyle w:val="TJ1"/>
        <w:rPr>
          <w:rFonts w:asciiTheme="minorHAnsi" w:hAnsiTheme="minorHAnsi" w:cstheme="minorBidi"/>
          <w:b w:val="0"/>
          <w:noProof/>
          <w:sz w:val="24"/>
          <w:szCs w:val="21"/>
          <w:lang w:eastAsia="en-GB" w:bidi="sa-IN"/>
        </w:rPr>
      </w:pPr>
      <w:hyperlink w:anchor="_Toc243900312" w:history="1">
        <w:r>
          <w:rPr>
            <w:rStyle w:val="Hiperhivatkozs"/>
            <w:noProof/>
            <w:lang w:bidi="ar-SA"/>
          </w:rPr>
          <w:t>6. Legibility issues</w:t>
        </w:r>
        <w:r>
          <w:rPr>
            <w:noProof/>
            <w:webHidden/>
          </w:rPr>
          <w:tab/>
        </w:r>
        <w:r>
          <w:rPr>
            <w:noProof/>
            <w:webHidden/>
          </w:rPr>
          <w:fldChar w:fldCharType="begin"/>
        </w:r>
        <w:r>
          <w:rPr>
            <w:noProof/>
            <w:webHidden/>
          </w:rPr>
          <w:instrText xml:space="preserve"> PAGEREF _Toc243900312 \h </w:instrText>
        </w:r>
        <w:r>
          <w:rPr>
            <w:noProof/>
            <w:webHidden/>
          </w:rPr>
        </w:r>
        <w:r>
          <w:rPr>
            <w:noProof/>
            <w:webHidden/>
          </w:rPr>
          <w:fldChar w:fldCharType="separate"/>
        </w:r>
        <w:r>
          <w:rPr>
            <w:noProof/>
            <w:webHidden/>
          </w:rPr>
          <w:t>94</w:t>
        </w:r>
        <w:r>
          <w:rPr>
            <w:noProof/>
            <w:webHidden/>
          </w:rPr>
          <w:fldChar w:fldCharType="end"/>
        </w:r>
      </w:hyperlink>
    </w:p>
    <w:p w14:paraId="55786F2D" w14:textId="3AB5935C">
      <w:pPr>
        <w:pStyle w:val="TJ2"/>
        <w:rPr>
          <w:rFonts w:asciiTheme="minorHAnsi" w:hAnsiTheme="minorHAnsi" w:cstheme="minorBidi"/>
          <w:noProof/>
          <w:sz w:val="24"/>
          <w:szCs w:val="21"/>
          <w:lang w:eastAsia="en-GB" w:bidi="sa-IN"/>
        </w:rPr>
      </w:pPr>
      <w:hyperlink w:anchor="_Toc243900313" w:history="1">
        <w:r>
          <w:rPr>
            <w:rStyle w:val="Hiperhivatkozs"/>
            <w:noProof/>
            <w:lang w:bidi="ar-SA"/>
          </w:rPr>
          <w:t>6.1. Representing legibility issues in TEI/EpiDoc</w:t>
        </w:r>
        <w:r>
          <w:rPr>
            <w:noProof/>
            <w:webHidden/>
          </w:rPr>
          <w:tab/>
        </w:r>
        <w:r>
          <w:rPr>
            <w:noProof/>
            <w:webHidden/>
          </w:rPr>
          <w:fldChar w:fldCharType="begin"/>
        </w:r>
        <w:r>
          <w:rPr>
            <w:noProof/>
            <w:webHidden/>
          </w:rPr>
          <w:instrText xml:space="preserve"> PAGEREF _Toc243900313 \h </w:instrText>
        </w:r>
        <w:r>
          <w:rPr>
            <w:noProof/>
            <w:webHidden/>
          </w:rPr>
        </w:r>
        <w:r>
          <w:rPr>
            <w:noProof/>
            <w:webHidden/>
          </w:rPr>
          <w:fldChar w:fldCharType="separate"/>
        </w:r>
        <w:r>
          <w:rPr>
            <w:noProof/>
            <w:webHidden/>
          </w:rPr>
          <w:t>94</w:t>
        </w:r>
        <w:r>
          <w:rPr>
            <w:noProof/>
            <w:webHidden/>
          </w:rPr>
          <w:fldChar w:fldCharType="end"/>
        </w:r>
      </w:hyperlink>
    </w:p>
    <w:p w14:paraId="084DF7C7" w14:textId="3C3590B1">
      <w:pPr>
        <w:pStyle w:val="TJ2"/>
        <w:rPr>
          <w:rFonts w:asciiTheme="minorHAnsi" w:hAnsiTheme="minorHAnsi" w:cstheme="minorBidi"/>
          <w:noProof/>
          <w:sz w:val="24"/>
          <w:szCs w:val="21"/>
          <w:lang w:eastAsia="en-GB" w:bidi="sa-IN"/>
        </w:rPr>
      </w:pPr>
      <w:hyperlink w:anchor="_Toc243900314" w:history="1">
        <w:r>
          <w:rPr>
            <w:rStyle w:val="Hiperhivatkozs"/>
            <w:noProof/>
            <w:lang w:bidi="ar-SA"/>
          </w:rPr>
          <w:t>6.2. Damage not impeding legibility</w:t>
        </w:r>
        <w:r>
          <w:rPr>
            <w:noProof/>
            <w:webHidden/>
          </w:rPr>
          <w:tab/>
        </w:r>
        <w:r>
          <w:rPr>
            <w:noProof/>
            <w:webHidden/>
          </w:rPr>
          <w:fldChar w:fldCharType="begin"/>
        </w:r>
        <w:r>
          <w:rPr>
            <w:noProof/>
            <w:webHidden/>
          </w:rPr>
          <w:instrText xml:space="preserve"> PAGEREF _Toc243900314 \h </w:instrText>
        </w:r>
        <w:r>
          <w:rPr>
            <w:noProof/>
            <w:webHidden/>
          </w:rPr>
        </w:r>
        <w:r>
          <w:rPr>
            <w:noProof/>
            <w:webHidden/>
          </w:rPr>
          <w:fldChar w:fldCharType="separate"/>
        </w:r>
        <w:r>
          <w:rPr>
            <w:noProof/>
            <w:webHidden/>
          </w:rPr>
          <w:t>95</w:t>
        </w:r>
        <w:r>
          <w:rPr>
            <w:noProof/>
            <w:webHidden/>
          </w:rPr>
          <w:fldChar w:fldCharType="end"/>
        </w:r>
      </w:hyperlink>
    </w:p>
    <w:p w14:paraId="32274C62" w14:textId="118E0BCC">
      <w:pPr>
        <w:pStyle w:val="TJ2"/>
        <w:rPr>
          <w:rFonts w:asciiTheme="minorHAnsi" w:hAnsiTheme="minorHAnsi" w:cstheme="minorBidi"/>
          <w:noProof/>
          <w:sz w:val="24"/>
          <w:szCs w:val="21"/>
          <w:lang w:eastAsia="en-GB" w:bidi="sa-IN"/>
        </w:rPr>
      </w:pPr>
      <w:hyperlink w:anchor="_Toc243900315" w:history="1">
        <w:r>
          <w:rPr>
            <w:rStyle w:val="Hiperhivatkozs"/>
            <w:noProof/>
            <w:lang w:bidi="ar-SA"/>
          </w:rPr>
          <w:t>6.3. Unclear readings</w:t>
        </w:r>
        <w:r>
          <w:rPr>
            <w:noProof/>
            <w:webHidden/>
          </w:rPr>
          <w:tab/>
        </w:r>
        <w:r>
          <w:rPr>
            <w:noProof/>
            <w:webHidden/>
          </w:rPr>
          <w:fldChar w:fldCharType="begin"/>
        </w:r>
        <w:r>
          <w:rPr>
            <w:noProof/>
            <w:webHidden/>
          </w:rPr>
          <w:instrText xml:space="preserve"> PAGEREF _Toc243900315 \h </w:instrText>
        </w:r>
        <w:r>
          <w:rPr>
            <w:noProof/>
            <w:webHidden/>
          </w:rPr>
        </w:r>
        <w:r>
          <w:rPr>
            <w:noProof/>
            <w:webHidden/>
          </w:rPr>
          <w:fldChar w:fldCharType="separate"/>
        </w:r>
        <w:r>
          <w:rPr>
            <w:noProof/>
            <w:webHidden/>
          </w:rPr>
          <w:t>95</w:t>
        </w:r>
        <w:r>
          <w:rPr>
            <w:noProof/>
            <w:webHidden/>
          </w:rPr>
          <w:fldChar w:fldCharType="end"/>
        </w:r>
      </w:hyperlink>
    </w:p>
    <w:p w14:paraId="28AA2332" w14:textId="42C77444">
      <w:pPr>
        <w:pStyle w:val="TJ3"/>
        <w:rPr>
          <w:rFonts w:asciiTheme="minorHAnsi" w:hAnsiTheme="minorHAnsi" w:cstheme="minorBidi"/>
          <w:noProof/>
          <w:sz w:val="24"/>
          <w:szCs w:val="21"/>
          <w:lang w:eastAsia="en-GB" w:bidi="sa-IN"/>
        </w:rPr>
      </w:pPr>
      <w:hyperlink w:anchor="_Toc243900316" w:history="1">
        <w:r>
          <w:rPr>
            <w:rStyle w:val="Hiperhivatkozs"/>
            <w:noProof/>
            <w:lang w:bidi="ar-SA"/>
          </w:rPr>
          <w:t>6.3.1. Encoding unclear text</w:t>
        </w:r>
        <w:r>
          <w:rPr>
            <w:noProof/>
            <w:webHidden/>
          </w:rPr>
          <w:tab/>
        </w:r>
        <w:r>
          <w:rPr>
            <w:noProof/>
            <w:webHidden/>
          </w:rPr>
          <w:fldChar w:fldCharType="begin"/>
        </w:r>
        <w:r>
          <w:rPr>
            <w:noProof/>
            <w:webHidden/>
          </w:rPr>
          <w:instrText xml:space="preserve"> PAGEREF _Toc243900316 \h </w:instrText>
        </w:r>
        <w:r>
          <w:rPr>
            <w:noProof/>
            <w:webHidden/>
          </w:rPr>
        </w:r>
        <w:r>
          <w:rPr>
            <w:noProof/>
            <w:webHidden/>
          </w:rPr>
          <w:fldChar w:fldCharType="separate"/>
        </w:r>
        <w:r>
          <w:rPr>
            <w:noProof/>
            <w:webHidden/>
          </w:rPr>
          <w:t>95</w:t>
        </w:r>
        <w:r>
          <w:rPr>
            <w:noProof/>
            <w:webHidden/>
          </w:rPr>
          <w:fldChar w:fldCharType="end"/>
        </w:r>
      </w:hyperlink>
    </w:p>
    <w:p w14:paraId="2214F59B" w14:textId="19D59530">
      <w:pPr>
        <w:pStyle w:val="TJ3"/>
        <w:rPr>
          <w:rFonts w:asciiTheme="minorHAnsi" w:hAnsiTheme="minorHAnsi" w:cstheme="minorBidi"/>
          <w:noProof/>
          <w:sz w:val="24"/>
          <w:szCs w:val="21"/>
          <w:lang w:eastAsia="en-GB" w:bidi="sa-IN"/>
        </w:rPr>
      </w:pPr>
      <w:hyperlink w:anchor="_Toc243900317" w:history="1">
        <w:r>
          <w:rPr>
            <w:rStyle w:val="Hiperhivatkozs"/>
            <w:noProof/>
            <w:lang w:bidi="ar-SA"/>
          </w:rPr>
          <w:t>6.3.2. Encoding ambivalent text</w:t>
        </w:r>
        <w:r>
          <w:rPr>
            <w:noProof/>
            <w:webHidden/>
          </w:rPr>
          <w:tab/>
        </w:r>
        <w:r>
          <w:rPr>
            <w:noProof/>
            <w:webHidden/>
          </w:rPr>
          <w:fldChar w:fldCharType="begin"/>
        </w:r>
        <w:r>
          <w:rPr>
            <w:noProof/>
            <w:webHidden/>
          </w:rPr>
          <w:instrText xml:space="preserve"> PAGEREF _Toc243900317 \h </w:instrText>
        </w:r>
        <w:r>
          <w:rPr>
            <w:noProof/>
            <w:webHidden/>
          </w:rPr>
        </w:r>
        <w:r>
          <w:rPr>
            <w:noProof/>
            <w:webHidden/>
          </w:rPr>
          <w:fldChar w:fldCharType="separate"/>
        </w:r>
        <w:r>
          <w:rPr>
            <w:noProof/>
            <w:webHidden/>
          </w:rPr>
          <w:t>97</w:t>
        </w:r>
        <w:r>
          <w:rPr>
            <w:noProof/>
            <w:webHidden/>
          </w:rPr>
          <w:fldChar w:fldCharType="end"/>
        </w:r>
      </w:hyperlink>
    </w:p>
    <w:p w14:paraId="191EF6E1" w14:textId="0908A745">
      <w:pPr>
        <w:pStyle w:val="TJ3"/>
        <w:rPr>
          <w:rFonts w:asciiTheme="minorHAnsi" w:hAnsiTheme="minorHAnsi" w:cstheme="minorBidi"/>
          <w:noProof/>
          <w:sz w:val="24"/>
          <w:szCs w:val="21"/>
          <w:lang w:eastAsia="en-GB" w:bidi="sa-IN"/>
        </w:rPr>
      </w:pPr>
      <w:hyperlink w:anchor="_Toc243900318" w:history="1">
        <w:r>
          <w:rPr>
            <w:rStyle w:val="Hiperhivatkozs"/>
            <w:noProof/>
            <w:lang w:bidi="ar-SA"/>
          </w:rPr>
          <w:t>6.3.3. Good practice in encoding unclear readings</w:t>
        </w:r>
        <w:r>
          <w:rPr>
            <w:noProof/>
            <w:webHidden/>
          </w:rPr>
          <w:tab/>
        </w:r>
        <w:r>
          <w:rPr>
            <w:noProof/>
            <w:webHidden/>
          </w:rPr>
          <w:fldChar w:fldCharType="begin"/>
        </w:r>
        <w:r>
          <w:rPr>
            <w:noProof/>
            <w:webHidden/>
          </w:rPr>
          <w:instrText xml:space="preserve"> PAGEREF _Toc243900318 \h </w:instrText>
        </w:r>
        <w:r>
          <w:rPr>
            <w:noProof/>
            <w:webHidden/>
          </w:rPr>
        </w:r>
        <w:r>
          <w:rPr>
            <w:noProof/>
            <w:webHidden/>
          </w:rPr>
          <w:fldChar w:fldCharType="separate"/>
        </w:r>
        <w:r>
          <w:rPr>
            <w:noProof/>
            <w:webHidden/>
          </w:rPr>
          <w:t>98</w:t>
        </w:r>
        <w:r>
          <w:rPr>
            <w:noProof/>
            <w:webHidden/>
          </w:rPr>
          <w:fldChar w:fldCharType="end"/>
        </w:r>
      </w:hyperlink>
    </w:p>
    <w:p w14:paraId="53F1D8B9" w14:textId="70353CA2">
      <w:pPr>
        <w:pStyle w:val="TJ2"/>
        <w:rPr>
          <w:rFonts w:asciiTheme="minorHAnsi" w:hAnsiTheme="minorHAnsi" w:cstheme="minorBidi"/>
          <w:noProof/>
          <w:sz w:val="24"/>
          <w:szCs w:val="21"/>
          <w:lang w:eastAsia="en-GB" w:bidi="sa-IN"/>
        </w:rPr>
      </w:pPr>
      <w:hyperlink w:anchor="_Toc243900319" w:history="1">
        <w:r>
          <w:rPr>
            <w:rStyle w:val="Hiperhivatkozs"/>
            <w:noProof/>
            <w:lang w:bidi="ar-SA"/>
          </w:rPr>
          <w:t>6.4. Editorial restoration</w:t>
        </w:r>
        <w:r>
          <w:rPr>
            <w:noProof/>
            <w:webHidden/>
          </w:rPr>
          <w:tab/>
        </w:r>
        <w:r>
          <w:rPr>
            <w:noProof/>
            <w:webHidden/>
          </w:rPr>
          <w:fldChar w:fldCharType="begin"/>
        </w:r>
        <w:r>
          <w:rPr>
            <w:noProof/>
            <w:webHidden/>
          </w:rPr>
          <w:instrText xml:space="preserve"> PAGEREF _Toc243900319 \h </w:instrText>
        </w:r>
        <w:r>
          <w:rPr>
            <w:noProof/>
            <w:webHidden/>
          </w:rPr>
        </w:r>
        <w:r>
          <w:rPr>
            <w:noProof/>
            <w:webHidden/>
          </w:rPr>
          <w:fldChar w:fldCharType="separate"/>
        </w:r>
        <w:r>
          <w:rPr>
            <w:noProof/>
            <w:webHidden/>
          </w:rPr>
          <w:t>99</w:t>
        </w:r>
        <w:r>
          <w:rPr>
            <w:noProof/>
            <w:webHidden/>
          </w:rPr>
          <w:fldChar w:fldCharType="end"/>
        </w:r>
      </w:hyperlink>
    </w:p>
    <w:p w14:paraId="001419E3" w14:textId="2A335DBB">
      <w:pPr>
        <w:pStyle w:val="TJ3"/>
        <w:rPr>
          <w:rFonts w:asciiTheme="minorHAnsi" w:hAnsiTheme="minorHAnsi" w:cstheme="minorBidi"/>
          <w:noProof/>
          <w:sz w:val="24"/>
          <w:szCs w:val="21"/>
          <w:lang w:eastAsia="en-GB" w:bidi="sa-IN"/>
        </w:rPr>
      </w:pPr>
      <w:hyperlink w:anchor="_Toc243900320" w:history="1">
        <w:r>
          <w:rPr>
            <w:rStyle w:val="Hiperhivatkozs"/>
            <w:noProof/>
            <w:lang w:bidi="ar-SA"/>
          </w:rPr>
          <w:t>6.4.1. The reason for a restoration</w:t>
        </w:r>
        <w:r>
          <w:rPr>
            <w:noProof/>
            <w:webHidden/>
          </w:rPr>
          <w:tab/>
        </w:r>
        <w:r>
          <w:rPr>
            <w:noProof/>
            <w:webHidden/>
          </w:rPr>
          <w:fldChar w:fldCharType="begin"/>
        </w:r>
        <w:r>
          <w:rPr>
            <w:noProof/>
            <w:webHidden/>
          </w:rPr>
          <w:instrText xml:space="preserve"> PAGEREF _Toc243900320 \h </w:instrText>
        </w:r>
        <w:r>
          <w:rPr>
            <w:noProof/>
            <w:webHidden/>
          </w:rPr>
        </w:r>
        <w:r>
          <w:rPr>
            <w:noProof/>
            <w:webHidden/>
          </w:rPr>
          <w:fldChar w:fldCharType="separate"/>
        </w:r>
        <w:r>
          <w:rPr>
            <w:noProof/>
            <w:webHidden/>
          </w:rPr>
          <w:t>99</w:t>
        </w:r>
        <w:r>
          <w:rPr>
            <w:noProof/>
            <w:webHidden/>
          </w:rPr>
          <w:fldChar w:fldCharType="end"/>
        </w:r>
      </w:hyperlink>
    </w:p>
    <w:p w14:paraId="1E31C36D" w14:textId="7B68221B">
      <w:pPr>
        <w:pStyle w:val="TJ3"/>
        <w:rPr>
          <w:rFonts w:asciiTheme="minorHAnsi" w:hAnsiTheme="minorHAnsi" w:cstheme="minorBidi"/>
          <w:noProof/>
          <w:sz w:val="24"/>
          <w:szCs w:val="21"/>
          <w:lang w:eastAsia="en-GB" w:bidi="sa-IN"/>
        </w:rPr>
      </w:pPr>
      <w:hyperlink w:anchor="_Toc243900321" w:history="1">
        <w:r>
          <w:rPr>
            <w:rStyle w:val="Hiperhivatkozs"/>
            <w:noProof/>
            <w:lang w:bidi="ar-SA"/>
          </w:rPr>
          <w:t>6.4.2. Tentative restoration</w:t>
        </w:r>
        <w:r>
          <w:rPr>
            <w:noProof/>
            <w:webHidden/>
          </w:rPr>
          <w:tab/>
        </w:r>
        <w:r>
          <w:rPr>
            <w:noProof/>
            <w:webHidden/>
          </w:rPr>
          <w:fldChar w:fldCharType="begin"/>
        </w:r>
        <w:r>
          <w:rPr>
            <w:noProof/>
            <w:webHidden/>
          </w:rPr>
          <w:instrText xml:space="preserve"> PAGEREF _Toc243900321 \h </w:instrText>
        </w:r>
        <w:r>
          <w:rPr>
            <w:noProof/>
            <w:webHidden/>
          </w:rPr>
        </w:r>
        <w:r>
          <w:rPr>
            <w:noProof/>
            <w:webHidden/>
          </w:rPr>
          <w:fldChar w:fldCharType="separate"/>
        </w:r>
        <w:r>
          <w:rPr>
            <w:noProof/>
            <w:webHidden/>
          </w:rPr>
          <w:t>100</w:t>
        </w:r>
        <w:r>
          <w:rPr>
            <w:noProof/>
            <w:webHidden/>
          </w:rPr>
          <w:fldChar w:fldCharType="end"/>
        </w:r>
      </w:hyperlink>
    </w:p>
    <w:p w14:paraId="7622FBA5" w14:textId="1C64ACF2">
      <w:pPr>
        <w:pStyle w:val="TJ3"/>
        <w:rPr>
          <w:rFonts w:asciiTheme="minorHAnsi" w:hAnsiTheme="minorHAnsi" w:cstheme="minorBidi"/>
          <w:noProof/>
          <w:sz w:val="24"/>
          <w:szCs w:val="21"/>
          <w:lang w:eastAsia="en-GB" w:bidi="sa-IN"/>
        </w:rPr>
      </w:pPr>
      <w:hyperlink w:anchor="_Toc243900322" w:history="1">
        <w:r>
          <w:rPr>
            <w:rStyle w:val="Hiperhivatkozs"/>
            <w:noProof/>
            <w:lang w:bidi="ar-SA"/>
          </w:rPr>
          <w:t>6.4.3. The basis of restoration</w:t>
        </w:r>
        <w:r>
          <w:rPr>
            <w:noProof/>
            <w:webHidden/>
          </w:rPr>
          <w:tab/>
        </w:r>
        <w:r>
          <w:rPr>
            <w:noProof/>
            <w:webHidden/>
          </w:rPr>
          <w:fldChar w:fldCharType="begin"/>
        </w:r>
        <w:r>
          <w:rPr>
            <w:noProof/>
            <w:webHidden/>
          </w:rPr>
          <w:instrText xml:space="preserve"> PAGEREF _Toc243900322 \h </w:instrText>
        </w:r>
        <w:r>
          <w:rPr>
            <w:noProof/>
            <w:webHidden/>
          </w:rPr>
        </w:r>
        <w:r>
          <w:rPr>
            <w:noProof/>
            <w:webHidden/>
          </w:rPr>
          <w:fldChar w:fldCharType="separate"/>
        </w:r>
        <w:r>
          <w:rPr>
            <w:noProof/>
            <w:webHidden/>
          </w:rPr>
          <w:t>100</w:t>
        </w:r>
        <w:r>
          <w:rPr>
            <w:noProof/>
            <w:webHidden/>
          </w:rPr>
          <w:fldChar w:fldCharType="end"/>
        </w:r>
      </w:hyperlink>
    </w:p>
    <w:p w14:paraId="371CE89F" w14:textId="3379AAC9">
      <w:pPr>
        <w:pStyle w:val="TJ2"/>
        <w:rPr>
          <w:rFonts w:asciiTheme="minorHAnsi" w:hAnsiTheme="minorHAnsi" w:cstheme="minorBidi"/>
          <w:noProof/>
          <w:sz w:val="24"/>
          <w:szCs w:val="21"/>
          <w:lang w:eastAsia="en-GB" w:bidi="sa-IN"/>
        </w:rPr>
      </w:pPr>
      <w:hyperlink w:anchor="_Toc243900323" w:history="1">
        <w:r>
          <w:rPr>
            <w:rStyle w:val="Hiperhivatkozs"/>
            <w:noProof/>
            <w:lang w:bidi="ar-SA"/>
          </w:rPr>
          <w:t>6.5. Lacunae</w:t>
        </w:r>
        <w:r>
          <w:rPr>
            <w:noProof/>
            <w:webHidden/>
          </w:rPr>
          <w:tab/>
        </w:r>
        <w:r>
          <w:rPr>
            <w:noProof/>
            <w:webHidden/>
          </w:rPr>
          <w:fldChar w:fldCharType="begin"/>
        </w:r>
        <w:r>
          <w:rPr>
            <w:noProof/>
            <w:webHidden/>
          </w:rPr>
          <w:instrText xml:space="preserve"> PAGEREF _Toc243900323 \h </w:instrText>
        </w:r>
        <w:r>
          <w:rPr>
            <w:noProof/>
            <w:webHidden/>
          </w:rPr>
        </w:r>
        <w:r>
          <w:rPr>
            <w:noProof/>
            <w:webHidden/>
          </w:rPr>
          <w:fldChar w:fldCharType="separate"/>
        </w:r>
        <w:r>
          <w:rPr>
            <w:noProof/>
            <w:webHidden/>
          </w:rPr>
          <w:t>100</w:t>
        </w:r>
        <w:r>
          <w:rPr>
            <w:noProof/>
            <w:webHidden/>
          </w:rPr>
          <w:fldChar w:fldCharType="end"/>
        </w:r>
      </w:hyperlink>
    </w:p>
    <w:p w14:paraId="6B14E304" w14:textId="6AC55C92">
      <w:pPr>
        <w:pStyle w:val="TJ3"/>
        <w:rPr>
          <w:rFonts w:asciiTheme="minorHAnsi" w:hAnsiTheme="minorHAnsi" w:cstheme="minorBidi"/>
          <w:noProof/>
          <w:sz w:val="24"/>
          <w:szCs w:val="21"/>
          <w:lang w:eastAsia="en-GB" w:bidi="sa-IN"/>
        </w:rPr>
      </w:pPr>
      <w:hyperlink w:anchor="_Toc243900324" w:history="1">
        <w:r>
          <w:rPr>
            <w:rStyle w:val="Hiperhivatkozs"/>
            <w:noProof/>
            <w:lang w:bidi="ar-SA"/>
          </w:rPr>
          <w:t>6.5.1. Encoding lacunae</w:t>
        </w:r>
        <w:r>
          <w:rPr>
            <w:noProof/>
            <w:webHidden/>
          </w:rPr>
          <w:tab/>
        </w:r>
        <w:r>
          <w:rPr>
            <w:noProof/>
            <w:webHidden/>
          </w:rPr>
          <w:fldChar w:fldCharType="begin"/>
        </w:r>
        <w:r>
          <w:rPr>
            <w:noProof/>
            <w:webHidden/>
          </w:rPr>
          <w:instrText xml:space="preserve"> PAGEREF _Toc243900324 \h </w:instrText>
        </w:r>
        <w:r>
          <w:rPr>
            <w:noProof/>
            <w:webHidden/>
          </w:rPr>
        </w:r>
        <w:r>
          <w:rPr>
            <w:noProof/>
            <w:webHidden/>
          </w:rPr>
          <w:fldChar w:fldCharType="separate"/>
        </w:r>
        <w:r>
          <w:rPr>
            <w:noProof/>
            <w:webHidden/>
          </w:rPr>
          <w:t>100</w:t>
        </w:r>
        <w:r>
          <w:rPr>
            <w:noProof/>
            <w:webHidden/>
          </w:rPr>
          <w:fldChar w:fldCharType="end"/>
        </w:r>
      </w:hyperlink>
    </w:p>
    <w:p w14:paraId="1B5606B1" w14:textId="4E79DE57">
      <w:pPr>
        <w:pStyle w:val="TJ3"/>
        <w:rPr>
          <w:rFonts w:asciiTheme="minorHAnsi" w:hAnsiTheme="minorHAnsi" w:cstheme="minorBidi"/>
          <w:noProof/>
          <w:sz w:val="24"/>
          <w:szCs w:val="21"/>
          <w:lang w:eastAsia="en-GB" w:bidi="sa-IN"/>
        </w:rPr>
      </w:pPr>
      <w:hyperlink w:anchor="_Toc243900325" w:history="1">
        <w:r>
          <w:rPr>
            <w:rStyle w:val="Hiperhivatkozs"/>
            <w:noProof/>
            <w:lang w:bidi="ar-SA"/>
          </w:rPr>
          <w:t>6.5.2. Managing inline lacunae</w:t>
        </w:r>
        <w:r>
          <w:rPr>
            <w:noProof/>
            <w:webHidden/>
          </w:rPr>
          <w:tab/>
        </w:r>
        <w:r>
          <w:rPr>
            <w:noProof/>
            <w:webHidden/>
          </w:rPr>
          <w:fldChar w:fldCharType="begin"/>
        </w:r>
        <w:r>
          <w:rPr>
            <w:noProof/>
            <w:webHidden/>
          </w:rPr>
          <w:instrText xml:space="preserve"> PAGEREF _Toc243900325 \h </w:instrText>
        </w:r>
        <w:r>
          <w:rPr>
            <w:noProof/>
            <w:webHidden/>
          </w:rPr>
        </w:r>
        <w:r>
          <w:rPr>
            <w:noProof/>
            <w:webHidden/>
          </w:rPr>
          <w:fldChar w:fldCharType="separate"/>
        </w:r>
        <w:r>
          <w:rPr>
            <w:noProof/>
            <w:webHidden/>
          </w:rPr>
          <w:t>102</w:t>
        </w:r>
        <w:r>
          <w:rPr>
            <w:noProof/>
            <w:webHidden/>
          </w:rPr>
          <w:fldChar w:fldCharType="end"/>
        </w:r>
      </w:hyperlink>
    </w:p>
    <w:p w14:paraId="4E4B800E" w14:textId="061FB152">
      <w:pPr>
        <w:pStyle w:val="TJ3"/>
        <w:rPr>
          <w:rFonts w:asciiTheme="minorHAnsi" w:hAnsiTheme="minorHAnsi" w:cstheme="minorBidi"/>
          <w:noProof/>
          <w:sz w:val="24"/>
          <w:szCs w:val="21"/>
          <w:lang w:eastAsia="en-GB" w:bidi="sa-IN"/>
        </w:rPr>
      </w:pPr>
      <w:hyperlink w:anchor="_Toc243900326" w:history="1">
        <w:r>
          <w:rPr>
            <w:rStyle w:val="Hiperhivatkozs"/>
            <w:noProof/>
            <w:lang w:bidi="ar-SA"/>
          </w:rPr>
          <w:t>6.5.3. Managing line-level lacunae</w:t>
        </w:r>
        <w:r>
          <w:rPr>
            <w:noProof/>
            <w:webHidden/>
          </w:rPr>
          <w:tab/>
        </w:r>
        <w:r>
          <w:rPr>
            <w:noProof/>
            <w:webHidden/>
          </w:rPr>
          <w:fldChar w:fldCharType="begin"/>
        </w:r>
        <w:r>
          <w:rPr>
            <w:noProof/>
            <w:webHidden/>
          </w:rPr>
          <w:instrText xml:space="preserve"> PAGEREF _Toc243900326 \h </w:instrText>
        </w:r>
        <w:r>
          <w:rPr>
            <w:noProof/>
            <w:webHidden/>
          </w:rPr>
        </w:r>
        <w:r>
          <w:rPr>
            <w:noProof/>
            <w:webHidden/>
          </w:rPr>
          <w:fldChar w:fldCharType="separate"/>
        </w:r>
        <w:r>
          <w:rPr>
            <w:noProof/>
            <w:webHidden/>
          </w:rPr>
          <w:t>106</w:t>
        </w:r>
        <w:r>
          <w:rPr>
            <w:noProof/>
            <w:webHidden/>
          </w:rPr>
          <w:fldChar w:fldCharType="end"/>
        </w:r>
      </w:hyperlink>
    </w:p>
    <w:p w14:paraId="417C6510" w14:textId="6ADAD4CC">
      <w:pPr>
        <w:pStyle w:val="TJ3"/>
        <w:rPr>
          <w:rFonts w:asciiTheme="minorHAnsi" w:hAnsiTheme="minorHAnsi" w:cstheme="minorBidi"/>
          <w:noProof/>
          <w:sz w:val="24"/>
          <w:szCs w:val="21"/>
          <w:lang w:eastAsia="en-GB" w:bidi="sa-IN"/>
        </w:rPr>
      </w:pPr>
      <w:hyperlink w:anchor="_Toc243900327" w:history="1">
        <w:r>
          <w:rPr>
            <w:rStyle w:val="Hiperhivatkozs"/>
            <w:noProof/>
            <w:lang w:bidi="ar-SA"/>
          </w:rPr>
          <w:t>6.5.4. Managing massive lacunae</w:t>
        </w:r>
        <w:r>
          <w:rPr>
            <w:noProof/>
            <w:webHidden/>
          </w:rPr>
          <w:tab/>
        </w:r>
        <w:r>
          <w:rPr>
            <w:noProof/>
            <w:webHidden/>
          </w:rPr>
          <w:fldChar w:fldCharType="begin"/>
        </w:r>
        <w:r>
          <w:rPr>
            <w:noProof/>
            <w:webHidden/>
          </w:rPr>
          <w:instrText xml:space="preserve"> PAGEREF _Toc243900327 \h </w:instrText>
        </w:r>
        <w:r>
          <w:rPr>
            <w:noProof/>
            <w:webHidden/>
          </w:rPr>
        </w:r>
        <w:r>
          <w:rPr>
            <w:noProof/>
            <w:webHidden/>
          </w:rPr>
          <w:fldChar w:fldCharType="separate"/>
        </w:r>
        <w:r>
          <w:rPr>
            <w:noProof/>
            <w:webHidden/>
          </w:rPr>
          <w:t>108</w:t>
        </w:r>
        <w:r>
          <w:rPr>
            <w:noProof/>
            <w:webHidden/>
          </w:rPr>
          <w:fldChar w:fldCharType="end"/>
        </w:r>
      </w:hyperlink>
    </w:p>
    <w:p w14:paraId="5C3DF7B2" w14:textId="0FCE0554">
      <w:pPr>
        <w:pStyle w:val="TJ3"/>
        <w:rPr>
          <w:rFonts w:asciiTheme="minorHAnsi" w:hAnsiTheme="minorHAnsi" w:cstheme="minorBidi"/>
          <w:noProof/>
          <w:sz w:val="24"/>
          <w:szCs w:val="21"/>
          <w:lang w:eastAsia="en-GB" w:bidi="sa-IN"/>
        </w:rPr>
      </w:pPr>
      <w:hyperlink w:anchor="_Toc243900328" w:history="1">
        <w:r>
          <w:rPr>
            <w:rStyle w:val="Hiperhivatkozs"/>
            <w:noProof/>
            <w:lang w:bidi="ar-SA"/>
          </w:rPr>
          <w:t>6.5.5. Managing incomplete copperplate sets</w:t>
        </w:r>
        <w:r>
          <w:rPr>
            <w:noProof/>
            <w:webHidden/>
          </w:rPr>
          <w:tab/>
        </w:r>
        <w:r>
          <w:rPr>
            <w:noProof/>
            <w:webHidden/>
          </w:rPr>
          <w:fldChar w:fldCharType="begin"/>
        </w:r>
        <w:r>
          <w:rPr>
            <w:noProof/>
            <w:webHidden/>
          </w:rPr>
          <w:instrText xml:space="preserve"> PAGEREF _Toc243900328 \h </w:instrText>
        </w:r>
        <w:r>
          <w:rPr>
            <w:noProof/>
            <w:webHidden/>
          </w:rPr>
        </w:r>
        <w:r>
          <w:rPr>
            <w:noProof/>
            <w:webHidden/>
          </w:rPr>
          <w:fldChar w:fldCharType="separate"/>
        </w:r>
        <w:r>
          <w:rPr>
            <w:noProof/>
            <w:webHidden/>
          </w:rPr>
          <w:t>112</w:t>
        </w:r>
        <w:r>
          <w:rPr>
            <w:noProof/>
            <w:webHidden/>
          </w:rPr>
          <w:fldChar w:fldCharType="end"/>
        </w:r>
      </w:hyperlink>
    </w:p>
    <w:p w14:paraId="50543C2F" w14:textId="756E489E">
      <w:pPr>
        <w:pStyle w:val="TJ1"/>
        <w:rPr>
          <w:rFonts w:asciiTheme="minorHAnsi" w:hAnsiTheme="minorHAnsi" w:cstheme="minorBidi"/>
          <w:b w:val="0"/>
          <w:noProof/>
          <w:sz w:val="24"/>
          <w:szCs w:val="21"/>
          <w:lang w:eastAsia="en-GB" w:bidi="sa-IN"/>
        </w:rPr>
      </w:pPr>
      <w:hyperlink w:anchor="_Toc243900329" w:history="1">
        <w:r>
          <w:rPr>
            <w:rStyle w:val="Hiperhivatkozs"/>
            <w:noProof/>
            <w:lang w:bidi="ar-SA"/>
          </w:rPr>
          <w:t>7. Editorial intervention</w:t>
        </w:r>
        <w:r>
          <w:rPr>
            <w:noProof/>
            <w:webHidden/>
          </w:rPr>
          <w:tab/>
        </w:r>
        <w:r>
          <w:rPr>
            <w:noProof/>
            <w:webHidden/>
          </w:rPr>
          <w:fldChar w:fldCharType="begin"/>
        </w:r>
        <w:r>
          <w:rPr>
            <w:noProof/>
            <w:webHidden/>
          </w:rPr>
          <w:instrText xml:space="preserve"> PAGEREF _Toc243900329 \h </w:instrText>
        </w:r>
        <w:r>
          <w:rPr>
            <w:noProof/>
            <w:webHidden/>
          </w:rPr>
        </w:r>
        <w:r>
          <w:rPr>
            <w:noProof/>
            <w:webHidden/>
          </w:rPr>
          <w:fldChar w:fldCharType="separate"/>
        </w:r>
        <w:r>
          <w:rPr>
            <w:noProof/>
            <w:webHidden/>
          </w:rPr>
          <w:t>115</w:t>
        </w:r>
        <w:r>
          <w:rPr>
            <w:noProof/>
            <w:webHidden/>
          </w:rPr>
          <w:fldChar w:fldCharType="end"/>
        </w:r>
      </w:hyperlink>
    </w:p>
    <w:p w14:paraId="4A95ACB8" w14:textId="3FE9066F">
      <w:pPr>
        <w:pStyle w:val="TJ2"/>
        <w:rPr>
          <w:rFonts w:asciiTheme="minorHAnsi" w:hAnsiTheme="minorHAnsi" w:cstheme="minorBidi"/>
          <w:noProof/>
          <w:sz w:val="24"/>
          <w:szCs w:val="21"/>
          <w:lang w:eastAsia="en-GB" w:bidi="sa-IN"/>
        </w:rPr>
      </w:pPr>
      <w:hyperlink w:anchor="_Toc243900330" w:history="1">
        <w:r>
          <w:rPr>
            <w:rStyle w:val="Hiperhivatkozs"/>
            <w:noProof/>
            <w:lang w:bidi="ar-SA"/>
          </w:rPr>
          <w:t>7.1. Distinguishing correction from normalisation</w:t>
        </w:r>
        <w:r>
          <w:rPr>
            <w:noProof/>
            <w:webHidden/>
          </w:rPr>
          <w:tab/>
        </w:r>
        <w:r>
          <w:rPr>
            <w:noProof/>
            <w:webHidden/>
          </w:rPr>
          <w:fldChar w:fldCharType="begin"/>
        </w:r>
        <w:r>
          <w:rPr>
            <w:noProof/>
            <w:webHidden/>
          </w:rPr>
          <w:instrText xml:space="preserve"> PAGEREF _Toc243900330 \h </w:instrText>
        </w:r>
        <w:r>
          <w:rPr>
            <w:noProof/>
            <w:webHidden/>
          </w:rPr>
        </w:r>
        <w:r>
          <w:rPr>
            <w:noProof/>
            <w:webHidden/>
          </w:rPr>
          <w:fldChar w:fldCharType="separate"/>
        </w:r>
        <w:r>
          <w:rPr>
            <w:noProof/>
            <w:webHidden/>
          </w:rPr>
          <w:t>115</w:t>
        </w:r>
        <w:r>
          <w:rPr>
            <w:noProof/>
            <w:webHidden/>
          </w:rPr>
          <w:fldChar w:fldCharType="end"/>
        </w:r>
      </w:hyperlink>
    </w:p>
    <w:p w14:paraId="6B0FD9EB" w14:textId="0652C1E8">
      <w:pPr>
        <w:pStyle w:val="TJ3"/>
        <w:rPr>
          <w:rFonts w:asciiTheme="minorHAnsi" w:hAnsiTheme="minorHAnsi" w:cstheme="minorBidi"/>
          <w:noProof/>
          <w:sz w:val="24"/>
          <w:szCs w:val="21"/>
          <w:lang w:eastAsia="en-GB" w:bidi="sa-IN"/>
        </w:rPr>
      </w:pPr>
      <w:hyperlink w:anchor="_Toc243900331" w:history="1">
        <w:r>
          <w:rPr>
            <w:rStyle w:val="Hiperhivatkozs"/>
            <w:noProof/>
            <w:lang w:bidi="ar-SA"/>
          </w:rPr>
          <w:t>7.1.1. Erroneous readings</w:t>
        </w:r>
        <w:r>
          <w:rPr>
            <w:noProof/>
            <w:webHidden/>
          </w:rPr>
          <w:tab/>
        </w:r>
        <w:r>
          <w:rPr>
            <w:noProof/>
            <w:webHidden/>
          </w:rPr>
          <w:fldChar w:fldCharType="begin"/>
        </w:r>
        <w:r>
          <w:rPr>
            <w:noProof/>
            <w:webHidden/>
          </w:rPr>
          <w:instrText xml:space="preserve"> PAGEREF _Toc243900331 \h </w:instrText>
        </w:r>
        <w:r>
          <w:rPr>
            <w:noProof/>
            <w:webHidden/>
          </w:rPr>
        </w:r>
        <w:r>
          <w:rPr>
            <w:noProof/>
            <w:webHidden/>
          </w:rPr>
          <w:fldChar w:fldCharType="separate"/>
        </w:r>
        <w:r>
          <w:rPr>
            <w:noProof/>
            <w:webHidden/>
          </w:rPr>
          <w:t>115</w:t>
        </w:r>
        <w:r>
          <w:rPr>
            <w:noProof/>
            <w:webHidden/>
          </w:rPr>
          <w:fldChar w:fldCharType="end"/>
        </w:r>
      </w:hyperlink>
    </w:p>
    <w:p w14:paraId="5A280CB9" w14:textId="182C29C2">
      <w:pPr>
        <w:pStyle w:val="TJ3"/>
        <w:rPr>
          <w:rFonts w:asciiTheme="minorHAnsi" w:hAnsiTheme="minorHAnsi" w:cstheme="minorBidi"/>
          <w:noProof/>
          <w:sz w:val="24"/>
          <w:szCs w:val="21"/>
          <w:lang w:eastAsia="en-GB" w:bidi="sa-IN"/>
        </w:rPr>
      </w:pPr>
      <w:hyperlink w:anchor="_Toc243900332" w:history="1">
        <w:r>
          <w:rPr>
            <w:rStyle w:val="Hiperhivatkozs"/>
            <w:noProof/>
            <w:lang w:bidi="ar-SA"/>
          </w:rPr>
          <w:t>7.1.2. Non-standard readings</w:t>
        </w:r>
        <w:r>
          <w:rPr>
            <w:noProof/>
            <w:webHidden/>
          </w:rPr>
          <w:tab/>
        </w:r>
        <w:r>
          <w:rPr>
            <w:noProof/>
            <w:webHidden/>
          </w:rPr>
          <w:fldChar w:fldCharType="begin"/>
        </w:r>
        <w:r>
          <w:rPr>
            <w:noProof/>
            <w:webHidden/>
          </w:rPr>
          <w:instrText xml:space="preserve"> PAGEREF _Toc243900332 \h </w:instrText>
        </w:r>
        <w:r>
          <w:rPr>
            <w:noProof/>
            <w:webHidden/>
          </w:rPr>
        </w:r>
        <w:r>
          <w:rPr>
            <w:noProof/>
            <w:webHidden/>
          </w:rPr>
          <w:fldChar w:fldCharType="separate"/>
        </w:r>
        <w:r>
          <w:rPr>
            <w:noProof/>
            <w:webHidden/>
          </w:rPr>
          <w:t>115</w:t>
        </w:r>
        <w:r>
          <w:rPr>
            <w:noProof/>
            <w:webHidden/>
          </w:rPr>
          <w:fldChar w:fldCharType="end"/>
        </w:r>
      </w:hyperlink>
    </w:p>
    <w:p w14:paraId="4D7CF4E4" w14:textId="5CD4530A">
      <w:pPr>
        <w:pStyle w:val="TJ2"/>
        <w:rPr>
          <w:rFonts w:asciiTheme="minorHAnsi" w:hAnsiTheme="minorHAnsi" w:cstheme="minorBidi"/>
          <w:noProof/>
          <w:sz w:val="24"/>
          <w:szCs w:val="21"/>
          <w:lang w:eastAsia="en-GB" w:bidi="sa-IN"/>
        </w:rPr>
      </w:pPr>
      <w:hyperlink w:anchor="_Toc243900333" w:history="1">
        <w:r>
          <w:rPr>
            <w:rStyle w:val="Hiperhivatkozs"/>
            <w:noProof/>
            <w:lang w:bidi="ar-SA"/>
          </w:rPr>
          <w:t>7.2. Encoding editorial intervention</w:t>
        </w:r>
        <w:r>
          <w:rPr>
            <w:noProof/>
            <w:webHidden/>
          </w:rPr>
          <w:tab/>
        </w:r>
        <w:r>
          <w:rPr>
            <w:noProof/>
            <w:webHidden/>
          </w:rPr>
          <w:fldChar w:fldCharType="begin"/>
        </w:r>
        <w:r>
          <w:rPr>
            <w:noProof/>
            <w:webHidden/>
          </w:rPr>
          <w:instrText xml:space="preserve"> PAGEREF _Toc243900333 \h </w:instrText>
        </w:r>
        <w:r>
          <w:rPr>
            <w:noProof/>
            <w:webHidden/>
          </w:rPr>
        </w:r>
        <w:r>
          <w:rPr>
            <w:noProof/>
            <w:webHidden/>
          </w:rPr>
          <w:fldChar w:fldCharType="separate"/>
        </w:r>
        <w:r>
          <w:rPr>
            <w:noProof/>
            <w:webHidden/>
          </w:rPr>
          <w:t>116</w:t>
        </w:r>
        <w:r>
          <w:rPr>
            <w:noProof/>
            <w:webHidden/>
          </w:rPr>
          <w:fldChar w:fldCharType="end"/>
        </w:r>
      </w:hyperlink>
    </w:p>
    <w:p w14:paraId="4DCBA6F1" w14:textId="21E36F7E">
      <w:pPr>
        <w:pStyle w:val="TJ3"/>
        <w:rPr>
          <w:rFonts w:asciiTheme="minorHAnsi" w:hAnsiTheme="minorHAnsi" w:cstheme="minorBidi"/>
          <w:noProof/>
          <w:sz w:val="24"/>
          <w:szCs w:val="21"/>
          <w:lang w:eastAsia="en-GB" w:bidi="sa-IN"/>
        </w:rPr>
      </w:pPr>
      <w:hyperlink w:anchor="_Toc243900334" w:history="1">
        <w:r>
          <w:rPr>
            <w:rStyle w:val="Hiperhivatkozs"/>
            <w:noProof/>
            <w:lang w:bidi="ar-SA"/>
          </w:rPr>
          <w:t>7.2.1. Encoding tools for anomalous readings</w:t>
        </w:r>
        <w:r>
          <w:rPr>
            <w:noProof/>
            <w:webHidden/>
          </w:rPr>
          <w:tab/>
        </w:r>
        <w:r>
          <w:rPr>
            <w:noProof/>
            <w:webHidden/>
          </w:rPr>
          <w:fldChar w:fldCharType="begin"/>
        </w:r>
        <w:r>
          <w:rPr>
            <w:noProof/>
            <w:webHidden/>
          </w:rPr>
          <w:instrText xml:space="preserve"> PAGEREF _Toc243900334 \h </w:instrText>
        </w:r>
        <w:r>
          <w:rPr>
            <w:noProof/>
            <w:webHidden/>
          </w:rPr>
        </w:r>
        <w:r>
          <w:rPr>
            <w:noProof/>
            <w:webHidden/>
          </w:rPr>
          <w:fldChar w:fldCharType="separate"/>
        </w:r>
        <w:r>
          <w:rPr>
            <w:noProof/>
            <w:webHidden/>
          </w:rPr>
          <w:t>116</w:t>
        </w:r>
        <w:r>
          <w:rPr>
            <w:noProof/>
            <w:webHidden/>
          </w:rPr>
          <w:fldChar w:fldCharType="end"/>
        </w:r>
      </w:hyperlink>
    </w:p>
    <w:p w14:paraId="18D05CC5" w14:textId="7E5D4C73">
      <w:pPr>
        <w:pStyle w:val="TJ2"/>
        <w:rPr>
          <w:rFonts w:asciiTheme="minorHAnsi" w:hAnsiTheme="minorHAnsi" w:cstheme="minorBidi"/>
          <w:noProof/>
          <w:sz w:val="24"/>
          <w:szCs w:val="21"/>
          <w:lang w:eastAsia="en-GB" w:bidi="sa-IN"/>
        </w:rPr>
      </w:pPr>
      <w:hyperlink w:anchor="_Toc243900335" w:history="1">
        <w:r>
          <w:rPr>
            <w:rStyle w:val="Hiperhivatkozs"/>
            <w:noProof/>
            <w:lang w:bidi="ar-SA"/>
          </w:rPr>
          <w:t>7.3. Ignoring anomalous readings</w:t>
        </w:r>
        <w:r>
          <w:rPr>
            <w:noProof/>
            <w:webHidden/>
          </w:rPr>
          <w:tab/>
        </w:r>
        <w:r>
          <w:rPr>
            <w:noProof/>
            <w:webHidden/>
          </w:rPr>
          <w:fldChar w:fldCharType="begin"/>
        </w:r>
        <w:r>
          <w:rPr>
            <w:noProof/>
            <w:webHidden/>
          </w:rPr>
          <w:instrText xml:space="preserve"> PAGEREF _Toc243900335 \h </w:instrText>
        </w:r>
        <w:r>
          <w:rPr>
            <w:noProof/>
            <w:webHidden/>
          </w:rPr>
        </w:r>
        <w:r>
          <w:rPr>
            <w:noProof/>
            <w:webHidden/>
          </w:rPr>
          <w:fldChar w:fldCharType="separate"/>
        </w:r>
        <w:r>
          <w:rPr>
            <w:noProof/>
            <w:webHidden/>
          </w:rPr>
          <w:t>117</w:t>
        </w:r>
        <w:r>
          <w:rPr>
            <w:noProof/>
            <w:webHidden/>
          </w:rPr>
          <w:fldChar w:fldCharType="end"/>
        </w:r>
      </w:hyperlink>
    </w:p>
    <w:p w14:paraId="0C83B6A7" w14:textId="3C8C1E1B">
      <w:pPr>
        <w:pStyle w:val="TJ2"/>
        <w:rPr>
          <w:rFonts w:asciiTheme="minorHAnsi" w:hAnsiTheme="minorHAnsi" w:cstheme="minorBidi"/>
          <w:noProof/>
          <w:sz w:val="24"/>
          <w:szCs w:val="21"/>
          <w:lang w:eastAsia="en-GB" w:bidi="sa-IN"/>
        </w:rPr>
      </w:pPr>
      <w:hyperlink w:anchor="_Toc243900336" w:history="1">
        <w:r>
          <w:rPr>
            <w:rStyle w:val="Hiperhivatkozs"/>
            <w:noProof/>
            <w:lang w:bidi="ar-SA"/>
          </w:rPr>
          <w:t>7.4. Flagging anomalous readings</w:t>
        </w:r>
        <w:r>
          <w:rPr>
            <w:noProof/>
            <w:webHidden/>
          </w:rPr>
          <w:tab/>
        </w:r>
        <w:r>
          <w:rPr>
            <w:noProof/>
            <w:webHidden/>
          </w:rPr>
          <w:fldChar w:fldCharType="begin"/>
        </w:r>
        <w:r>
          <w:rPr>
            <w:noProof/>
            <w:webHidden/>
          </w:rPr>
          <w:instrText xml:space="preserve"> PAGEREF _Toc243900336 \h </w:instrText>
        </w:r>
        <w:r>
          <w:rPr>
            <w:noProof/>
            <w:webHidden/>
          </w:rPr>
        </w:r>
        <w:r>
          <w:rPr>
            <w:noProof/>
            <w:webHidden/>
          </w:rPr>
          <w:fldChar w:fldCharType="separate"/>
        </w:r>
        <w:r>
          <w:rPr>
            <w:noProof/>
            <w:webHidden/>
          </w:rPr>
          <w:t>118</w:t>
        </w:r>
        <w:r>
          <w:rPr>
            <w:noProof/>
            <w:webHidden/>
          </w:rPr>
          <w:fldChar w:fldCharType="end"/>
        </w:r>
      </w:hyperlink>
    </w:p>
    <w:p w14:paraId="3402EA47" w14:textId="500615C3">
      <w:pPr>
        <w:pStyle w:val="TJ3"/>
        <w:rPr>
          <w:rFonts w:asciiTheme="minorHAnsi" w:hAnsiTheme="minorHAnsi" w:cstheme="minorBidi"/>
          <w:noProof/>
          <w:sz w:val="24"/>
          <w:szCs w:val="21"/>
          <w:lang w:eastAsia="en-GB" w:bidi="sa-IN"/>
        </w:rPr>
      </w:pPr>
      <w:hyperlink w:anchor="_Toc243900337" w:history="1">
        <w:r>
          <w:rPr>
            <w:rStyle w:val="Hiperhivatkozs"/>
            <w:noProof/>
            <w:lang w:bidi="ar-SA"/>
          </w:rPr>
          <w:t>7.4.1. Flagging erroneous and uninterpretable readings</w:t>
        </w:r>
        <w:r>
          <w:rPr>
            <w:noProof/>
            <w:webHidden/>
          </w:rPr>
          <w:tab/>
        </w:r>
        <w:r>
          <w:rPr>
            <w:noProof/>
            <w:webHidden/>
          </w:rPr>
          <w:fldChar w:fldCharType="begin"/>
        </w:r>
        <w:r>
          <w:rPr>
            <w:noProof/>
            <w:webHidden/>
          </w:rPr>
          <w:instrText xml:space="preserve"> PAGEREF _Toc243900337 \h </w:instrText>
        </w:r>
        <w:r>
          <w:rPr>
            <w:noProof/>
            <w:webHidden/>
          </w:rPr>
        </w:r>
        <w:r>
          <w:rPr>
            <w:noProof/>
            <w:webHidden/>
          </w:rPr>
          <w:fldChar w:fldCharType="separate"/>
        </w:r>
        <w:r>
          <w:rPr>
            <w:noProof/>
            <w:webHidden/>
          </w:rPr>
          <w:t>118</w:t>
        </w:r>
        <w:r>
          <w:rPr>
            <w:noProof/>
            <w:webHidden/>
          </w:rPr>
          <w:fldChar w:fldCharType="end"/>
        </w:r>
      </w:hyperlink>
    </w:p>
    <w:p w14:paraId="6EE275D0" w14:textId="352C4E57">
      <w:pPr>
        <w:pStyle w:val="TJ3"/>
        <w:rPr>
          <w:rFonts w:asciiTheme="minorHAnsi" w:hAnsiTheme="minorHAnsi" w:cstheme="minorBidi"/>
          <w:noProof/>
          <w:sz w:val="24"/>
          <w:szCs w:val="21"/>
          <w:lang w:eastAsia="en-GB" w:bidi="sa-IN"/>
        </w:rPr>
      </w:pPr>
      <w:hyperlink w:anchor="_Toc243900338" w:history="1">
        <w:r>
          <w:rPr>
            <w:rStyle w:val="Hiperhivatkozs"/>
            <w:noProof/>
            <w:lang w:bidi="ar-SA"/>
          </w:rPr>
          <w:t>7.4.2. Flagging non-standard readings</w:t>
        </w:r>
        <w:r>
          <w:rPr>
            <w:noProof/>
            <w:webHidden/>
          </w:rPr>
          <w:tab/>
        </w:r>
        <w:r>
          <w:rPr>
            <w:noProof/>
            <w:webHidden/>
          </w:rPr>
          <w:fldChar w:fldCharType="begin"/>
        </w:r>
        <w:r>
          <w:rPr>
            <w:noProof/>
            <w:webHidden/>
          </w:rPr>
          <w:instrText xml:space="preserve"> PAGEREF _Toc243900338 \h </w:instrText>
        </w:r>
        <w:r>
          <w:rPr>
            <w:noProof/>
            <w:webHidden/>
          </w:rPr>
        </w:r>
        <w:r>
          <w:rPr>
            <w:noProof/>
            <w:webHidden/>
          </w:rPr>
          <w:fldChar w:fldCharType="separate"/>
        </w:r>
        <w:r>
          <w:rPr>
            <w:noProof/>
            <w:webHidden/>
          </w:rPr>
          <w:t>118</w:t>
        </w:r>
        <w:r>
          <w:rPr>
            <w:noProof/>
            <w:webHidden/>
          </w:rPr>
          <w:fldChar w:fldCharType="end"/>
        </w:r>
      </w:hyperlink>
    </w:p>
    <w:p w14:paraId="00CEAC78" w14:textId="72C1BA25">
      <w:pPr>
        <w:pStyle w:val="TJ2"/>
        <w:rPr>
          <w:rFonts w:asciiTheme="minorHAnsi" w:hAnsiTheme="minorHAnsi" w:cstheme="minorBidi"/>
          <w:noProof/>
          <w:sz w:val="24"/>
          <w:szCs w:val="21"/>
          <w:lang w:eastAsia="en-GB" w:bidi="sa-IN"/>
        </w:rPr>
      </w:pPr>
      <w:hyperlink w:anchor="_Toc243900339" w:history="1">
        <w:r>
          <w:rPr>
            <w:rStyle w:val="Hiperhivatkozs"/>
            <w:noProof/>
            <w:lang w:bidi="ar-SA"/>
          </w:rPr>
          <w:t>7.5. Rectifying anomalous readings</w:t>
        </w:r>
        <w:r>
          <w:rPr>
            <w:noProof/>
            <w:webHidden/>
          </w:rPr>
          <w:tab/>
        </w:r>
        <w:r>
          <w:rPr>
            <w:noProof/>
            <w:webHidden/>
          </w:rPr>
          <w:fldChar w:fldCharType="begin"/>
        </w:r>
        <w:r>
          <w:rPr>
            <w:noProof/>
            <w:webHidden/>
          </w:rPr>
          <w:instrText xml:space="preserve"> PAGEREF _Toc243900339 \h </w:instrText>
        </w:r>
        <w:r>
          <w:rPr>
            <w:noProof/>
            <w:webHidden/>
          </w:rPr>
        </w:r>
        <w:r>
          <w:rPr>
            <w:noProof/>
            <w:webHidden/>
          </w:rPr>
          <w:fldChar w:fldCharType="separate"/>
        </w:r>
        <w:r>
          <w:rPr>
            <w:noProof/>
            <w:webHidden/>
          </w:rPr>
          <w:t>119</w:t>
        </w:r>
        <w:r>
          <w:rPr>
            <w:noProof/>
            <w:webHidden/>
          </w:rPr>
          <w:fldChar w:fldCharType="end"/>
        </w:r>
      </w:hyperlink>
    </w:p>
    <w:p w14:paraId="13BB2D78" w14:textId="145EFDD1">
      <w:pPr>
        <w:pStyle w:val="TJ3"/>
        <w:rPr>
          <w:rFonts w:asciiTheme="minorHAnsi" w:hAnsiTheme="minorHAnsi" w:cstheme="minorBidi"/>
          <w:noProof/>
          <w:sz w:val="24"/>
          <w:szCs w:val="21"/>
          <w:lang w:eastAsia="en-GB" w:bidi="sa-IN"/>
        </w:rPr>
      </w:pPr>
      <w:hyperlink w:anchor="_Toc243900340" w:history="1">
        <w:r>
          <w:rPr>
            <w:rStyle w:val="Hiperhivatkozs"/>
            <w:noProof/>
            <w:lang w:bidi="ar-SA"/>
          </w:rPr>
          <w:t>7.5.1. Substitution</w:t>
        </w:r>
        <w:r>
          <w:rPr>
            <w:noProof/>
            <w:webHidden/>
          </w:rPr>
          <w:tab/>
        </w:r>
        <w:r>
          <w:rPr>
            <w:noProof/>
            <w:webHidden/>
          </w:rPr>
          <w:fldChar w:fldCharType="begin"/>
        </w:r>
        <w:r>
          <w:rPr>
            <w:noProof/>
            <w:webHidden/>
          </w:rPr>
          <w:instrText xml:space="preserve"> PAGEREF _Toc243900340 \h </w:instrText>
        </w:r>
        <w:r>
          <w:rPr>
            <w:noProof/>
            <w:webHidden/>
          </w:rPr>
        </w:r>
        <w:r>
          <w:rPr>
            <w:noProof/>
            <w:webHidden/>
          </w:rPr>
          <w:fldChar w:fldCharType="separate"/>
        </w:r>
        <w:r>
          <w:rPr>
            <w:noProof/>
            <w:webHidden/>
          </w:rPr>
          <w:t>120</w:t>
        </w:r>
        <w:r>
          <w:rPr>
            <w:noProof/>
            <w:webHidden/>
          </w:rPr>
          <w:fldChar w:fldCharType="end"/>
        </w:r>
      </w:hyperlink>
    </w:p>
    <w:p w14:paraId="0ECC1F14" w14:textId="671B813B">
      <w:pPr>
        <w:pStyle w:val="TJ3"/>
        <w:rPr>
          <w:rFonts w:asciiTheme="minorHAnsi" w:hAnsiTheme="minorHAnsi" w:cstheme="minorBidi"/>
          <w:noProof/>
          <w:sz w:val="24"/>
          <w:szCs w:val="21"/>
          <w:lang w:eastAsia="en-GB" w:bidi="sa-IN"/>
        </w:rPr>
      </w:pPr>
      <w:hyperlink w:anchor="_Toc243900341" w:history="1">
        <w:r>
          <w:rPr>
            <w:rStyle w:val="Hiperhivatkozs"/>
            <w:noProof/>
            <w:lang w:bidi="ar-SA"/>
          </w:rPr>
          <w:t>7.5.2. Suppression: editorial deletion of superfluous text</w:t>
        </w:r>
        <w:r>
          <w:rPr>
            <w:noProof/>
            <w:webHidden/>
          </w:rPr>
          <w:tab/>
        </w:r>
        <w:r>
          <w:rPr>
            <w:noProof/>
            <w:webHidden/>
          </w:rPr>
          <w:fldChar w:fldCharType="begin"/>
        </w:r>
        <w:r>
          <w:rPr>
            <w:noProof/>
            <w:webHidden/>
          </w:rPr>
          <w:instrText xml:space="preserve"> PAGEREF _Toc243900341 \h </w:instrText>
        </w:r>
        <w:r>
          <w:rPr>
            <w:noProof/>
            <w:webHidden/>
          </w:rPr>
        </w:r>
        <w:r>
          <w:rPr>
            <w:noProof/>
            <w:webHidden/>
          </w:rPr>
          <w:fldChar w:fldCharType="separate"/>
        </w:r>
        <w:r>
          <w:rPr>
            <w:noProof/>
            <w:webHidden/>
          </w:rPr>
          <w:t>121</w:t>
        </w:r>
        <w:r>
          <w:rPr>
            <w:noProof/>
            <w:webHidden/>
          </w:rPr>
          <w:fldChar w:fldCharType="end"/>
        </w:r>
      </w:hyperlink>
    </w:p>
    <w:p w14:paraId="47D0F002" w14:textId="30DF4DE1">
      <w:pPr>
        <w:pStyle w:val="TJ3"/>
        <w:rPr>
          <w:rFonts w:asciiTheme="minorHAnsi" w:hAnsiTheme="minorHAnsi" w:cstheme="minorBidi"/>
          <w:noProof/>
          <w:sz w:val="24"/>
          <w:szCs w:val="21"/>
          <w:lang w:eastAsia="en-GB" w:bidi="sa-IN"/>
        </w:rPr>
      </w:pPr>
      <w:hyperlink w:anchor="_Toc243900342" w:history="1">
        <w:r>
          <w:rPr>
            <w:rStyle w:val="Hiperhivatkozs"/>
            <w:noProof/>
            <w:lang w:bidi="ar-SA"/>
          </w:rPr>
          <w:t>7.5.3. Restitution: editorial addition of omitted text</w:t>
        </w:r>
        <w:r>
          <w:rPr>
            <w:noProof/>
            <w:webHidden/>
          </w:rPr>
          <w:tab/>
        </w:r>
        <w:r>
          <w:rPr>
            <w:noProof/>
            <w:webHidden/>
          </w:rPr>
          <w:fldChar w:fldCharType="begin"/>
        </w:r>
        <w:r>
          <w:rPr>
            <w:noProof/>
            <w:webHidden/>
          </w:rPr>
          <w:instrText xml:space="preserve"> PAGEREF _Toc243900342 \h </w:instrText>
        </w:r>
        <w:r>
          <w:rPr>
            <w:noProof/>
            <w:webHidden/>
          </w:rPr>
        </w:r>
        <w:r>
          <w:rPr>
            <w:noProof/>
            <w:webHidden/>
          </w:rPr>
          <w:fldChar w:fldCharType="separate"/>
        </w:r>
        <w:r>
          <w:rPr>
            <w:noProof/>
            <w:webHidden/>
          </w:rPr>
          <w:t>121</w:t>
        </w:r>
        <w:r>
          <w:rPr>
            <w:noProof/>
            <w:webHidden/>
          </w:rPr>
          <w:fldChar w:fldCharType="end"/>
        </w:r>
      </w:hyperlink>
    </w:p>
    <w:p w14:paraId="35946597" w14:textId="136F798D">
      <w:pPr>
        <w:pStyle w:val="TJ2"/>
        <w:rPr>
          <w:rFonts w:asciiTheme="minorHAnsi" w:hAnsiTheme="minorHAnsi" w:cstheme="minorBidi"/>
          <w:noProof/>
          <w:sz w:val="24"/>
          <w:szCs w:val="21"/>
          <w:lang w:eastAsia="en-GB" w:bidi="sa-IN"/>
        </w:rPr>
      </w:pPr>
      <w:hyperlink w:anchor="_Toc243900343" w:history="1">
        <w:r>
          <w:rPr>
            <w:rStyle w:val="Hiperhivatkozs"/>
            <w:noProof/>
            <w:lang w:bidi="ar-SA"/>
          </w:rPr>
          <w:t>7.6. Encoding scribal omission without editorial restoration</w:t>
        </w:r>
        <w:r>
          <w:rPr>
            <w:noProof/>
            <w:webHidden/>
          </w:rPr>
          <w:tab/>
        </w:r>
        <w:r>
          <w:rPr>
            <w:noProof/>
            <w:webHidden/>
          </w:rPr>
          <w:fldChar w:fldCharType="begin"/>
        </w:r>
        <w:r>
          <w:rPr>
            <w:noProof/>
            <w:webHidden/>
          </w:rPr>
          <w:instrText xml:space="preserve"> PAGEREF _Toc243900343 \h </w:instrText>
        </w:r>
        <w:r>
          <w:rPr>
            <w:noProof/>
            <w:webHidden/>
          </w:rPr>
        </w:r>
        <w:r>
          <w:rPr>
            <w:noProof/>
            <w:webHidden/>
          </w:rPr>
          <w:fldChar w:fldCharType="separate"/>
        </w:r>
        <w:r>
          <w:rPr>
            <w:noProof/>
            <w:webHidden/>
          </w:rPr>
          <w:t>122</w:t>
        </w:r>
        <w:r>
          <w:rPr>
            <w:noProof/>
            <w:webHidden/>
          </w:rPr>
          <w:fldChar w:fldCharType="end"/>
        </w:r>
      </w:hyperlink>
    </w:p>
    <w:p w14:paraId="190A2062" w14:textId="5445C3DD">
      <w:pPr>
        <w:pStyle w:val="TJ2"/>
        <w:rPr>
          <w:rFonts w:asciiTheme="minorHAnsi" w:hAnsiTheme="minorHAnsi" w:cstheme="minorBidi"/>
          <w:noProof/>
          <w:sz w:val="24"/>
          <w:szCs w:val="21"/>
          <w:lang w:eastAsia="en-GB" w:bidi="sa-IN"/>
        </w:rPr>
      </w:pPr>
      <w:hyperlink w:anchor="_Toc243900344" w:history="1">
        <w:r>
          <w:rPr>
            <w:rStyle w:val="Hiperhivatkozs"/>
            <w:noProof/>
            <w:lang w:bidi="ar-SA"/>
          </w:rPr>
          <w:t>7.7. Good practice in editorial intervention</w:t>
        </w:r>
        <w:r>
          <w:rPr>
            <w:noProof/>
            <w:webHidden/>
          </w:rPr>
          <w:tab/>
        </w:r>
        <w:r>
          <w:rPr>
            <w:noProof/>
            <w:webHidden/>
          </w:rPr>
          <w:fldChar w:fldCharType="begin"/>
        </w:r>
        <w:r>
          <w:rPr>
            <w:noProof/>
            <w:webHidden/>
          </w:rPr>
          <w:instrText xml:space="preserve"> PAGEREF _Toc243900344 \h </w:instrText>
        </w:r>
        <w:r>
          <w:rPr>
            <w:noProof/>
            <w:webHidden/>
          </w:rPr>
        </w:r>
        <w:r>
          <w:rPr>
            <w:noProof/>
            <w:webHidden/>
          </w:rPr>
          <w:fldChar w:fldCharType="separate"/>
        </w:r>
        <w:r>
          <w:rPr>
            <w:noProof/>
            <w:webHidden/>
          </w:rPr>
          <w:t>122</w:t>
        </w:r>
        <w:r>
          <w:rPr>
            <w:noProof/>
            <w:webHidden/>
          </w:rPr>
          <w:fldChar w:fldCharType="end"/>
        </w:r>
      </w:hyperlink>
    </w:p>
    <w:p w14:paraId="348910DD" w14:textId="7526DDBE">
      <w:pPr>
        <w:pStyle w:val="TJ3"/>
        <w:rPr>
          <w:rFonts w:asciiTheme="minorHAnsi" w:hAnsiTheme="minorHAnsi" w:cstheme="minorBidi"/>
          <w:noProof/>
          <w:sz w:val="24"/>
          <w:szCs w:val="21"/>
          <w:lang w:eastAsia="en-GB" w:bidi="sa-IN"/>
        </w:rPr>
      </w:pPr>
      <w:hyperlink w:anchor="_Toc243900345" w:history="1">
        <w:r>
          <w:rPr>
            <w:rStyle w:val="Hiperhivatkozs"/>
            <w:noProof/>
            <w:lang w:bidi="ar-SA"/>
          </w:rPr>
          <w:t>7.7.1. Manipulating graphemes</w:t>
        </w:r>
        <w:r>
          <w:rPr>
            <w:noProof/>
            <w:webHidden/>
          </w:rPr>
          <w:tab/>
        </w:r>
        <w:r>
          <w:rPr>
            <w:noProof/>
            <w:webHidden/>
          </w:rPr>
          <w:fldChar w:fldCharType="begin"/>
        </w:r>
        <w:r>
          <w:rPr>
            <w:noProof/>
            <w:webHidden/>
          </w:rPr>
          <w:instrText xml:space="preserve"> PAGEREF _Toc243900345 \h </w:instrText>
        </w:r>
        <w:r>
          <w:rPr>
            <w:noProof/>
            <w:webHidden/>
          </w:rPr>
        </w:r>
        <w:r>
          <w:rPr>
            <w:noProof/>
            <w:webHidden/>
          </w:rPr>
          <w:fldChar w:fldCharType="separate"/>
        </w:r>
        <w:r>
          <w:rPr>
            <w:noProof/>
            <w:webHidden/>
          </w:rPr>
          <w:t>122</w:t>
        </w:r>
        <w:r>
          <w:rPr>
            <w:noProof/>
            <w:webHidden/>
          </w:rPr>
          <w:fldChar w:fldCharType="end"/>
        </w:r>
      </w:hyperlink>
    </w:p>
    <w:p w14:paraId="0958D025" w14:textId="31B4B237">
      <w:pPr>
        <w:pStyle w:val="TJ3"/>
        <w:rPr>
          <w:rFonts w:asciiTheme="minorHAnsi" w:hAnsiTheme="minorHAnsi" w:cstheme="minorBidi"/>
          <w:noProof/>
          <w:sz w:val="24"/>
          <w:szCs w:val="21"/>
          <w:lang w:eastAsia="en-GB" w:bidi="sa-IN"/>
        </w:rPr>
      </w:pPr>
      <w:hyperlink w:anchor="_Toc243900346" w:history="1">
        <w:r>
          <w:rPr>
            <w:rStyle w:val="Hiperhivatkozs"/>
            <w:noProof/>
            <w:lang w:bidi="ar-SA"/>
          </w:rPr>
          <w:t>7.7.2. The scope of editorial intervention</w:t>
        </w:r>
        <w:r>
          <w:rPr>
            <w:noProof/>
            <w:webHidden/>
          </w:rPr>
          <w:tab/>
        </w:r>
        <w:r>
          <w:rPr>
            <w:noProof/>
            <w:webHidden/>
          </w:rPr>
          <w:fldChar w:fldCharType="begin"/>
        </w:r>
        <w:r>
          <w:rPr>
            <w:noProof/>
            <w:webHidden/>
          </w:rPr>
          <w:instrText xml:space="preserve"> PAGEREF _Toc243900346 \h </w:instrText>
        </w:r>
        <w:r>
          <w:rPr>
            <w:noProof/>
            <w:webHidden/>
          </w:rPr>
        </w:r>
        <w:r>
          <w:rPr>
            <w:noProof/>
            <w:webHidden/>
          </w:rPr>
          <w:fldChar w:fldCharType="separate"/>
        </w:r>
        <w:r>
          <w:rPr>
            <w:noProof/>
            <w:webHidden/>
          </w:rPr>
          <w:t>124</w:t>
        </w:r>
        <w:r>
          <w:rPr>
            <w:noProof/>
            <w:webHidden/>
          </w:rPr>
          <w:fldChar w:fldCharType="end"/>
        </w:r>
      </w:hyperlink>
    </w:p>
    <w:p w14:paraId="2F35D776" w14:textId="4BE0511F">
      <w:pPr>
        <w:pStyle w:val="TJ3"/>
        <w:rPr>
          <w:rFonts w:asciiTheme="minorHAnsi" w:hAnsiTheme="minorHAnsi" w:cstheme="minorBidi"/>
          <w:noProof/>
          <w:sz w:val="24"/>
          <w:szCs w:val="21"/>
          <w:lang w:eastAsia="en-GB" w:bidi="sa-IN"/>
        </w:rPr>
      </w:pPr>
      <w:hyperlink w:anchor="_Toc243900347" w:history="1">
        <w:r>
          <w:rPr>
            <w:rStyle w:val="Hiperhivatkozs"/>
            <w:noProof/>
            <w:lang w:bidi="ar-SA"/>
          </w:rPr>
          <w:t>7.7.3. The precision of editorial intervention</w:t>
        </w:r>
        <w:r>
          <w:rPr>
            <w:noProof/>
            <w:webHidden/>
          </w:rPr>
          <w:tab/>
        </w:r>
        <w:r>
          <w:rPr>
            <w:noProof/>
            <w:webHidden/>
          </w:rPr>
          <w:fldChar w:fldCharType="begin"/>
        </w:r>
        <w:r>
          <w:rPr>
            <w:noProof/>
            <w:webHidden/>
          </w:rPr>
          <w:instrText xml:space="preserve"> PAGEREF _Toc243900347 \h </w:instrText>
        </w:r>
        <w:r>
          <w:rPr>
            <w:noProof/>
            <w:webHidden/>
          </w:rPr>
        </w:r>
        <w:r>
          <w:rPr>
            <w:noProof/>
            <w:webHidden/>
          </w:rPr>
          <w:fldChar w:fldCharType="separate"/>
        </w:r>
        <w:r>
          <w:rPr>
            <w:noProof/>
            <w:webHidden/>
          </w:rPr>
          <w:t>125</w:t>
        </w:r>
        <w:r>
          <w:rPr>
            <w:noProof/>
            <w:webHidden/>
          </w:rPr>
          <w:fldChar w:fldCharType="end"/>
        </w:r>
      </w:hyperlink>
    </w:p>
    <w:p w14:paraId="3F97904D" w14:textId="273DF29A">
      <w:pPr>
        <w:pStyle w:val="TJ3"/>
        <w:rPr>
          <w:rFonts w:asciiTheme="minorHAnsi" w:hAnsiTheme="minorHAnsi" w:cstheme="minorBidi"/>
          <w:noProof/>
          <w:sz w:val="24"/>
          <w:szCs w:val="21"/>
          <w:lang w:eastAsia="en-GB" w:bidi="sa-IN"/>
        </w:rPr>
      </w:pPr>
      <w:hyperlink w:anchor="_Toc243900348" w:history="1">
        <w:r>
          <w:rPr>
            <w:rStyle w:val="Hiperhivatkozs"/>
            <w:noProof/>
            <w:lang w:bidi="ar-SA"/>
          </w:rPr>
          <w:t>7.7.4. Editorial intervention in metrical verse</w:t>
        </w:r>
        <w:r>
          <w:rPr>
            <w:noProof/>
            <w:webHidden/>
          </w:rPr>
          <w:tab/>
        </w:r>
        <w:r>
          <w:rPr>
            <w:noProof/>
            <w:webHidden/>
          </w:rPr>
          <w:fldChar w:fldCharType="begin"/>
        </w:r>
        <w:r>
          <w:rPr>
            <w:noProof/>
            <w:webHidden/>
          </w:rPr>
          <w:instrText xml:space="preserve"> PAGEREF _Toc243900348 \h </w:instrText>
        </w:r>
        <w:r>
          <w:rPr>
            <w:noProof/>
            <w:webHidden/>
          </w:rPr>
        </w:r>
        <w:r>
          <w:rPr>
            <w:noProof/>
            <w:webHidden/>
          </w:rPr>
          <w:fldChar w:fldCharType="separate"/>
        </w:r>
        <w:r>
          <w:rPr>
            <w:noProof/>
            <w:webHidden/>
          </w:rPr>
          <w:t>126</w:t>
        </w:r>
        <w:r>
          <w:rPr>
            <w:noProof/>
            <w:webHidden/>
          </w:rPr>
          <w:fldChar w:fldCharType="end"/>
        </w:r>
      </w:hyperlink>
    </w:p>
    <w:p w14:paraId="3487A9EC" w14:textId="632F28A9">
      <w:pPr>
        <w:pStyle w:val="TJ3"/>
        <w:rPr>
          <w:rFonts w:asciiTheme="minorHAnsi" w:hAnsiTheme="minorHAnsi" w:cstheme="minorBidi"/>
          <w:noProof/>
          <w:sz w:val="24"/>
          <w:szCs w:val="21"/>
          <w:lang w:eastAsia="en-GB" w:bidi="sa-IN"/>
        </w:rPr>
      </w:pPr>
      <w:hyperlink w:anchor="_Toc243900349" w:history="1">
        <w:r>
          <w:rPr>
            <w:rStyle w:val="Hiperhivatkozs"/>
            <w:noProof/>
            <w:lang w:bidi="ar-SA"/>
          </w:rPr>
          <w:t>7.7.5. Nesting correction and normalisation</w:t>
        </w:r>
        <w:r>
          <w:rPr>
            <w:noProof/>
            <w:webHidden/>
          </w:rPr>
          <w:tab/>
        </w:r>
        <w:r>
          <w:rPr>
            <w:noProof/>
            <w:webHidden/>
          </w:rPr>
          <w:fldChar w:fldCharType="begin"/>
        </w:r>
        <w:r>
          <w:rPr>
            <w:noProof/>
            <w:webHidden/>
          </w:rPr>
          <w:instrText xml:space="preserve"> PAGEREF _Toc243900349 \h </w:instrText>
        </w:r>
        <w:r>
          <w:rPr>
            <w:noProof/>
            <w:webHidden/>
          </w:rPr>
        </w:r>
        <w:r>
          <w:rPr>
            <w:noProof/>
            <w:webHidden/>
          </w:rPr>
          <w:fldChar w:fldCharType="separate"/>
        </w:r>
        <w:r>
          <w:rPr>
            <w:noProof/>
            <w:webHidden/>
          </w:rPr>
          <w:t>128</w:t>
        </w:r>
        <w:r>
          <w:rPr>
            <w:noProof/>
            <w:webHidden/>
          </w:rPr>
          <w:fldChar w:fldCharType="end"/>
        </w:r>
      </w:hyperlink>
    </w:p>
    <w:p w14:paraId="538E954E" w14:textId="2B7B4D1C">
      <w:pPr>
        <w:pStyle w:val="TJ2"/>
        <w:rPr>
          <w:rFonts w:asciiTheme="minorHAnsi" w:hAnsiTheme="minorHAnsi" w:cstheme="minorBidi"/>
          <w:noProof/>
          <w:sz w:val="24"/>
          <w:szCs w:val="21"/>
          <w:lang w:eastAsia="en-GB" w:bidi="sa-IN"/>
        </w:rPr>
      </w:pPr>
      <w:hyperlink w:anchor="_Toc243900350" w:history="1">
        <w:r>
          <w:rPr>
            <w:rStyle w:val="Hiperhivatkozs"/>
            <w:noProof/>
            <w:lang w:bidi="ar-SA"/>
          </w:rPr>
          <w:t>7.8. Editorial curation</w:t>
        </w:r>
        <w:r>
          <w:rPr>
            <w:noProof/>
            <w:webHidden/>
          </w:rPr>
          <w:tab/>
        </w:r>
        <w:r>
          <w:rPr>
            <w:noProof/>
            <w:webHidden/>
          </w:rPr>
          <w:fldChar w:fldCharType="begin"/>
        </w:r>
        <w:r>
          <w:rPr>
            <w:noProof/>
            <w:webHidden/>
          </w:rPr>
          <w:instrText xml:space="preserve"> PAGEREF _Toc243900350 \h </w:instrText>
        </w:r>
        <w:r>
          <w:rPr>
            <w:noProof/>
            <w:webHidden/>
          </w:rPr>
        </w:r>
        <w:r>
          <w:rPr>
            <w:noProof/>
            <w:webHidden/>
          </w:rPr>
          <w:fldChar w:fldCharType="separate"/>
        </w:r>
        <w:r>
          <w:rPr>
            <w:noProof/>
            <w:webHidden/>
          </w:rPr>
          <w:t>129</w:t>
        </w:r>
        <w:r>
          <w:rPr>
            <w:noProof/>
            <w:webHidden/>
          </w:rPr>
          <w:fldChar w:fldCharType="end"/>
        </w:r>
      </w:hyperlink>
    </w:p>
    <w:p w14:paraId="2002B19F" w14:textId="120ECB0C">
      <w:pPr>
        <w:pStyle w:val="TJ3"/>
        <w:rPr>
          <w:rFonts w:asciiTheme="minorHAnsi" w:hAnsiTheme="minorHAnsi" w:cstheme="minorBidi"/>
          <w:noProof/>
          <w:sz w:val="24"/>
          <w:szCs w:val="21"/>
          <w:lang w:eastAsia="en-GB" w:bidi="sa-IN"/>
        </w:rPr>
      </w:pPr>
      <w:hyperlink w:anchor="_Toc243900351" w:history="1">
        <w:r>
          <w:rPr>
            <w:rStyle w:val="Hiperhivatkozs"/>
            <w:noProof/>
            <w:lang w:bidi="ar-SA"/>
          </w:rPr>
          <w:t>7.8.1. Editorial spacing</w:t>
        </w:r>
        <w:r>
          <w:rPr>
            <w:noProof/>
            <w:webHidden/>
          </w:rPr>
          <w:tab/>
        </w:r>
        <w:r>
          <w:rPr>
            <w:noProof/>
            <w:webHidden/>
          </w:rPr>
          <w:fldChar w:fldCharType="begin"/>
        </w:r>
        <w:r>
          <w:rPr>
            <w:noProof/>
            <w:webHidden/>
          </w:rPr>
          <w:instrText xml:space="preserve"> PAGEREF _Toc243900351 \h </w:instrText>
        </w:r>
        <w:r>
          <w:rPr>
            <w:noProof/>
            <w:webHidden/>
          </w:rPr>
        </w:r>
        <w:r>
          <w:rPr>
            <w:noProof/>
            <w:webHidden/>
          </w:rPr>
          <w:fldChar w:fldCharType="separate"/>
        </w:r>
        <w:r>
          <w:rPr>
            <w:noProof/>
            <w:webHidden/>
          </w:rPr>
          <w:t>129</w:t>
        </w:r>
        <w:r>
          <w:rPr>
            <w:noProof/>
            <w:webHidden/>
          </w:rPr>
          <w:fldChar w:fldCharType="end"/>
        </w:r>
      </w:hyperlink>
    </w:p>
    <w:p w14:paraId="2264E3E6" w14:textId="2631991F">
      <w:pPr>
        <w:pStyle w:val="TJ3"/>
        <w:rPr>
          <w:rFonts w:asciiTheme="minorHAnsi" w:hAnsiTheme="minorHAnsi" w:cstheme="minorBidi"/>
          <w:noProof/>
          <w:sz w:val="24"/>
          <w:szCs w:val="21"/>
          <w:lang w:eastAsia="en-GB" w:bidi="sa-IN"/>
        </w:rPr>
      </w:pPr>
      <w:hyperlink w:anchor="_Toc243900352" w:history="1">
        <w:r>
          <w:rPr>
            <w:rStyle w:val="Hiperhivatkozs"/>
            <w:noProof/>
            <w:lang w:bidi="ar-SA"/>
          </w:rPr>
          <w:t>7.8.2. Editorial hyphenation</w:t>
        </w:r>
        <w:r>
          <w:rPr>
            <w:noProof/>
            <w:webHidden/>
          </w:rPr>
          <w:tab/>
        </w:r>
        <w:r>
          <w:rPr>
            <w:noProof/>
            <w:webHidden/>
          </w:rPr>
          <w:fldChar w:fldCharType="begin"/>
        </w:r>
        <w:r>
          <w:rPr>
            <w:noProof/>
            <w:webHidden/>
          </w:rPr>
          <w:instrText xml:space="preserve"> PAGEREF _Toc243900352 \h </w:instrText>
        </w:r>
        <w:r>
          <w:rPr>
            <w:noProof/>
            <w:webHidden/>
          </w:rPr>
        </w:r>
        <w:r>
          <w:rPr>
            <w:noProof/>
            <w:webHidden/>
          </w:rPr>
          <w:fldChar w:fldCharType="separate"/>
        </w:r>
        <w:r>
          <w:rPr>
            <w:noProof/>
            <w:webHidden/>
          </w:rPr>
          <w:t>130</w:t>
        </w:r>
        <w:r>
          <w:rPr>
            <w:noProof/>
            <w:webHidden/>
          </w:rPr>
          <w:fldChar w:fldCharType="end"/>
        </w:r>
      </w:hyperlink>
    </w:p>
    <w:p w14:paraId="1387BECE" w14:textId="48071F54">
      <w:pPr>
        <w:pStyle w:val="TJ3"/>
        <w:rPr>
          <w:rFonts w:asciiTheme="minorHAnsi" w:hAnsiTheme="minorHAnsi" w:cstheme="minorBidi"/>
          <w:noProof/>
          <w:sz w:val="24"/>
          <w:szCs w:val="21"/>
          <w:lang w:eastAsia="en-GB" w:bidi="sa-IN"/>
        </w:rPr>
      </w:pPr>
      <w:hyperlink w:anchor="_Toc243900353" w:history="1">
        <w:r>
          <w:rPr>
            <w:rStyle w:val="Hiperhivatkozs"/>
            <w:noProof/>
            <w:lang w:bidi="ar-SA"/>
          </w:rPr>
          <w:t>7.8.3. Supplied punctuation</w:t>
        </w:r>
        <w:r>
          <w:rPr>
            <w:noProof/>
            <w:webHidden/>
          </w:rPr>
          <w:tab/>
        </w:r>
        <w:r>
          <w:rPr>
            <w:noProof/>
            <w:webHidden/>
          </w:rPr>
          <w:fldChar w:fldCharType="begin"/>
        </w:r>
        <w:r>
          <w:rPr>
            <w:noProof/>
            <w:webHidden/>
          </w:rPr>
          <w:instrText xml:space="preserve"> PAGEREF _Toc243900353 \h </w:instrText>
        </w:r>
        <w:r>
          <w:rPr>
            <w:noProof/>
            <w:webHidden/>
          </w:rPr>
        </w:r>
        <w:r>
          <w:rPr>
            <w:noProof/>
            <w:webHidden/>
          </w:rPr>
          <w:fldChar w:fldCharType="separate"/>
        </w:r>
        <w:r>
          <w:rPr>
            <w:noProof/>
            <w:webHidden/>
          </w:rPr>
          <w:t>130</w:t>
        </w:r>
        <w:r>
          <w:rPr>
            <w:noProof/>
            <w:webHidden/>
          </w:rPr>
          <w:fldChar w:fldCharType="end"/>
        </w:r>
      </w:hyperlink>
    </w:p>
    <w:p w14:paraId="59AFACEA" w14:textId="2AD43756">
      <w:pPr>
        <w:pStyle w:val="TJ3"/>
        <w:rPr>
          <w:rFonts w:asciiTheme="minorHAnsi" w:hAnsiTheme="minorHAnsi" w:cstheme="minorBidi"/>
          <w:noProof/>
          <w:sz w:val="24"/>
          <w:szCs w:val="21"/>
          <w:lang w:eastAsia="en-GB" w:bidi="sa-IN"/>
        </w:rPr>
      </w:pPr>
      <w:hyperlink w:anchor="_Toc243900354" w:history="1">
        <w:r>
          <w:rPr>
            <w:rStyle w:val="Hiperhivatkozs"/>
            <w:noProof/>
            <w:lang w:bidi="ar-SA"/>
          </w:rPr>
          <w:t xml:space="preserve">7.8.4. Supplied </w:t>
        </w:r>
        <w:r>
          <w:rPr>
            <w:rStyle w:val="Hiperhivatkozs"/>
            <w:i/>
            <w:iCs/>
            <w:noProof/>
            <w:lang w:bidi="ar-SA"/>
          </w:rPr>
          <w:t>avagraha</w:t>
        </w:r>
        <w:r>
          <w:rPr>
            <w:noProof/>
            <w:webHidden/>
          </w:rPr>
          <w:tab/>
        </w:r>
        <w:r>
          <w:rPr>
            <w:noProof/>
            <w:webHidden/>
          </w:rPr>
          <w:fldChar w:fldCharType="begin"/>
        </w:r>
        <w:r>
          <w:rPr>
            <w:noProof/>
            <w:webHidden/>
          </w:rPr>
          <w:instrText xml:space="preserve"> PAGEREF _Toc243900354 \h </w:instrText>
        </w:r>
        <w:r>
          <w:rPr>
            <w:noProof/>
            <w:webHidden/>
          </w:rPr>
        </w:r>
        <w:r>
          <w:rPr>
            <w:noProof/>
            <w:webHidden/>
          </w:rPr>
          <w:fldChar w:fldCharType="separate"/>
        </w:r>
        <w:r>
          <w:rPr>
            <w:noProof/>
            <w:webHidden/>
          </w:rPr>
          <w:t>132</w:t>
        </w:r>
        <w:r>
          <w:rPr>
            <w:noProof/>
            <w:webHidden/>
          </w:rPr>
          <w:fldChar w:fldCharType="end"/>
        </w:r>
      </w:hyperlink>
    </w:p>
    <w:p w14:paraId="4389832B" w14:textId="17E07B46">
      <w:pPr>
        <w:pStyle w:val="TJ3"/>
        <w:rPr>
          <w:rFonts w:asciiTheme="minorHAnsi" w:hAnsiTheme="minorHAnsi" w:cstheme="minorBidi"/>
          <w:noProof/>
          <w:sz w:val="24"/>
          <w:szCs w:val="21"/>
          <w:lang w:eastAsia="en-GB" w:bidi="sa-IN"/>
        </w:rPr>
      </w:pPr>
      <w:hyperlink w:anchor="_Toc243900355" w:history="1">
        <w:r>
          <w:rPr>
            <w:rStyle w:val="Hiperhivatkozs"/>
            <w:noProof/>
            <w:lang w:bidi="ar-SA"/>
          </w:rPr>
          <w:t>7.8.5. Distinction of short and long e/o in Dravidian languages</w:t>
        </w:r>
        <w:r>
          <w:rPr>
            <w:noProof/>
            <w:webHidden/>
          </w:rPr>
          <w:tab/>
        </w:r>
        <w:r>
          <w:rPr>
            <w:noProof/>
            <w:webHidden/>
          </w:rPr>
          <w:fldChar w:fldCharType="begin"/>
        </w:r>
        <w:r>
          <w:rPr>
            <w:noProof/>
            <w:webHidden/>
          </w:rPr>
          <w:instrText xml:space="preserve"> PAGEREF _Toc243900355 \h </w:instrText>
        </w:r>
        <w:r>
          <w:rPr>
            <w:noProof/>
            <w:webHidden/>
          </w:rPr>
        </w:r>
        <w:r>
          <w:rPr>
            <w:noProof/>
            <w:webHidden/>
          </w:rPr>
          <w:fldChar w:fldCharType="separate"/>
        </w:r>
        <w:r>
          <w:rPr>
            <w:noProof/>
            <w:webHidden/>
          </w:rPr>
          <w:t>132</w:t>
        </w:r>
        <w:r>
          <w:rPr>
            <w:noProof/>
            <w:webHidden/>
          </w:rPr>
          <w:fldChar w:fldCharType="end"/>
        </w:r>
      </w:hyperlink>
    </w:p>
    <w:p w14:paraId="0D79F39F" w14:textId="25BCB712">
      <w:pPr>
        <w:pStyle w:val="TJ3"/>
        <w:rPr>
          <w:rFonts w:asciiTheme="minorHAnsi" w:hAnsiTheme="minorHAnsi" w:cstheme="minorBidi"/>
          <w:noProof/>
          <w:sz w:val="24"/>
          <w:szCs w:val="21"/>
          <w:lang w:eastAsia="en-GB" w:bidi="sa-IN"/>
        </w:rPr>
      </w:pPr>
      <w:hyperlink w:anchor="_Toc243900356" w:history="1">
        <w:r>
          <w:rPr>
            <w:rStyle w:val="Hiperhivatkozs"/>
            <w:noProof/>
            <w:lang w:bidi="ar-SA"/>
          </w:rPr>
          <w:t>7.8.6. Shortened vowels in Sanskrit loanwords</w:t>
        </w:r>
        <w:r>
          <w:rPr>
            <w:noProof/>
            <w:webHidden/>
          </w:rPr>
          <w:tab/>
        </w:r>
        <w:r>
          <w:rPr>
            <w:noProof/>
            <w:webHidden/>
          </w:rPr>
          <w:fldChar w:fldCharType="begin"/>
        </w:r>
        <w:r>
          <w:rPr>
            <w:noProof/>
            <w:webHidden/>
          </w:rPr>
          <w:instrText xml:space="preserve"> PAGEREF _Toc243900356 \h </w:instrText>
        </w:r>
        <w:r>
          <w:rPr>
            <w:noProof/>
            <w:webHidden/>
          </w:rPr>
        </w:r>
        <w:r>
          <w:rPr>
            <w:noProof/>
            <w:webHidden/>
          </w:rPr>
          <w:fldChar w:fldCharType="separate"/>
        </w:r>
        <w:r>
          <w:rPr>
            <w:noProof/>
            <w:webHidden/>
          </w:rPr>
          <w:t>133</w:t>
        </w:r>
        <w:r>
          <w:rPr>
            <w:noProof/>
            <w:webHidden/>
          </w:rPr>
          <w:fldChar w:fldCharType="end"/>
        </w:r>
      </w:hyperlink>
    </w:p>
    <w:p w14:paraId="1A83DCED" w14:textId="3AE9F042">
      <w:pPr>
        <w:pStyle w:val="TJ2"/>
        <w:rPr>
          <w:rFonts w:asciiTheme="minorHAnsi" w:hAnsiTheme="minorHAnsi" w:cstheme="minorBidi"/>
          <w:noProof/>
          <w:sz w:val="24"/>
          <w:szCs w:val="21"/>
          <w:lang w:eastAsia="en-GB" w:bidi="sa-IN"/>
        </w:rPr>
      </w:pPr>
      <w:hyperlink w:anchor="_Toc243900357" w:history="1">
        <w:r>
          <w:rPr>
            <w:rStyle w:val="Hiperhivatkozs"/>
            <w:noProof/>
            <w:lang w:bidi="ar-SA"/>
          </w:rPr>
          <w:t>7.9. Highlighting for review</w:t>
        </w:r>
        <w:r>
          <w:rPr>
            <w:noProof/>
            <w:webHidden/>
          </w:rPr>
          <w:tab/>
        </w:r>
        <w:r>
          <w:rPr>
            <w:noProof/>
            <w:webHidden/>
          </w:rPr>
          <w:fldChar w:fldCharType="begin"/>
        </w:r>
        <w:r>
          <w:rPr>
            <w:noProof/>
            <w:webHidden/>
          </w:rPr>
          <w:instrText xml:space="preserve"> PAGEREF _Toc243900357 \h </w:instrText>
        </w:r>
        <w:r>
          <w:rPr>
            <w:noProof/>
            <w:webHidden/>
          </w:rPr>
        </w:r>
        <w:r>
          <w:rPr>
            <w:noProof/>
            <w:webHidden/>
          </w:rPr>
          <w:fldChar w:fldCharType="separate"/>
        </w:r>
        <w:r>
          <w:rPr>
            <w:noProof/>
            <w:webHidden/>
          </w:rPr>
          <w:t>133</w:t>
        </w:r>
        <w:r>
          <w:rPr>
            <w:noProof/>
            <w:webHidden/>
          </w:rPr>
          <w:fldChar w:fldCharType="end"/>
        </w:r>
      </w:hyperlink>
    </w:p>
    <w:p w14:paraId="4FBF327C" w14:textId="57F31846">
      <w:pPr>
        <w:pStyle w:val="TJ1"/>
        <w:rPr>
          <w:rFonts w:asciiTheme="minorHAnsi" w:hAnsiTheme="minorHAnsi" w:cstheme="minorBidi"/>
          <w:b w:val="0"/>
          <w:noProof/>
          <w:sz w:val="24"/>
          <w:szCs w:val="21"/>
          <w:lang w:eastAsia="en-GB" w:bidi="sa-IN"/>
        </w:rPr>
      </w:pPr>
      <w:hyperlink w:anchor="_Toc243900358" w:history="1">
        <w:r>
          <w:rPr>
            <w:rStyle w:val="Hiperhivatkozs"/>
            <w:noProof/>
            <w:lang w:bidi="ar-SA"/>
          </w:rPr>
          <w:t>8. Language, script and visual characteristics</w:t>
        </w:r>
        <w:r>
          <w:rPr>
            <w:noProof/>
            <w:webHidden/>
          </w:rPr>
          <w:tab/>
        </w:r>
        <w:r>
          <w:rPr>
            <w:noProof/>
            <w:webHidden/>
          </w:rPr>
          <w:fldChar w:fldCharType="begin"/>
        </w:r>
        <w:r>
          <w:rPr>
            <w:noProof/>
            <w:webHidden/>
          </w:rPr>
          <w:instrText xml:space="preserve"> PAGEREF _Toc243900358 \h </w:instrText>
        </w:r>
        <w:r>
          <w:rPr>
            <w:noProof/>
            <w:webHidden/>
          </w:rPr>
        </w:r>
        <w:r>
          <w:rPr>
            <w:noProof/>
            <w:webHidden/>
          </w:rPr>
          <w:fldChar w:fldCharType="separate"/>
        </w:r>
        <w:r>
          <w:rPr>
            <w:noProof/>
            <w:webHidden/>
          </w:rPr>
          <w:t>134</w:t>
        </w:r>
        <w:r>
          <w:rPr>
            <w:noProof/>
            <w:webHidden/>
          </w:rPr>
          <w:fldChar w:fldCharType="end"/>
        </w:r>
      </w:hyperlink>
    </w:p>
    <w:p w14:paraId="75009656" w14:textId="57EF1D4A">
      <w:pPr>
        <w:pStyle w:val="TJ2"/>
        <w:rPr>
          <w:rFonts w:asciiTheme="minorHAnsi" w:hAnsiTheme="minorHAnsi" w:cstheme="minorBidi"/>
          <w:noProof/>
          <w:sz w:val="24"/>
          <w:szCs w:val="21"/>
          <w:lang w:eastAsia="en-GB" w:bidi="sa-IN"/>
        </w:rPr>
      </w:pPr>
      <w:hyperlink w:anchor="_Toc243900359" w:history="1">
        <w:r>
          <w:rPr>
            <w:rStyle w:val="Hiperhivatkozs"/>
            <w:noProof/>
            <w:lang w:bidi="ar-SA"/>
          </w:rPr>
          <w:t>8.1. Source language</w:t>
        </w:r>
        <w:r>
          <w:rPr>
            <w:noProof/>
            <w:webHidden/>
          </w:rPr>
          <w:tab/>
        </w:r>
        <w:r>
          <w:rPr>
            <w:noProof/>
            <w:webHidden/>
          </w:rPr>
          <w:fldChar w:fldCharType="begin"/>
        </w:r>
        <w:r>
          <w:rPr>
            <w:noProof/>
            <w:webHidden/>
          </w:rPr>
          <w:instrText xml:space="preserve"> PAGEREF _Toc243900359 \h </w:instrText>
        </w:r>
        <w:r>
          <w:rPr>
            <w:noProof/>
            <w:webHidden/>
          </w:rPr>
        </w:r>
        <w:r>
          <w:rPr>
            <w:noProof/>
            <w:webHidden/>
          </w:rPr>
          <w:fldChar w:fldCharType="separate"/>
        </w:r>
        <w:r>
          <w:rPr>
            <w:noProof/>
            <w:webHidden/>
          </w:rPr>
          <w:t>134</w:t>
        </w:r>
        <w:r>
          <w:rPr>
            <w:noProof/>
            <w:webHidden/>
          </w:rPr>
          <w:fldChar w:fldCharType="end"/>
        </w:r>
      </w:hyperlink>
    </w:p>
    <w:p w14:paraId="32945289" w14:textId="3839AD84">
      <w:pPr>
        <w:pStyle w:val="TJ3"/>
        <w:rPr>
          <w:rFonts w:asciiTheme="minorHAnsi" w:hAnsiTheme="minorHAnsi" w:cstheme="minorBidi"/>
          <w:noProof/>
          <w:sz w:val="24"/>
          <w:szCs w:val="21"/>
          <w:lang w:eastAsia="en-GB" w:bidi="sa-IN"/>
        </w:rPr>
      </w:pPr>
      <w:hyperlink w:anchor="_Toc243900360" w:history="1">
        <w:r>
          <w:rPr>
            <w:rStyle w:val="Hiperhivatkozs"/>
            <w:noProof/>
            <w:lang w:bidi="ar-SA"/>
          </w:rPr>
          <w:t>8.1.1. The language of the edition</w:t>
        </w:r>
        <w:r>
          <w:rPr>
            <w:noProof/>
            <w:webHidden/>
          </w:rPr>
          <w:tab/>
        </w:r>
        <w:r>
          <w:rPr>
            <w:noProof/>
            <w:webHidden/>
          </w:rPr>
          <w:fldChar w:fldCharType="begin"/>
        </w:r>
        <w:r>
          <w:rPr>
            <w:noProof/>
            <w:webHidden/>
          </w:rPr>
          <w:instrText xml:space="preserve"> PAGEREF _Toc243900360 \h </w:instrText>
        </w:r>
        <w:r>
          <w:rPr>
            <w:noProof/>
            <w:webHidden/>
          </w:rPr>
        </w:r>
        <w:r>
          <w:rPr>
            <w:noProof/>
            <w:webHidden/>
          </w:rPr>
          <w:fldChar w:fldCharType="separate"/>
        </w:r>
        <w:r>
          <w:rPr>
            <w:noProof/>
            <w:webHidden/>
          </w:rPr>
          <w:t>134</w:t>
        </w:r>
        <w:r>
          <w:rPr>
            <w:noProof/>
            <w:webHidden/>
          </w:rPr>
          <w:fldChar w:fldCharType="end"/>
        </w:r>
      </w:hyperlink>
    </w:p>
    <w:p w14:paraId="7F2F1DD1" w14:textId="1966A102">
      <w:pPr>
        <w:pStyle w:val="TJ3"/>
        <w:rPr>
          <w:rFonts w:asciiTheme="minorHAnsi" w:hAnsiTheme="minorHAnsi" w:cstheme="minorBidi"/>
          <w:noProof/>
          <w:sz w:val="24"/>
          <w:szCs w:val="21"/>
          <w:lang w:eastAsia="en-GB" w:bidi="sa-IN"/>
        </w:rPr>
      </w:pPr>
      <w:hyperlink w:anchor="_Toc243900361" w:history="1">
        <w:r>
          <w:rPr>
            <w:rStyle w:val="Hiperhivatkozs"/>
            <w:noProof/>
            <w:lang w:bidi="ar-SA"/>
          </w:rPr>
          <w:t>8.1.2. Multilingual inscriptions</w:t>
        </w:r>
        <w:r>
          <w:rPr>
            <w:noProof/>
            <w:webHidden/>
          </w:rPr>
          <w:tab/>
        </w:r>
        <w:r>
          <w:rPr>
            <w:noProof/>
            <w:webHidden/>
          </w:rPr>
          <w:fldChar w:fldCharType="begin"/>
        </w:r>
        <w:r>
          <w:rPr>
            <w:noProof/>
            <w:webHidden/>
          </w:rPr>
          <w:instrText xml:space="preserve"> PAGEREF _Toc243900361 \h </w:instrText>
        </w:r>
        <w:r>
          <w:rPr>
            <w:noProof/>
            <w:webHidden/>
          </w:rPr>
        </w:r>
        <w:r>
          <w:rPr>
            <w:noProof/>
            <w:webHidden/>
          </w:rPr>
          <w:fldChar w:fldCharType="separate"/>
        </w:r>
        <w:r>
          <w:rPr>
            <w:noProof/>
            <w:webHidden/>
          </w:rPr>
          <w:t>134</w:t>
        </w:r>
        <w:r>
          <w:rPr>
            <w:noProof/>
            <w:webHidden/>
          </w:rPr>
          <w:fldChar w:fldCharType="end"/>
        </w:r>
      </w:hyperlink>
    </w:p>
    <w:p w14:paraId="4D97E924" w14:textId="35AE9DFD">
      <w:pPr>
        <w:pStyle w:val="TJ2"/>
        <w:rPr>
          <w:rFonts w:asciiTheme="minorHAnsi" w:hAnsiTheme="minorHAnsi" w:cstheme="minorBidi"/>
          <w:noProof/>
          <w:sz w:val="24"/>
          <w:szCs w:val="21"/>
          <w:lang w:eastAsia="en-GB" w:bidi="sa-IN"/>
        </w:rPr>
      </w:pPr>
      <w:hyperlink w:anchor="_Toc243900362" w:history="1">
        <w:r>
          <w:rPr>
            <w:rStyle w:val="Hiperhivatkozs"/>
            <w:noProof/>
            <w:lang w:bidi="ar-SA"/>
          </w:rPr>
          <w:t>8.2. Script</w:t>
        </w:r>
        <w:r>
          <w:rPr>
            <w:noProof/>
            <w:webHidden/>
          </w:rPr>
          <w:tab/>
        </w:r>
        <w:r>
          <w:rPr>
            <w:noProof/>
            <w:webHidden/>
          </w:rPr>
          <w:fldChar w:fldCharType="begin"/>
        </w:r>
        <w:r>
          <w:rPr>
            <w:noProof/>
            <w:webHidden/>
          </w:rPr>
          <w:instrText xml:space="preserve"> PAGEREF _Toc243900362 \h </w:instrText>
        </w:r>
        <w:r>
          <w:rPr>
            <w:noProof/>
            <w:webHidden/>
          </w:rPr>
        </w:r>
        <w:r>
          <w:rPr>
            <w:noProof/>
            <w:webHidden/>
          </w:rPr>
          <w:fldChar w:fldCharType="separate"/>
        </w:r>
        <w:r>
          <w:rPr>
            <w:noProof/>
            <w:webHidden/>
          </w:rPr>
          <w:t>135</w:t>
        </w:r>
        <w:r>
          <w:rPr>
            <w:noProof/>
            <w:webHidden/>
          </w:rPr>
          <w:fldChar w:fldCharType="end"/>
        </w:r>
      </w:hyperlink>
    </w:p>
    <w:p w14:paraId="57D7DAA0" w14:textId="393B2BAA">
      <w:pPr>
        <w:pStyle w:val="TJ3"/>
        <w:rPr>
          <w:rFonts w:asciiTheme="minorHAnsi" w:hAnsiTheme="minorHAnsi" w:cstheme="minorBidi"/>
          <w:noProof/>
          <w:sz w:val="24"/>
          <w:szCs w:val="21"/>
          <w:lang w:eastAsia="en-GB" w:bidi="sa-IN"/>
        </w:rPr>
      </w:pPr>
      <w:hyperlink w:anchor="_Toc243900363" w:history="1">
        <w:r>
          <w:rPr>
            <w:rStyle w:val="Hiperhivatkozs"/>
            <w:noProof/>
            <w:lang w:bidi="ar-SA"/>
          </w:rPr>
          <w:t xml:space="preserve">8.2.1. Encoding source script with </w:t>
        </w:r>
        <w:r>
          <w:rPr>
            <w:rStyle w:val="Hiperhivatkozs"/>
            <w:rFonts w:ascii="Consolas" w:hAnsi="Consolas" w:cs="Consolas"/>
            <w:noProof/>
            <w:shd w:val="clear" w:color="auto" w:fill="F2F2F2" w:themeFill="background1" w:themeFillShade="F2"/>
            <w:lang w:bidi="ar-SA"/>
          </w:rPr>
          <w:t>@rendition</w:t>
        </w:r>
        <w:r>
          <w:rPr>
            <w:noProof/>
            <w:webHidden/>
          </w:rPr>
          <w:tab/>
        </w:r>
        <w:r>
          <w:rPr>
            <w:noProof/>
            <w:webHidden/>
          </w:rPr>
          <w:fldChar w:fldCharType="begin"/>
        </w:r>
        <w:r>
          <w:rPr>
            <w:noProof/>
            <w:webHidden/>
          </w:rPr>
          <w:instrText xml:space="preserve"> PAGEREF _Toc243900363 \h </w:instrText>
        </w:r>
        <w:r>
          <w:rPr>
            <w:noProof/>
            <w:webHidden/>
          </w:rPr>
        </w:r>
        <w:r>
          <w:rPr>
            <w:noProof/>
            <w:webHidden/>
          </w:rPr>
          <w:fldChar w:fldCharType="separate"/>
        </w:r>
        <w:r>
          <w:rPr>
            <w:noProof/>
            <w:webHidden/>
          </w:rPr>
          <w:t>135</w:t>
        </w:r>
        <w:r>
          <w:rPr>
            <w:noProof/>
            <w:webHidden/>
          </w:rPr>
          <w:fldChar w:fldCharType="end"/>
        </w:r>
      </w:hyperlink>
    </w:p>
    <w:p w14:paraId="0EEB1015" w14:textId="58F50784">
      <w:pPr>
        <w:pStyle w:val="TJ3"/>
        <w:rPr>
          <w:rFonts w:asciiTheme="minorHAnsi" w:hAnsiTheme="minorHAnsi" w:cstheme="minorBidi"/>
          <w:noProof/>
          <w:sz w:val="24"/>
          <w:szCs w:val="21"/>
          <w:lang w:eastAsia="en-GB" w:bidi="sa-IN"/>
        </w:rPr>
      </w:pPr>
      <w:hyperlink w:anchor="_Toc243900364" w:history="1">
        <w:r>
          <w:rPr>
            <w:rStyle w:val="Hiperhivatkozs"/>
            <w:noProof/>
            <w:lang w:bidi="ar-SA"/>
          </w:rPr>
          <w:t>8.2.2. The script of the edition</w:t>
        </w:r>
        <w:r>
          <w:rPr>
            <w:noProof/>
            <w:webHidden/>
          </w:rPr>
          <w:tab/>
        </w:r>
        <w:r>
          <w:rPr>
            <w:noProof/>
            <w:webHidden/>
          </w:rPr>
          <w:fldChar w:fldCharType="begin"/>
        </w:r>
        <w:r>
          <w:rPr>
            <w:noProof/>
            <w:webHidden/>
          </w:rPr>
          <w:instrText xml:space="preserve"> PAGEREF _Toc243900364 \h </w:instrText>
        </w:r>
        <w:r>
          <w:rPr>
            <w:noProof/>
            <w:webHidden/>
          </w:rPr>
        </w:r>
        <w:r>
          <w:rPr>
            <w:noProof/>
            <w:webHidden/>
          </w:rPr>
          <w:fldChar w:fldCharType="separate"/>
        </w:r>
        <w:r>
          <w:rPr>
            <w:noProof/>
            <w:webHidden/>
          </w:rPr>
          <w:t>136</w:t>
        </w:r>
        <w:r>
          <w:rPr>
            <w:noProof/>
            <w:webHidden/>
          </w:rPr>
          <w:fldChar w:fldCharType="end"/>
        </w:r>
      </w:hyperlink>
    </w:p>
    <w:p w14:paraId="6AD4B4F1" w14:textId="46313124">
      <w:pPr>
        <w:pStyle w:val="TJ3"/>
        <w:rPr>
          <w:rFonts w:asciiTheme="minorHAnsi" w:hAnsiTheme="minorHAnsi" w:cstheme="minorBidi"/>
          <w:noProof/>
          <w:sz w:val="24"/>
          <w:szCs w:val="21"/>
          <w:lang w:eastAsia="en-GB" w:bidi="sa-IN"/>
        </w:rPr>
      </w:pPr>
      <w:hyperlink w:anchor="_Toc243900365" w:history="1">
        <w:r>
          <w:rPr>
            <w:rStyle w:val="Hiperhivatkozs"/>
            <w:noProof/>
            <w:lang w:bidi="ar-SA"/>
          </w:rPr>
          <w:t>8.2.3. Multiscript inscriptions</w:t>
        </w:r>
        <w:r>
          <w:rPr>
            <w:noProof/>
            <w:webHidden/>
          </w:rPr>
          <w:tab/>
        </w:r>
        <w:r>
          <w:rPr>
            <w:noProof/>
            <w:webHidden/>
          </w:rPr>
          <w:fldChar w:fldCharType="begin"/>
        </w:r>
        <w:r>
          <w:rPr>
            <w:noProof/>
            <w:webHidden/>
          </w:rPr>
          <w:instrText xml:space="preserve"> PAGEREF _Toc243900365 \h </w:instrText>
        </w:r>
        <w:r>
          <w:rPr>
            <w:noProof/>
            <w:webHidden/>
          </w:rPr>
        </w:r>
        <w:r>
          <w:rPr>
            <w:noProof/>
            <w:webHidden/>
          </w:rPr>
          <w:fldChar w:fldCharType="separate"/>
        </w:r>
        <w:r>
          <w:rPr>
            <w:noProof/>
            <w:webHidden/>
          </w:rPr>
          <w:t>136</w:t>
        </w:r>
        <w:r>
          <w:rPr>
            <w:noProof/>
            <w:webHidden/>
          </w:rPr>
          <w:fldChar w:fldCharType="end"/>
        </w:r>
      </w:hyperlink>
    </w:p>
    <w:p w14:paraId="7D2E6E0B" w14:textId="2377C08B">
      <w:pPr>
        <w:pStyle w:val="TJ2"/>
        <w:rPr>
          <w:rFonts w:asciiTheme="minorHAnsi" w:hAnsiTheme="minorHAnsi" w:cstheme="minorBidi"/>
          <w:noProof/>
          <w:sz w:val="24"/>
          <w:szCs w:val="21"/>
          <w:lang w:eastAsia="en-GB" w:bidi="sa-IN"/>
        </w:rPr>
      </w:pPr>
      <w:hyperlink w:anchor="_Toc243900366" w:history="1">
        <w:r>
          <w:rPr>
            <w:rStyle w:val="Hiperhivatkozs"/>
            <w:noProof/>
            <w:lang w:bidi="ar-SA"/>
          </w:rPr>
          <w:t>8.3. Scribal hands</w:t>
        </w:r>
        <w:r>
          <w:rPr>
            <w:noProof/>
            <w:webHidden/>
          </w:rPr>
          <w:tab/>
        </w:r>
        <w:r>
          <w:rPr>
            <w:noProof/>
            <w:webHidden/>
          </w:rPr>
          <w:fldChar w:fldCharType="begin"/>
        </w:r>
        <w:r>
          <w:rPr>
            <w:noProof/>
            <w:webHidden/>
          </w:rPr>
          <w:instrText xml:space="preserve"> PAGEREF _Toc243900366 \h </w:instrText>
        </w:r>
        <w:r>
          <w:rPr>
            <w:noProof/>
            <w:webHidden/>
          </w:rPr>
        </w:r>
        <w:r>
          <w:rPr>
            <w:noProof/>
            <w:webHidden/>
          </w:rPr>
          <w:fldChar w:fldCharType="separate"/>
        </w:r>
        <w:r>
          <w:rPr>
            <w:noProof/>
            <w:webHidden/>
          </w:rPr>
          <w:t>137</w:t>
        </w:r>
        <w:r>
          <w:rPr>
            <w:noProof/>
            <w:webHidden/>
          </w:rPr>
          <w:fldChar w:fldCharType="end"/>
        </w:r>
      </w:hyperlink>
    </w:p>
    <w:p w14:paraId="79409CCB" w14:textId="768B3AF3">
      <w:pPr>
        <w:pStyle w:val="TJ2"/>
        <w:rPr>
          <w:rFonts w:asciiTheme="minorHAnsi" w:hAnsiTheme="minorHAnsi" w:cstheme="minorBidi"/>
          <w:noProof/>
          <w:sz w:val="24"/>
          <w:szCs w:val="21"/>
          <w:lang w:eastAsia="en-GB" w:bidi="sa-IN"/>
        </w:rPr>
      </w:pPr>
      <w:hyperlink w:anchor="_Toc243900367" w:history="1">
        <w:r>
          <w:rPr>
            <w:rStyle w:val="Hiperhivatkozs"/>
            <w:noProof/>
            <w:lang w:bidi="ar-SA"/>
          </w:rPr>
          <w:t>8.4. Lettering</w:t>
        </w:r>
        <w:r>
          <w:rPr>
            <w:noProof/>
            <w:webHidden/>
          </w:rPr>
          <w:tab/>
        </w:r>
        <w:r>
          <w:rPr>
            <w:noProof/>
            <w:webHidden/>
          </w:rPr>
          <w:fldChar w:fldCharType="begin"/>
        </w:r>
        <w:r>
          <w:rPr>
            <w:noProof/>
            <w:webHidden/>
          </w:rPr>
          <w:instrText xml:space="preserve"> PAGEREF _Toc243900367 \h </w:instrText>
        </w:r>
        <w:r>
          <w:rPr>
            <w:noProof/>
            <w:webHidden/>
          </w:rPr>
        </w:r>
        <w:r>
          <w:rPr>
            <w:noProof/>
            <w:webHidden/>
          </w:rPr>
          <w:fldChar w:fldCharType="separate"/>
        </w:r>
        <w:r>
          <w:rPr>
            <w:noProof/>
            <w:webHidden/>
          </w:rPr>
          <w:t>138</w:t>
        </w:r>
        <w:r>
          <w:rPr>
            <w:noProof/>
            <w:webHidden/>
          </w:rPr>
          <w:fldChar w:fldCharType="end"/>
        </w:r>
      </w:hyperlink>
    </w:p>
    <w:p w14:paraId="3ECC213D" w14:textId="70F7BA36">
      <w:pPr>
        <w:pStyle w:val="TJ2"/>
        <w:rPr>
          <w:rFonts w:asciiTheme="minorHAnsi" w:hAnsiTheme="minorHAnsi" w:cstheme="minorBidi"/>
          <w:noProof/>
          <w:sz w:val="24"/>
          <w:szCs w:val="21"/>
          <w:lang w:eastAsia="en-GB" w:bidi="sa-IN"/>
        </w:rPr>
      </w:pPr>
      <w:hyperlink w:anchor="_Toc243900368" w:history="1">
        <w:r>
          <w:rPr>
            <w:rStyle w:val="Hiperhivatkozs"/>
            <w:noProof/>
            <w:lang w:bidi="ar-SA"/>
          </w:rPr>
          <w:t>8.5. Line layout</w:t>
        </w:r>
        <w:r>
          <w:rPr>
            <w:noProof/>
            <w:webHidden/>
          </w:rPr>
          <w:tab/>
        </w:r>
        <w:r>
          <w:rPr>
            <w:noProof/>
            <w:webHidden/>
          </w:rPr>
          <w:fldChar w:fldCharType="begin"/>
        </w:r>
        <w:r>
          <w:rPr>
            <w:noProof/>
            <w:webHidden/>
          </w:rPr>
          <w:instrText xml:space="preserve"> PAGEREF _Toc243900368 \h </w:instrText>
        </w:r>
        <w:r>
          <w:rPr>
            <w:noProof/>
            <w:webHidden/>
          </w:rPr>
        </w:r>
        <w:r>
          <w:rPr>
            <w:noProof/>
            <w:webHidden/>
          </w:rPr>
          <w:fldChar w:fldCharType="separate"/>
        </w:r>
        <w:r>
          <w:rPr>
            <w:noProof/>
            <w:webHidden/>
          </w:rPr>
          <w:t>138</w:t>
        </w:r>
        <w:r>
          <w:rPr>
            <w:noProof/>
            <w:webHidden/>
          </w:rPr>
          <w:fldChar w:fldCharType="end"/>
        </w:r>
      </w:hyperlink>
    </w:p>
    <w:p w14:paraId="382406FD" w14:textId="6B75441D">
      <w:pPr>
        <w:pStyle w:val="TJ3"/>
        <w:rPr>
          <w:rFonts w:asciiTheme="minorHAnsi" w:hAnsiTheme="minorHAnsi" w:cstheme="minorBidi"/>
          <w:noProof/>
          <w:sz w:val="24"/>
          <w:szCs w:val="21"/>
          <w:lang w:eastAsia="en-GB" w:bidi="sa-IN"/>
        </w:rPr>
      </w:pPr>
      <w:hyperlink w:anchor="_Toc243900369" w:history="1">
        <w:r>
          <w:rPr>
            <w:rStyle w:val="Hiperhivatkozs"/>
            <w:noProof/>
            <w:lang w:bidi="ar-SA"/>
          </w:rPr>
          <w:t>8.5.1. Alignment</w:t>
        </w:r>
        <w:r>
          <w:rPr>
            <w:noProof/>
            <w:webHidden/>
          </w:rPr>
          <w:tab/>
        </w:r>
        <w:r>
          <w:rPr>
            <w:noProof/>
            <w:webHidden/>
          </w:rPr>
          <w:fldChar w:fldCharType="begin"/>
        </w:r>
        <w:r>
          <w:rPr>
            <w:noProof/>
            <w:webHidden/>
          </w:rPr>
          <w:instrText xml:space="preserve"> PAGEREF _Toc243900369 \h </w:instrText>
        </w:r>
        <w:r>
          <w:rPr>
            <w:noProof/>
            <w:webHidden/>
          </w:rPr>
        </w:r>
        <w:r>
          <w:rPr>
            <w:noProof/>
            <w:webHidden/>
          </w:rPr>
          <w:fldChar w:fldCharType="separate"/>
        </w:r>
        <w:r>
          <w:rPr>
            <w:noProof/>
            <w:webHidden/>
          </w:rPr>
          <w:t>138</w:t>
        </w:r>
        <w:r>
          <w:rPr>
            <w:noProof/>
            <w:webHidden/>
          </w:rPr>
          <w:fldChar w:fldCharType="end"/>
        </w:r>
      </w:hyperlink>
    </w:p>
    <w:p w14:paraId="592CEBFA" w14:textId="2CD8D984">
      <w:pPr>
        <w:pStyle w:val="TJ3"/>
        <w:rPr>
          <w:rFonts w:asciiTheme="minorHAnsi" w:hAnsiTheme="minorHAnsi" w:cstheme="minorBidi"/>
          <w:noProof/>
          <w:sz w:val="24"/>
          <w:szCs w:val="21"/>
          <w:lang w:eastAsia="en-GB" w:bidi="sa-IN"/>
        </w:rPr>
      </w:pPr>
      <w:hyperlink w:anchor="_Toc243900370" w:history="1">
        <w:r>
          <w:rPr>
            <w:rStyle w:val="Hiperhivatkozs"/>
            <w:noProof/>
            <w:lang w:bidi="ar-SA"/>
          </w:rPr>
          <w:t>8.5.2. Directionality and orientation</w:t>
        </w:r>
        <w:r>
          <w:rPr>
            <w:noProof/>
            <w:webHidden/>
          </w:rPr>
          <w:tab/>
        </w:r>
        <w:r>
          <w:rPr>
            <w:noProof/>
            <w:webHidden/>
          </w:rPr>
          <w:fldChar w:fldCharType="begin"/>
        </w:r>
        <w:r>
          <w:rPr>
            <w:noProof/>
            <w:webHidden/>
          </w:rPr>
          <w:instrText xml:space="preserve"> PAGEREF _Toc243900370 \h </w:instrText>
        </w:r>
        <w:r>
          <w:rPr>
            <w:noProof/>
            <w:webHidden/>
          </w:rPr>
        </w:r>
        <w:r>
          <w:rPr>
            <w:noProof/>
            <w:webHidden/>
          </w:rPr>
          <w:fldChar w:fldCharType="separate"/>
        </w:r>
        <w:r>
          <w:rPr>
            <w:noProof/>
            <w:webHidden/>
          </w:rPr>
          <w:t>139</w:t>
        </w:r>
        <w:r>
          <w:rPr>
            <w:noProof/>
            <w:webHidden/>
          </w:rPr>
          <w:fldChar w:fldCharType="end"/>
        </w:r>
      </w:hyperlink>
    </w:p>
    <w:p w14:paraId="2B65CE62" w14:textId="01CDCDA8">
      <w:pPr>
        <w:pStyle w:val="TJ1"/>
        <w:rPr>
          <w:rFonts w:asciiTheme="minorHAnsi" w:hAnsiTheme="minorHAnsi" w:cstheme="minorBidi"/>
          <w:b w:val="0"/>
          <w:noProof/>
          <w:sz w:val="24"/>
          <w:szCs w:val="21"/>
          <w:lang w:eastAsia="en-GB" w:bidi="sa-IN"/>
        </w:rPr>
      </w:pPr>
      <w:hyperlink w:anchor="_Toc243900371" w:history="1">
        <w:r>
          <w:rPr>
            <w:rStyle w:val="Hiperhivatkozs"/>
            <w:noProof/>
            <w:lang w:bidi="ar-SA"/>
          </w:rPr>
          <w:t>9. Interpretive and analytical markup</w:t>
        </w:r>
        <w:r>
          <w:rPr>
            <w:noProof/>
            <w:webHidden/>
          </w:rPr>
          <w:tab/>
        </w:r>
        <w:r>
          <w:rPr>
            <w:noProof/>
            <w:webHidden/>
          </w:rPr>
          <w:fldChar w:fldCharType="begin"/>
        </w:r>
        <w:r>
          <w:rPr>
            <w:noProof/>
            <w:webHidden/>
          </w:rPr>
          <w:instrText xml:space="preserve"> PAGEREF _Toc243900371 \h </w:instrText>
        </w:r>
        <w:r>
          <w:rPr>
            <w:noProof/>
            <w:webHidden/>
          </w:rPr>
        </w:r>
        <w:r>
          <w:rPr>
            <w:noProof/>
            <w:webHidden/>
          </w:rPr>
          <w:fldChar w:fldCharType="separate"/>
        </w:r>
        <w:r>
          <w:rPr>
            <w:noProof/>
            <w:webHidden/>
          </w:rPr>
          <w:t>141</w:t>
        </w:r>
        <w:r>
          <w:rPr>
            <w:noProof/>
            <w:webHidden/>
          </w:rPr>
          <w:fldChar w:fldCharType="end"/>
        </w:r>
      </w:hyperlink>
    </w:p>
    <w:p w14:paraId="7BAB430A" w14:textId="65D7F8FA">
      <w:pPr>
        <w:pStyle w:val="TJ2"/>
        <w:rPr>
          <w:rFonts w:asciiTheme="minorHAnsi" w:hAnsiTheme="minorHAnsi" w:cstheme="minorBidi"/>
          <w:noProof/>
          <w:sz w:val="24"/>
          <w:szCs w:val="21"/>
          <w:lang w:eastAsia="en-GB" w:bidi="sa-IN"/>
        </w:rPr>
      </w:pPr>
      <w:hyperlink w:anchor="_Toc243900372" w:history="1">
        <w:r>
          <w:rPr>
            <w:rStyle w:val="Hiperhivatkozs"/>
            <w:noProof/>
            <w:lang w:bidi="ar-SA"/>
          </w:rPr>
          <w:t>9.1. Numbers</w:t>
        </w:r>
        <w:r>
          <w:rPr>
            <w:noProof/>
            <w:webHidden/>
          </w:rPr>
          <w:tab/>
        </w:r>
        <w:r>
          <w:rPr>
            <w:noProof/>
            <w:webHidden/>
          </w:rPr>
          <w:fldChar w:fldCharType="begin"/>
        </w:r>
        <w:r>
          <w:rPr>
            <w:noProof/>
            <w:webHidden/>
          </w:rPr>
          <w:instrText xml:space="preserve"> PAGEREF _Toc243900372 \h </w:instrText>
        </w:r>
        <w:r>
          <w:rPr>
            <w:noProof/>
            <w:webHidden/>
          </w:rPr>
        </w:r>
        <w:r>
          <w:rPr>
            <w:noProof/>
            <w:webHidden/>
          </w:rPr>
          <w:fldChar w:fldCharType="separate"/>
        </w:r>
        <w:r>
          <w:rPr>
            <w:noProof/>
            <w:webHidden/>
          </w:rPr>
          <w:t>141</w:t>
        </w:r>
        <w:r>
          <w:rPr>
            <w:noProof/>
            <w:webHidden/>
          </w:rPr>
          <w:fldChar w:fldCharType="end"/>
        </w:r>
      </w:hyperlink>
    </w:p>
    <w:p w14:paraId="7437D4BC" w14:textId="65F9A16D">
      <w:pPr>
        <w:pStyle w:val="TJ3"/>
        <w:rPr>
          <w:rFonts w:asciiTheme="minorHAnsi" w:hAnsiTheme="minorHAnsi" w:cstheme="minorBidi"/>
          <w:noProof/>
          <w:sz w:val="24"/>
          <w:szCs w:val="21"/>
          <w:lang w:eastAsia="en-GB" w:bidi="sa-IN"/>
        </w:rPr>
      </w:pPr>
      <w:hyperlink w:anchor="_Toc243900373" w:history="1">
        <w:r>
          <w:rPr>
            <w:rStyle w:val="Hiperhivatkozs"/>
            <w:noProof/>
            <w:lang w:bidi="ar-SA"/>
          </w:rPr>
          <w:t>9.1.1. Encoding numbers</w:t>
        </w:r>
        <w:r>
          <w:rPr>
            <w:noProof/>
            <w:webHidden/>
          </w:rPr>
          <w:tab/>
        </w:r>
        <w:r>
          <w:rPr>
            <w:noProof/>
            <w:webHidden/>
          </w:rPr>
          <w:fldChar w:fldCharType="begin"/>
        </w:r>
        <w:r>
          <w:rPr>
            <w:noProof/>
            <w:webHidden/>
          </w:rPr>
          <w:instrText xml:space="preserve"> PAGEREF _Toc243900373 \h </w:instrText>
        </w:r>
        <w:r>
          <w:rPr>
            <w:noProof/>
            <w:webHidden/>
          </w:rPr>
        </w:r>
        <w:r>
          <w:rPr>
            <w:noProof/>
            <w:webHidden/>
          </w:rPr>
          <w:fldChar w:fldCharType="separate"/>
        </w:r>
        <w:r>
          <w:rPr>
            <w:noProof/>
            <w:webHidden/>
          </w:rPr>
          <w:t>141</w:t>
        </w:r>
        <w:r>
          <w:rPr>
            <w:noProof/>
            <w:webHidden/>
          </w:rPr>
          <w:fldChar w:fldCharType="end"/>
        </w:r>
      </w:hyperlink>
    </w:p>
    <w:p w14:paraId="1CE9251D" w14:textId="47658126">
      <w:pPr>
        <w:pStyle w:val="TJ3"/>
        <w:rPr>
          <w:rFonts w:asciiTheme="minorHAnsi" w:hAnsiTheme="minorHAnsi" w:cstheme="minorBidi"/>
          <w:noProof/>
          <w:sz w:val="24"/>
          <w:szCs w:val="21"/>
          <w:lang w:eastAsia="en-GB" w:bidi="sa-IN"/>
        </w:rPr>
      </w:pPr>
      <w:hyperlink w:anchor="_Toc243900374" w:history="1">
        <w:r>
          <w:rPr>
            <w:rStyle w:val="Hiperhivatkozs"/>
            <w:noProof/>
            <w:lang w:bidi="ar-SA"/>
          </w:rPr>
          <w:t>9.1.2. When and how to encode numbers</w:t>
        </w:r>
        <w:r>
          <w:rPr>
            <w:noProof/>
            <w:webHidden/>
          </w:rPr>
          <w:tab/>
        </w:r>
        <w:r>
          <w:rPr>
            <w:noProof/>
            <w:webHidden/>
          </w:rPr>
          <w:fldChar w:fldCharType="begin"/>
        </w:r>
        <w:r>
          <w:rPr>
            <w:noProof/>
            <w:webHidden/>
          </w:rPr>
          <w:instrText xml:space="preserve"> PAGEREF _Toc243900374 \h </w:instrText>
        </w:r>
        <w:r>
          <w:rPr>
            <w:noProof/>
            <w:webHidden/>
          </w:rPr>
        </w:r>
        <w:r>
          <w:rPr>
            <w:noProof/>
            <w:webHidden/>
          </w:rPr>
          <w:fldChar w:fldCharType="separate"/>
        </w:r>
        <w:r>
          <w:rPr>
            <w:noProof/>
            <w:webHidden/>
          </w:rPr>
          <w:t>141</w:t>
        </w:r>
        <w:r>
          <w:rPr>
            <w:noProof/>
            <w:webHidden/>
          </w:rPr>
          <w:fldChar w:fldCharType="end"/>
        </w:r>
      </w:hyperlink>
    </w:p>
    <w:p w14:paraId="374183E8" w14:textId="71957B0A">
      <w:pPr>
        <w:pStyle w:val="TJ3"/>
        <w:rPr>
          <w:rFonts w:asciiTheme="minorHAnsi" w:hAnsiTheme="minorHAnsi" w:cstheme="minorBidi"/>
          <w:noProof/>
          <w:sz w:val="24"/>
          <w:szCs w:val="21"/>
          <w:lang w:eastAsia="en-GB" w:bidi="sa-IN"/>
        </w:rPr>
      </w:pPr>
      <w:hyperlink w:anchor="_Toc243900375" w:history="1">
        <w:r>
          <w:rPr>
            <w:rStyle w:val="Hiperhivatkozs"/>
            <w:noProof/>
            <w:lang w:bidi="ar-SA"/>
          </w:rPr>
          <w:t>9.1.3. Difficulties in reading numbers</w:t>
        </w:r>
        <w:r>
          <w:rPr>
            <w:noProof/>
            <w:webHidden/>
          </w:rPr>
          <w:tab/>
        </w:r>
        <w:r>
          <w:rPr>
            <w:noProof/>
            <w:webHidden/>
          </w:rPr>
          <w:fldChar w:fldCharType="begin"/>
        </w:r>
        <w:r>
          <w:rPr>
            <w:noProof/>
            <w:webHidden/>
          </w:rPr>
          <w:instrText xml:space="preserve"> PAGEREF _Toc243900375 \h </w:instrText>
        </w:r>
        <w:r>
          <w:rPr>
            <w:noProof/>
            <w:webHidden/>
          </w:rPr>
        </w:r>
        <w:r>
          <w:rPr>
            <w:noProof/>
            <w:webHidden/>
          </w:rPr>
          <w:fldChar w:fldCharType="separate"/>
        </w:r>
        <w:r>
          <w:rPr>
            <w:noProof/>
            <w:webHidden/>
          </w:rPr>
          <w:t>143</w:t>
        </w:r>
        <w:r>
          <w:rPr>
            <w:noProof/>
            <w:webHidden/>
          </w:rPr>
          <w:fldChar w:fldCharType="end"/>
        </w:r>
      </w:hyperlink>
    </w:p>
    <w:p w14:paraId="676E21DD" w14:textId="630AB56C">
      <w:pPr>
        <w:pStyle w:val="TJ3"/>
        <w:rPr>
          <w:rFonts w:asciiTheme="minorHAnsi" w:hAnsiTheme="minorHAnsi" w:cstheme="minorBidi"/>
          <w:noProof/>
          <w:sz w:val="24"/>
          <w:szCs w:val="21"/>
          <w:lang w:eastAsia="en-GB" w:bidi="sa-IN"/>
        </w:rPr>
      </w:pPr>
      <w:hyperlink w:anchor="_Toc243900376" w:history="1">
        <w:r>
          <w:rPr>
            <w:rStyle w:val="Hiperhivatkozs"/>
            <w:noProof/>
            <w:lang w:bidi="ar-SA"/>
          </w:rPr>
          <w:t>9.1.4. Editorial intervention and numerals</w:t>
        </w:r>
        <w:r>
          <w:rPr>
            <w:noProof/>
            <w:webHidden/>
          </w:rPr>
          <w:tab/>
        </w:r>
        <w:r>
          <w:rPr>
            <w:noProof/>
            <w:webHidden/>
          </w:rPr>
          <w:fldChar w:fldCharType="begin"/>
        </w:r>
        <w:r>
          <w:rPr>
            <w:noProof/>
            <w:webHidden/>
          </w:rPr>
          <w:instrText xml:space="preserve"> PAGEREF _Toc243900376 \h </w:instrText>
        </w:r>
        <w:r>
          <w:rPr>
            <w:noProof/>
            <w:webHidden/>
          </w:rPr>
        </w:r>
        <w:r>
          <w:rPr>
            <w:noProof/>
            <w:webHidden/>
          </w:rPr>
          <w:fldChar w:fldCharType="separate"/>
        </w:r>
        <w:r>
          <w:rPr>
            <w:noProof/>
            <w:webHidden/>
          </w:rPr>
          <w:t>144</w:t>
        </w:r>
        <w:r>
          <w:rPr>
            <w:noProof/>
            <w:webHidden/>
          </w:rPr>
          <w:fldChar w:fldCharType="end"/>
        </w:r>
      </w:hyperlink>
    </w:p>
    <w:p w14:paraId="0715F92D" w14:textId="7C2013DF">
      <w:pPr>
        <w:pStyle w:val="TJ2"/>
        <w:rPr>
          <w:rFonts w:asciiTheme="minorHAnsi" w:hAnsiTheme="minorHAnsi" w:cstheme="minorBidi"/>
          <w:noProof/>
          <w:sz w:val="24"/>
          <w:szCs w:val="21"/>
          <w:lang w:eastAsia="en-GB" w:bidi="sa-IN"/>
        </w:rPr>
      </w:pPr>
      <w:hyperlink w:anchor="_Toc243900377" w:history="1">
        <w:r>
          <w:rPr>
            <w:rStyle w:val="Hiperhivatkozs"/>
            <w:noProof/>
            <w:lang w:bidi="ar-SA"/>
          </w:rPr>
          <w:t>9.2. Abbreviations</w:t>
        </w:r>
        <w:r>
          <w:rPr>
            <w:noProof/>
            <w:webHidden/>
          </w:rPr>
          <w:tab/>
        </w:r>
        <w:r>
          <w:rPr>
            <w:noProof/>
            <w:webHidden/>
          </w:rPr>
          <w:fldChar w:fldCharType="begin"/>
        </w:r>
        <w:r>
          <w:rPr>
            <w:noProof/>
            <w:webHidden/>
          </w:rPr>
          <w:instrText xml:space="preserve"> PAGEREF _Toc243900377 \h </w:instrText>
        </w:r>
        <w:r>
          <w:rPr>
            <w:noProof/>
            <w:webHidden/>
          </w:rPr>
        </w:r>
        <w:r>
          <w:rPr>
            <w:noProof/>
            <w:webHidden/>
          </w:rPr>
          <w:fldChar w:fldCharType="separate"/>
        </w:r>
        <w:r>
          <w:rPr>
            <w:noProof/>
            <w:webHidden/>
          </w:rPr>
          <w:t>144</w:t>
        </w:r>
        <w:r>
          <w:rPr>
            <w:noProof/>
            <w:webHidden/>
          </w:rPr>
          <w:fldChar w:fldCharType="end"/>
        </w:r>
      </w:hyperlink>
    </w:p>
    <w:p w14:paraId="7104D750" w14:textId="2BFEDCB4">
      <w:pPr>
        <w:pStyle w:val="TJ3"/>
        <w:rPr>
          <w:rFonts w:asciiTheme="minorHAnsi" w:hAnsiTheme="minorHAnsi" w:cstheme="minorBidi"/>
          <w:noProof/>
          <w:sz w:val="24"/>
          <w:szCs w:val="21"/>
          <w:lang w:eastAsia="en-GB" w:bidi="sa-IN"/>
        </w:rPr>
      </w:pPr>
      <w:hyperlink w:anchor="_Toc243900378" w:history="1">
        <w:r>
          <w:rPr>
            <w:rStyle w:val="Hiperhivatkozs"/>
            <w:noProof/>
            <w:lang w:bidi="ar-SA"/>
          </w:rPr>
          <w:t>9.2.1. Tagging abbreviations</w:t>
        </w:r>
        <w:r>
          <w:rPr>
            <w:noProof/>
            <w:webHidden/>
          </w:rPr>
          <w:tab/>
        </w:r>
        <w:r>
          <w:rPr>
            <w:noProof/>
            <w:webHidden/>
          </w:rPr>
          <w:fldChar w:fldCharType="begin"/>
        </w:r>
        <w:r>
          <w:rPr>
            <w:noProof/>
            <w:webHidden/>
          </w:rPr>
          <w:instrText xml:space="preserve"> PAGEREF _Toc243900378 \h </w:instrText>
        </w:r>
        <w:r>
          <w:rPr>
            <w:noProof/>
            <w:webHidden/>
          </w:rPr>
        </w:r>
        <w:r>
          <w:rPr>
            <w:noProof/>
            <w:webHidden/>
          </w:rPr>
          <w:fldChar w:fldCharType="separate"/>
        </w:r>
        <w:r>
          <w:rPr>
            <w:noProof/>
            <w:webHidden/>
          </w:rPr>
          <w:t>144</w:t>
        </w:r>
        <w:r>
          <w:rPr>
            <w:noProof/>
            <w:webHidden/>
          </w:rPr>
          <w:fldChar w:fldCharType="end"/>
        </w:r>
      </w:hyperlink>
    </w:p>
    <w:p w14:paraId="61C4F918" w14:textId="343BC799">
      <w:pPr>
        <w:pStyle w:val="TJ3"/>
        <w:rPr>
          <w:rFonts w:asciiTheme="minorHAnsi" w:hAnsiTheme="minorHAnsi" w:cstheme="minorBidi"/>
          <w:noProof/>
          <w:sz w:val="24"/>
          <w:szCs w:val="21"/>
          <w:lang w:eastAsia="en-GB" w:bidi="sa-IN"/>
        </w:rPr>
      </w:pPr>
      <w:hyperlink w:anchor="_Toc243900379" w:history="1">
        <w:r>
          <w:rPr>
            <w:rStyle w:val="Hiperhivatkozs"/>
            <w:noProof/>
            <w:lang w:bidi="ar-SA"/>
          </w:rPr>
          <w:t>9.2.2. Expanding abbreviations</w:t>
        </w:r>
        <w:r>
          <w:rPr>
            <w:noProof/>
            <w:webHidden/>
          </w:rPr>
          <w:tab/>
        </w:r>
        <w:r>
          <w:rPr>
            <w:noProof/>
            <w:webHidden/>
          </w:rPr>
          <w:fldChar w:fldCharType="begin"/>
        </w:r>
        <w:r>
          <w:rPr>
            <w:noProof/>
            <w:webHidden/>
          </w:rPr>
          <w:instrText xml:space="preserve"> PAGEREF _Toc243900379 \h </w:instrText>
        </w:r>
        <w:r>
          <w:rPr>
            <w:noProof/>
            <w:webHidden/>
          </w:rPr>
        </w:r>
        <w:r>
          <w:rPr>
            <w:noProof/>
            <w:webHidden/>
          </w:rPr>
          <w:fldChar w:fldCharType="separate"/>
        </w:r>
        <w:r>
          <w:rPr>
            <w:noProof/>
            <w:webHidden/>
          </w:rPr>
          <w:t>144</w:t>
        </w:r>
        <w:r>
          <w:rPr>
            <w:noProof/>
            <w:webHidden/>
          </w:rPr>
          <w:fldChar w:fldCharType="end"/>
        </w:r>
      </w:hyperlink>
    </w:p>
    <w:p w14:paraId="5C94F03F" w14:textId="6116B238">
      <w:pPr>
        <w:pStyle w:val="TJ1"/>
        <w:rPr>
          <w:rFonts w:asciiTheme="minorHAnsi" w:hAnsiTheme="minorHAnsi" w:cstheme="minorBidi"/>
          <w:b w:val="0"/>
          <w:noProof/>
          <w:sz w:val="24"/>
          <w:szCs w:val="21"/>
          <w:lang w:eastAsia="en-GB" w:bidi="sa-IN"/>
        </w:rPr>
      </w:pPr>
      <w:hyperlink w:anchor="_Toc243900380" w:history="1">
        <w:r>
          <w:rPr>
            <w:rStyle w:val="Hiperhivatkozs"/>
            <w:noProof/>
            <w:lang w:bidi="ar-SA"/>
          </w:rPr>
          <w:t>10. The critical apparatus</w:t>
        </w:r>
        <w:r>
          <w:rPr>
            <w:noProof/>
            <w:webHidden/>
          </w:rPr>
          <w:tab/>
        </w:r>
        <w:r>
          <w:rPr>
            <w:noProof/>
            <w:webHidden/>
          </w:rPr>
          <w:fldChar w:fldCharType="begin"/>
        </w:r>
        <w:r>
          <w:rPr>
            <w:noProof/>
            <w:webHidden/>
          </w:rPr>
          <w:instrText xml:space="preserve"> PAGEREF _Toc243900380 \h </w:instrText>
        </w:r>
        <w:r>
          <w:rPr>
            <w:noProof/>
            <w:webHidden/>
          </w:rPr>
        </w:r>
        <w:r>
          <w:rPr>
            <w:noProof/>
            <w:webHidden/>
          </w:rPr>
          <w:fldChar w:fldCharType="separate"/>
        </w:r>
        <w:r>
          <w:rPr>
            <w:noProof/>
            <w:webHidden/>
          </w:rPr>
          <w:t>146</w:t>
        </w:r>
        <w:r>
          <w:rPr>
            <w:noProof/>
            <w:webHidden/>
          </w:rPr>
          <w:fldChar w:fldCharType="end"/>
        </w:r>
      </w:hyperlink>
    </w:p>
    <w:p w14:paraId="58D19B9E" w14:textId="66F579CF">
      <w:pPr>
        <w:pStyle w:val="TJ2"/>
        <w:rPr>
          <w:rFonts w:asciiTheme="minorHAnsi" w:hAnsiTheme="minorHAnsi" w:cstheme="minorBidi"/>
          <w:noProof/>
          <w:sz w:val="24"/>
          <w:szCs w:val="21"/>
          <w:lang w:eastAsia="en-GB" w:bidi="sa-IN"/>
        </w:rPr>
      </w:pPr>
      <w:hyperlink w:anchor="_Toc243900381" w:history="1">
        <w:r>
          <w:rPr>
            <w:rStyle w:val="Hiperhivatkozs"/>
            <w:noProof/>
            <w:lang w:bidi="ar-SA"/>
          </w:rPr>
          <w:t>10.1. Encoding the critical apparatus</w:t>
        </w:r>
        <w:r>
          <w:rPr>
            <w:noProof/>
            <w:webHidden/>
          </w:rPr>
          <w:tab/>
        </w:r>
        <w:r>
          <w:rPr>
            <w:noProof/>
            <w:webHidden/>
          </w:rPr>
          <w:fldChar w:fldCharType="begin"/>
        </w:r>
        <w:r>
          <w:rPr>
            <w:noProof/>
            <w:webHidden/>
          </w:rPr>
          <w:instrText xml:space="preserve"> PAGEREF _Toc243900381 \h </w:instrText>
        </w:r>
        <w:r>
          <w:rPr>
            <w:noProof/>
            <w:webHidden/>
          </w:rPr>
        </w:r>
        <w:r>
          <w:rPr>
            <w:noProof/>
            <w:webHidden/>
          </w:rPr>
          <w:fldChar w:fldCharType="separate"/>
        </w:r>
        <w:r>
          <w:rPr>
            <w:noProof/>
            <w:webHidden/>
          </w:rPr>
          <w:t>146</w:t>
        </w:r>
        <w:r>
          <w:rPr>
            <w:noProof/>
            <w:webHidden/>
          </w:rPr>
          <w:fldChar w:fldCharType="end"/>
        </w:r>
      </w:hyperlink>
    </w:p>
    <w:p w14:paraId="7C4BEA77" w14:textId="57067FD6">
      <w:pPr>
        <w:pStyle w:val="TJ3"/>
        <w:rPr>
          <w:rFonts w:asciiTheme="minorHAnsi" w:hAnsiTheme="minorHAnsi" w:cstheme="minorBidi"/>
          <w:noProof/>
          <w:sz w:val="24"/>
          <w:szCs w:val="21"/>
          <w:lang w:eastAsia="en-GB" w:bidi="sa-IN"/>
        </w:rPr>
      </w:pPr>
      <w:hyperlink w:anchor="_Toc243900382" w:history="1">
        <w:r>
          <w:rPr>
            <w:rStyle w:val="Hiperhivatkozs"/>
            <w:noProof/>
            <w:lang w:bidi="ar-SA"/>
          </w:rPr>
          <w:t>10.1.1. Textpart divisions in the apparatus</w:t>
        </w:r>
        <w:r>
          <w:rPr>
            <w:noProof/>
            <w:webHidden/>
          </w:rPr>
          <w:tab/>
        </w:r>
        <w:r>
          <w:rPr>
            <w:noProof/>
            <w:webHidden/>
          </w:rPr>
          <w:fldChar w:fldCharType="begin"/>
        </w:r>
        <w:r>
          <w:rPr>
            <w:noProof/>
            <w:webHidden/>
          </w:rPr>
          <w:instrText xml:space="preserve"> PAGEREF _Toc243900382 \h </w:instrText>
        </w:r>
        <w:r>
          <w:rPr>
            <w:noProof/>
            <w:webHidden/>
          </w:rPr>
        </w:r>
        <w:r>
          <w:rPr>
            <w:noProof/>
            <w:webHidden/>
          </w:rPr>
          <w:fldChar w:fldCharType="separate"/>
        </w:r>
        <w:r>
          <w:rPr>
            <w:noProof/>
            <w:webHidden/>
          </w:rPr>
          <w:t>147</w:t>
        </w:r>
        <w:r>
          <w:rPr>
            <w:noProof/>
            <w:webHidden/>
          </w:rPr>
          <w:fldChar w:fldCharType="end"/>
        </w:r>
      </w:hyperlink>
    </w:p>
    <w:p w14:paraId="076ED0EB" w14:textId="07193175">
      <w:pPr>
        <w:pStyle w:val="TJ2"/>
        <w:rPr>
          <w:rFonts w:asciiTheme="minorHAnsi" w:hAnsiTheme="minorHAnsi" w:cstheme="minorBidi"/>
          <w:noProof/>
          <w:sz w:val="24"/>
          <w:szCs w:val="21"/>
          <w:lang w:eastAsia="en-GB" w:bidi="sa-IN"/>
        </w:rPr>
      </w:pPr>
      <w:hyperlink w:anchor="_Toc243900383" w:history="1">
        <w:r>
          <w:rPr>
            <w:rStyle w:val="Hiperhivatkozs"/>
            <w:noProof/>
            <w:lang w:bidi="ar-SA"/>
          </w:rPr>
          <w:t>10.2. Indicating location in apparatus entries</w:t>
        </w:r>
        <w:r>
          <w:rPr>
            <w:noProof/>
            <w:webHidden/>
          </w:rPr>
          <w:tab/>
        </w:r>
        <w:r>
          <w:rPr>
            <w:noProof/>
            <w:webHidden/>
          </w:rPr>
          <w:fldChar w:fldCharType="begin"/>
        </w:r>
        <w:r>
          <w:rPr>
            <w:noProof/>
            <w:webHidden/>
          </w:rPr>
          <w:instrText xml:space="preserve"> PAGEREF _Toc243900383 \h </w:instrText>
        </w:r>
        <w:r>
          <w:rPr>
            <w:noProof/>
            <w:webHidden/>
          </w:rPr>
        </w:r>
        <w:r>
          <w:rPr>
            <w:noProof/>
            <w:webHidden/>
          </w:rPr>
          <w:fldChar w:fldCharType="separate"/>
        </w:r>
        <w:r>
          <w:rPr>
            <w:noProof/>
            <w:webHidden/>
          </w:rPr>
          <w:t>148</w:t>
        </w:r>
        <w:r>
          <w:rPr>
            <w:noProof/>
            <w:webHidden/>
          </w:rPr>
          <w:fldChar w:fldCharType="end"/>
        </w:r>
      </w:hyperlink>
    </w:p>
    <w:p w14:paraId="41517A3F" w14:textId="2F28FCBC">
      <w:pPr>
        <w:pStyle w:val="TJ2"/>
        <w:rPr>
          <w:rFonts w:asciiTheme="minorHAnsi" w:hAnsiTheme="minorHAnsi" w:cstheme="minorBidi"/>
          <w:noProof/>
          <w:sz w:val="24"/>
          <w:szCs w:val="21"/>
          <w:lang w:eastAsia="en-GB" w:bidi="sa-IN"/>
        </w:rPr>
      </w:pPr>
      <w:hyperlink w:anchor="_Toc243900384" w:history="1">
        <w:r>
          <w:rPr>
            <w:rStyle w:val="Hiperhivatkozs"/>
            <w:noProof/>
            <w:lang w:bidi="ar-SA"/>
          </w:rPr>
          <w:t>10.3. Lemmas</w:t>
        </w:r>
        <w:r>
          <w:rPr>
            <w:noProof/>
            <w:webHidden/>
          </w:rPr>
          <w:tab/>
        </w:r>
        <w:r>
          <w:rPr>
            <w:noProof/>
            <w:webHidden/>
          </w:rPr>
          <w:fldChar w:fldCharType="begin"/>
        </w:r>
        <w:r>
          <w:rPr>
            <w:noProof/>
            <w:webHidden/>
          </w:rPr>
          <w:instrText xml:space="preserve"> PAGEREF _Toc243900384 \h </w:instrText>
        </w:r>
        <w:r>
          <w:rPr>
            <w:noProof/>
            <w:webHidden/>
          </w:rPr>
        </w:r>
        <w:r>
          <w:rPr>
            <w:noProof/>
            <w:webHidden/>
          </w:rPr>
          <w:fldChar w:fldCharType="separate"/>
        </w:r>
        <w:r>
          <w:rPr>
            <w:noProof/>
            <w:webHidden/>
          </w:rPr>
          <w:t>149</w:t>
        </w:r>
        <w:r>
          <w:rPr>
            <w:noProof/>
            <w:webHidden/>
          </w:rPr>
          <w:fldChar w:fldCharType="end"/>
        </w:r>
      </w:hyperlink>
    </w:p>
    <w:p w14:paraId="6DCBA989" w14:textId="5900C976">
      <w:pPr>
        <w:pStyle w:val="TJ3"/>
        <w:rPr>
          <w:rFonts w:asciiTheme="minorHAnsi" w:hAnsiTheme="minorHAnsi" w:cstheme="minorBidi"/>
          <w:noProof/>
          <w:sz w:val="24"/>
          <w:szCs w:val="21"/>
          <w:lang w:eastAsia="en-GB" w:bidi="sa-IN"/>
        </w:rPr>
      </w:pPr>
      <w:hyperlink w:anchor="_Toc243900385" w:history="1">
        <w:r>
          <w:rPr>
            <w:rStyle w:val="Hiperhivatkozs"/>
            <w:noProof/>
            <w:lang w:bidi="ar-SA"/>
          </w:rPr>
          <w:t>10.3.1. The extent of lemmas</w:t>
        </w:r>
        <w:r>
          <w:rPr>
            <w:noProof/>
            <w:webHidden/>
          </w:rPr>
          <w:tab/>
        </w:r>
        <w:r>
          <w:rPr>
            <w:noProof/>
            <w:webHidden/>
          </w:rPr>
          <w:fldChar w:fldCharType="begin"/>
        </w:r>
        <w:r>
          <w:rPr>
            <w:noProof/>
            <w:webHidden/>
          </w:rPr>
          <w:instrText xml:space="preserve"> PAGEREF _Toc243900385 \h </w:instrText>
        </w:r>
        <w:r>
          <w:rPr>
            <w:noProof/>
            <w:webHidden/>
          </w:rPr>
        </w:r>
        <w:r>
          <w:rPr>
            <w:noProof/>
            <w:webHidden/>
          </w:rPr>
          <w:fldChar w:fldCharType="separate"/>
        </w:r>
        <w:r>
          <w:rPr>
            <w:noProof/>
            <w:webHidden/>
          </w:rPr>
          <w:t>149</w:t>
        </w:r>
        <w:r>
          <w:rPr>
            <w:noProof/>
            <w:webHidden/>
          </w:rPr>
          <w:fldChar w:fldCharType="end"/>
        </w:r>
      </w:hyperlink>
    </w:p>
    <w:p w14:paraId="3933E721" w14:textId="6AF66479">
      <w:pPr>
        <w:pStyle w:val="TJ3"/>
        <w:rPr>
          <w:rFonts w:asciiTheme="minorHAnsi" w:hAnsiTheme="minorHAnsi" w:cstheme="minorBidi"/>
          <w:noProof/>
          <w:sz w:val="24"/>
          <w:szCs w:val="21"/>
          <w:lang w:eastAsia="en-GB" w:bidi="sa-IN"/>
        </w:rPr>
      </w:pPr>
      <w:hyperlink w:anchor="_Toc243900386" w:history="1">
        <w:r>
          <w:rPr>
            <w:rStyle w:val="Hiperhivatkozs"/>
            <w:noProof/>
            <w:lang w:bidi="ar-SA"/>
          </w:rPr>
          <w:t>10.3.2. The content of lemmas</w:t>
        </w:r>
        <w:r>
          <w:rPr>
            <w:noProof/>
            <w:webHidden/>
          </w:rPr>
          <w:tab/>
        </w:r>
        <w:r>
          <w:rPr>
            <w:noProof/>
            <w:webHidden/>
          </w:rPr>
          <w:fldChar w:fldCharType="begin"/>
        </w:r>
        <w:r>
          <w:rPr>
            <w:noProof/>
            <w:webHidden/>
          </w:rPr>
          <w:instrText xml:space="preserve"> PAGEREF _Toc243900386 \h </w:instrText>
        </w:r>
        <w:r>
          <w:rPr>
            <w:noProof/>
            <w:webHidden/>
          </w:rPr>
        </w:r>
        <w:r>
          <w:rPr>
            <w:noProof/>
            <w:webHidden/>
          </w:rPr>
          <w:fldChar w:fldCharType="separate"/>
        </w:r>
        <w:r>
          <w:rPr>
            <w:noProof/>
            <w:webHidden/>
          </w:rPr>
          <w:t>149</w:t>
        </w:r>
        <w:r>
          <w:rPr>
            <w:noProof/>
            <w:webHidden/>
          </w:rPr>
          <w:fldChar w:fldCharType="end"/>
        </w:r>
      </w:hyperlink>
    </w:p>
    <w:p w14:paraId="1736A84B" w14:textId="13FBD18A">
      <w:pPr>
        <w:pStyle w:val="TJ3"/>
        <w:rPr>
          <w:rFonts w:asciiTheme="minorHAnsi" w:hAnsiTheme="minorHAnsi" w:cstheme="minorBidi"/>
          <w:noProof/>
          <w:sz w:val="24"/>
          <w:szCs w:val="21"/>
          <w:lang w:eastAsia="en-GB" w:bidi="sa-IN"/>
        </w:rPr>
      </w:pPr>
      <w:hyperlink w:anchor="_Toc243900387" w:history="1">
        <w:r>
          <w:rPr>
            <w:rStyle w:val="Hiperhivatkozs"/>
            <w:noProof/>
            <w:lang w:bidi="ar-SA"/>
          </w:rPr>
          <w:t>10.3.3. The source of lemmas</w:t>
        </w:r>
        <w:r>
          <w:rPr>
            <w:noProof/>
            <w:webHidden/>
          </w:rPr>
          <w:tab/>
        </w:r>
        <w:r>
          <w:rPr>
            <w:noProof/>
            <w:webHidden/>
          </w:rPr>
          <w:fldChar w:fldCharType="begin"/>
        </w:r>
        <w:r>
          <w:rPr>
            <w:noProof/>
            <w:webHidden/>
          </w:rPr>
          <w:instrText xml:space="preserve"> PAGEREF _Toc243900387 \h </w:instrText>
        </w:r>
        <w:r>
          <w:rPr>
            <w:noProof/>
            <w:webHidden/>
          </w:rPr>
        </w:r>
        <w:r>
          <w:rPr>
            <w:noProof/>
            <w:webHidden/>
          </w:rPr>
          <w:fldChar w:fldCharType="separate"/>
        </w:r>
        <w:r>
          <w:rPr>
            <w:noProof/>
            <w:webHidden/>
          </w:rPr>
          <w:t>150</w:t>
        </w:r>
        <w:r>
          <w:rPr>
            <w:noProof/>
            <w:webHidden/>
          </w:rPr>
          <w:fldChar w:fldCharType="end"/>
        </w:r>
      </w:hyperlink>
    </w:p>
    <w:p w14:paraId="26E30DC7" w14:textId="77158128">
      <w:pPr>
        <w:pStyle w:val="TJ2"/>
        <w:rPr>
          <w:rFonts w:asciiTheme="minorHAnsi" w:hAnsiTheme="minorHAnsi" w:cstheme="minorBidi"/>
          <w:noProof/>
          <w:sz w:val="24"/>
          <w:szCs w:val="21"/>
          <w:lang w:eastAsia="en-GB" w:bidi="sa-IN"/>
        </w:rPr>
      </w:pPr>
      <w:hyperlink w:anchor="_Toc243900388" w:history="1">
        <w:r>
          <w:rPr>
            <w:rStyle w:val="Hiperhivatkozs"/>
            <w:noProof/>
            <w:lang w:bidi="ar-SA"/>
          </w:rPr>
          <w:t>10.4. Alternative readings, restorations and emendations</w:t>
        </w:r>
        <w:r>
          <w:rPr>
            <w:noProof/>
            <w:webHidden/>
          </w:rPr>
          <w:tab/>
        </w:r>
        <w:r>
          <w:rPr>
            <w:noProof/>
            <w:webHidden/>
          </w:rPr>
          <w:fldChar w:fldCharType="begin"/>
        </w:r>
        <w:r>
          <w:rPr>
            <w:noProof/>
            <w:webHidden/>
          </w:rPr>
          <w:instrText xml:space="preserve"> PAGEREF _Toc243900388 \h </w:instrText>
        </w:r>
        <w:r>
          <w:rPr>
            <w:noProof/>
            <w:webHidden/>
          </w:rPr>
        </w:r>
        <w:r>
          <w:rPr>
            <w:noProof/>
            <w:webHidden/>
          </w:rPr>
          <w:fldChar w:fldCharType="separate"/>
        </w:r>
        <w:r>
          <w:rPr>
            <w:noProof/>
            <w:webHidden/>
          </w:rPr>
          <w:t>150</w:t>
        </w:r>
        <w:r>
          <w:rPr>
            <w:noProof/>
            <w:webHidden/>
          </w:rPr>
          <w:fldChar w:fldCharType="end"/>
        </w:r>
      </w:hyperlink>
    </w:p>
    <w:p w14:paraId="6F945E89" w14:textId="5EA99215">
      <w:pPr>
        <w:pStyle w:val="TJ3"/>
        <w:rPr>
          <w:rFonts w:asciiTheme="minorHAnsi" w:hAnsiTheme="minorHAnsi" w:cstheme="minorBidi"/>
          <w:noProof/>
          <w:sz w:val="24"/>
          <w:szCs w:val="21"/>
          <w:lang w:eastAsia="en-GB" w:bidi="sa-IN"/>
        </w:rPr>
      </w:pPr>
      <w:hyperlink w:anchor="_Toc243900389" w:history="1">
        <w:r>
          <w:rPr>
            <w:rStyle w:val="Hiperhivatkozs"/>
            <w:noProof/>
            <w:lang w:bidi="ar-SA"/>
          </w:rPr>
          <w:t>10.4.1. The extent of alternative readings</w:t>
        </w:r>
        <w:r>
          <w:rPr>
            <w:noProof/>
            <w:webHidden/>
          </w:rPr>
          <w:tab/>
        </w:r>
        <w:r>
          <w:rPr>
            <w:noProof/>
            <w:webHidden/>
          </w:rPr>
          <w:fldChar w:fldCharType="begin"/>
        </w:r>
        <w:r>
          <w:rPr>
            <w:noProof/>
            <w:webHidden/>
          </w:rPr>
          <w:instrText xml:space="preserve"> PAGEREF _Toc243900389 \h </w:instrText>
        </w:r>
        <w:r>
          <w:rPr>
            <w:noProof/>
            <w:webHidden/>
          </w:rPr>
        </w:r>
        <w:r>
          <w:rPr>
            <w:noProof/>
            <w:webHidden/>
          </w:rPr>
          <w:fldChar w:fldCharType="separate"/>
        </w:r>
        <w:r>
          <w:rPr>
            <w:noProof/>
            <w:webHidden/>
          </w:rPr>
          <w:t>150</w:t>
        </w:r>
        <w:r>
          <w:rPr>
            <w:noProof/>
            <w:webHidden/>
          </w:rPr>
          <w:fldChar w:fldCharType="end"/>
        </w:r>
      </w:hyperlink>
    </w:p>
    <w:p w14:paraId="29FBA668" w14:textId="466A7C14">
      <w:pPr>
        <w:pStyle w:val="TJ3"/>
        <w:rPr>
          <w:rFonts w:asciiTheme="minorHAnsi" w:hAnsiTheme="minorHAnsi" w:cstheme="minorBidi"/>
          <w:noProof/>
          <w:sz w:val="24"/>
          <w:szCs w:val="21"/>
          <w:lang w:eastAsia="en-GB" w:bidi="sa-IN"/>
        </w:rPr>
      </w:pPr>
      <w:hyperlink w:anchor="_Toc243900390" w:history="1">
        <w:r>
          <w:rPr>
            <w:rStyle w:val="Hiperhivatkozs"/>
            <w:noProof/>
            <w:lang w:bidi="ar-SA"/>
          </w:rPr>
          <w:t>10.4.2. The content of alternative readings</w:t>
        </w:r>
        <w:r>
          <w:rPr>
            <w:noProof/>
            <w:webHidden/>
          </w:rPr>
          <w:tab/>
        </w:r>
        <w:r>
          <w:rPr>
            <w:noProof/>
            <w:webHidden/>
          </w:rPr>
          <w:fldChar w:fldCharType="begin"/>
        </w:r>
        <w:r>
          <w:rPr>
            <w:noProof/>
            <w:webHidden/>
          </w:rPr>
          <w:instrText xml:space="preserve"> PAGEREF _Toc243900390 \h </w:instrText>
        </w:r>
        <w:r>
          <w:rPr>
            <w:noProof/>
            <w:webHidden/>
          </w:rPr>
        </w:r>
        <w:r>
          <w:rPr>
            <w:noProof/>
            <w:webHidden/>
          </w:rPr>
          <w:fldChar w:fldCharType="separate"/>
        </w:r>
        <w:r>
          <w:rPr>
            <w:noProof/>
            <w:webHidden/>
          </w:rPr>
          <w:t>150</w:t>
        </w:r>
        <w:r>
          <w:rPr>
            <w:noProof/>
            <w:webHidden/>
          </w:rPr>
          <w:fldChar w:fldCharType="end"/>
        </w:r>
      </w:hyperlink>
    </w:p>
    <w:p w14:paraId="362BA857" w14:textId="35106FE7">
      <w:pPr>
        <w:pStyle w:val="TJ3"/>
        <w:rPr>
          <w:rFonts w:asciiTheme="minorHAnsi" w:hAnsiTheme="minorHAnsi" w:cstheme="minorBidi"/>
          <w:noProof/>
          <w:sz w:val="24"/>
          <w:szCs w:val="21"/>
          <w:lang w:eastAsia="en-GB" w:bidi="sa-IN"/>
        </w:rPr>
      </w:pPr>
      <w:hyperlink w:anchor="_Toc243900391" w:history="1">
        <w:r>
          <w:rPr>
            <w:rStyle w:val="Hiperhivatkozs"/>
            <w:noProof/>
            <w:lang w:bidi="ar-SA"/>
          </w:rPr>
          <w:t>10.4.3. The source of alternative readings</w:t>
        </w:r>
        <w:r>
          <w:rPr>
            <w:noProof/>
            <w:webHidden/>
          </w:rPr>
          <w:tab/>
        </w:r>
        <w:r>
          <w:rPr>
            <w:noProof/>
            <w:webHidden/>
          </w:rPr>
          <w:fldChar w:fldCharType="begin"/>
        </w:r>
        <w:r>
          <w:rPr>
            <w:noProof/>
            <w:webHidden/>
          </w:rPr>
          <w:instrText xml:space="preserve"> PAGEREF _Toc243900391 \h </w:instrText>
        </w:r>
        <w:r>
          <w:rPr>
            <w:noProof/>
            <w:webHidden/>
          </w:rPr>
        </w:r>
        <w:r>
          <w:rPr>
            <w:noProof/>
            <w:webHidden/>
          </w:rPr>
          <w:fldChar w:fldCharType="separate"/>
        </w:r>
        <w:r>
          <w:rPr>
            <w:noProof/>
            <w:webHidden/>
          </w:rPr>
          <w:t>151</w:t>
        </w:r>
        <w:r>
          <w:rPr>
            <w:noProof/>
            <w:webHidden/>
          </w:rPr>
          <w:fldChar w:fldCharType="end"/>
        </w:r>
      </w:hyperlink>
    </w:p>
    <w:p w14:paraId="43E5F32A" w14:textId="24E93AC5">
      <w:pPr>
        <w:pStyle w:val="TJ2"/>
        <w:rPr>
          <w:rFonts w:asciiTheme="minorHAnsi" w:hAnsiTheme="minorHAnsi" w:cstheme="minorBidi"/>
          <w:noProof/>
          <w:sz w:val="24"/>
          <w:szCs w:val="21"/>
          <w:lang w:eastAsia="en-GB" w:bidi="sa-IN"/>
        </w:rPr>
      </w:pPr>
      <w:hyperlink w:anchor="_Toc243900392" w:history="1">
        <w:r>
          <w:rPr>
            <w:rStyle w:val="Hiperhivatkozs"/>
            <w:noProof/>
            <w:lang w:bidi="ar-SA"/>
          </w:rPr>
          <w:t>10.5. Identical lemmas, identical readings</w:t>
        </w:r>
        <w:r>
          <w:rPr>
            <w:noProof/>
            <w:webHidden/>
          </w:rPr>
          <w:tab/>
        </w:r>
        <w:r>
          <w:rPr>
            <w:noProof/>
            <w:webHidden/>
          </w:rPr>
          <w:fldChar w:fldCharType="begin"/>
        </w:r>
        <w:r>
          <w:rPr>
            <w:noProof/>
            <w:webHidden/>
          </w:rPr>
          <w:instrText xml:space="preserve"> PAGEREF _Toc243900392 \h </w:instrText>
        </w:r>
        <w:r>
          <w:rPr>
            <w:noProof/>
            <w:webHidden/>
          </w:rPr>
        </w:r>
        <w:r>
          <w:rPr>
            <w:noProof/>
            <w:webHidden/>
          </w:rPr>
          <w:fldChar w:fldCharType="separate"/>
        </w:r>
        <w:r>
          <w:rPr>
            <w:noProof/>
            <w:webHidden/>
          </w:rPr>
          <w:t>151</w:t>
        </w:r>
        <w:r>
          <w:rPr>
            <w:noProof/>
            <w:webHidden/>
          </w:rPr>
          <w:fldChar w:fldCharType="end"/>
        </w:r>
      </w:hyperlink>
    </w:p>
    <w:p w14:paraId="67AE58C3" w14:textId="31DF533C">
      <w:pPr>
        <w:pStyle w:val="TJ2"/>
        <w:rPr>
          <w:rFonts w:asciiTheme="minorHAnsi" w:hAnsiTheme="minorHAnsi" w:cstheme="minorBidi"/>
          <w:noProof/>
          <w:sz w:val="24"/>
          <w:szCs w:val="21"/>
          <w:lang w:eastAsia="en-GB" w:bidi="sa-IN"/>
        </w:rPr>
      </w:pPr>
      <w:hyperlink w:anchor="_Toc243900393" w:history="1">
        <w:r>
          <w:rPr>
            <w:rStyle w:val="Hiperhivatkozs"/>
            <w:noProof/>
            <w:lang w:bidi="ar-SA"/>
          </w:rPr>
          <w:t>10.6. XML markup within lemmas and readings</w:t>
        </w:r>
        <w:r>
          <w:rPr>
            <w:noProof/>
            <w:webHidden/>
          </w:rPr>
          <w:tab/>
        </w:r>
        <w:r>
          <w:rPr>
            <w:noProof/>
            <w:webHidden/>
          </w:rPr>
          <w:fldChar w:fldCharType="begin"/>
        </w:r>
        <w:r>
          <w:rPr>
            <w:noProof/>
            <w:webHidden/>
          </w:rPr>
          <w:instrText xml:space="preserve"> PAGEREF _Toc243900393 \h </w:instrText>
        </w:r>
        <w:r>
          <w:rPr>
            <w:noProof/>
            <w:webHidden/>
          </w:rPr>
        </w:r>
        <w:r>
          <w:rPr>
            <w:noProof/>
            <w:webHidden/>
          </w:rPr>
          <w:fldChar w:fldCharType="separate"/>
        </w:r>
        <w:r>
          <w:rPr>
            <w:noProof/>
            <w:webHidden/>
          </w:rPr>
          <w:t>152</w:t>
        </w:r>
        <w:r>
          <w:rPr>
            <w:noProof/>
            <w:webHidden/>
          </w:rPr>
          <w:fldChar w:fldCharType="end"/>
        </w:r>
      </w:hyperlink>
    </w:p>
    <w:p w14:paraId="26902E1F" w14:textId="230E2260">
      <w:pPr>
        <w:pStyle w:val="TJ2"/>
        <w:rPr>
          <w:rFonts w:asciiTheme="minorHAnsi" w:hAnsiTheme="minorHAnsi" w:cstheme="minorBidi"/>
          <w:noProof/>
          <w:sz w:val="24"/>
          <w:szCs w:val="21"/>
          <w:lang w:eastAsia="en-GB" w:bidi="sa-IN"/>
        </w:rPr>
      </w:pPr>
      <w:hyperlink w:anchor="_Toc243900394" w:history="1">
        <w:r>
          <w:rPr>
            <w:rStyle w:val="Hiperhivatkozs"/>
            <w:noProof/>
            <w:lang w:bidi="ar-SA"/>
          </w:rPr>
          <w:t>10.7. Freeform apparatus notes</w:t>
        </w:r>
        <w:r>
          <w:rPr>
            <w:noProof/>
            <w:webHidden/>
          </w:rPr>
          <w:tab/>
        </w:r>
        <w:r>
          <w:rPr>
            <w:noProof/>
            <w:webHidden/>
          </w:rPr>
          <w:fldChar w:fldCharType="begin"/>
        </w:r>
        <w:r>
          <w:rPr>
            <w:noProof/>
            <w:webHidden/>
          </w:rPr>
          <w:instrText xml:space="preserve"> PAGEREF _Toc243900394 \h </w:instrText>
        </w:r>
        <w:r>
          <w:rPr>
            <w:noProof/>
            <w:webHidden/>
          </w:rPr>
        </w:r>
        <w:r>
          <w:rPr>
            <w:noProof/>
            <w:webHidden/>
          </w:rPr>
          <w:fldChar w:fldCharType="separate"/>
        </w:r>
        <w:r>
          <w:rPr>
            <w:noProof/>
            <w:webHidden/>
          </w:rPr>
          <w:t>153</w:t>
        </w:r>
        <w:r>
          <w:rPr>
            <w:noProof/>
            <w:webHidden/>
          </w:rPr>
          <w:fldChar w:fldCharType="end"/>
        </w:r>
      </w:hyperlink>
    </w:p>
    <w:p w14:paraId="044629B7" w14:textId="4F2B1E8D">
      <w:pPr>
        <w:pStyle w:val="TJ1"/>
        <w:rPr>
          <w:rFonts w:asciiTheme="minorHAnsi" w:hAnsiTheme="minorHAnsi" w:cstheme="minorBidi"/>
          <w:b w:val="0"/>
          <w:noProof/>
          <w:sz w:val="24"/>
          <w:szCs w:val="21"/>
          <w:lang w:eastAsia="en-GB" w:bidi="sa-IN"/>
        </w:rPr>
      </w:pPr>
      <w:hyperlink w:anchor="_Toc243900395" w:history="1">
        <w:r>
          <w:rPr>
            <w:rStyle w:val="Hiperhivatkozs"/>
            <w:noProof/>
            <w:lang w:bidi="ar-SA"/>
          </w:rPr>
          <w:t>11. The translation</w:t>
        </w:r>
        <w:r>
          <w:rPr>
            <w:noProof/>
            <w:webHidden/>
          </w:rPr>
          <w:tab/>
        </w:r>
        <w:r>
          <w:rPr>
            <w:noProof/>
            <w:webHidden/>
          </w:rPr>
          <w:fldChar w:fldCharType="begin"/>
        </w:r>
        <w:r>
          <w:rPr>
            <w:noProof/>
            <w:webHidden/>
          </w:rPr>
          <w:instrText xml:space="preserve"> PAGEREF _Toc243900395 \h </w:instrText>
        </w:r>
        <w:r>
          <w:rPr>
            <w:noProof/>
            <w:webHidden/>
          </w:rPr>
        </w:r>
        <w:r>
          <w:rPr>
            <w:noProof/>
            <w:webHidden/>
          </w:rPr>
          <w:fldChar w:fldCharType="separate"/>
        </w:r>
        <w:r>
          <w:rPr>
            <w:noProof/>
            <w:webHidden/>
          </w:rPr>
          <w:t>154</w:t>
        </w:r>
        <w:r>
          <w:rPr>
            <w:noProof/>
            <w:webHidden/>
          </w:rPr>
          <w:fldChar w:fldCharType="end"/>
        </w:r>
      </w:hyperlink>
    </w:p>
    <w:p w14:paraId="12BB0BC7" w14:textId="64E5CF3D">
      <w:pPr>
        <w:pStyle w:val="TJ2"/>
        <w:rPr>
          <w:rFonts w:asciiTheme="minorHAnsi" w:hAnsiTheme="minorHAnsi" w:cstheme="minorBidi"/>
          <w:noProof/>
          <w:sz w:val="24"/>
          <w:szCs w:val="21"/>
          <w:lang w:eastAsia="en-GB" w:bidi="sa-IN"/>
        </w:rPr>
      </w:pPr>
      <w:hyperlink w:anchor="_Toc243900396" w:history="1">
        <w:r>
          <w:rPr>
            <w:rStyle w:val="Hiperhivatkozs"/>
            <w:noProof/>
            <w:lang w:bidi="ar-SA"/>
          </w:rPr>
          <w:t>11.1. Encoding the translation</w:t>
        </w:r>
        <w:r>
          <w:rPr>
            <w:noProof/>
            <w:webHidden/>
          </w:rPr>
          <w:tab/>
        </w:r>
        <w:r>
          <w:rPr>
            <w:noProof/>
            <w:webHidden/>
          </w:rPr>
          <w:fldChar w:fldCharType="begin"/>
        </w:r>
        <w:r>
          <w:rPr>
            <w:noProof/>
            <w:webHidden/>
          </w:rPr>
          <w:instrText xml:space="preserve"> PAGEREF _Toc243900396 \h </w:instrText>
        </w:r>
        <w:r>
          <w:rPr>
            <w:noProof/>
            <w:webHidden/>
          </w:rPr>
        </w:r>
        <w:r>
          <w:rPr>
            <w:noProof/>
            <w:webHidden/>
          </w:rPr>
          <w:fldChar w:fldCharType="separate"/>
        </w:r>
        <w:r>
          <w:rPr>
            <w:noProof/>
            <w:webHidden/>
          </w:rPr>
          <w:t>154</w:t>
        </w:r>
        <w:r>
          <w:rPr>
            <w:noProof/>
            <w:webHidden/>
          </w:rPr>
          <w:fldChar w:fldCharType="end"/>
        </w:r>
      </w:hyperlink>
    </w:p>
    <w:p w14:paraId="2CBF90E9" w14:textId="094B5B50">
      <w:pPr>
        <w:pStyle w:val="TJ3"/>
        <w:rPr>
          <w:rFonts w:asciiTheme="minorHAnsi" w:hAnsiTheme="minorHAnsi" w:cstheme="minorBidi"/>
          <w:noProof/>
          <w:sz w:val="24"/>
          <w:szCs w:val="21"/>
          <w:lang w:eastAsia="en-GB" w:bidi="sa-IN"/>
        </w:rPr>
      </w:pPr>
      <w:hyperlink w:anchor="_Toc243900397" w:history="1">
        <w:r>
          <w:rPr>
            <w:rStyle w:val="Hiperhivatkozs"/>
            <w:noProof/>
            <w:lang w:bidi="ar-SA"/>
          </w:rPr>
          <w:t>11.1.1. Textpart divisions in the translation</w:t>
        </w:r>
        <w:r>
          <w:rPr>
            <w:noProof/>
            <w:webHidden/>
          </w:rPr>
          <w:tab/>
        </w:r>
        <w:r>
          <w:rPr>
            <w:noProof/>
            <w:webHidden/>
          </w:rPr>
          <w:fldChar w:fldCharType="begin"/>
        </w:r>
        <w:r>
          <w:rPr>
            <w:noProof/>
            <w:webHidden/>
          </w:rPr>
          <w:instrText xml:space="preserve"> PAGEREF _Toc243900397 \h </w:instrText>
        </w:r>
        <w:r>
          <w:rPr>
            <w:noProof/>
            <w:webHidden/>
          </w:rPr>
        </w:r>
        <w:r>
          <w:rPr>
            <w:noProof/>
            <w:webHidden/>
          </w:rPr>
          <w:fldChar w:fldCharType="separate"/>
        </w:r>
        <w:r>
          <w:rPr>
            <w:noProof/>
            <w:webHidden/>
          </w:rPr>
          <w:t>154</w:t>
        </w:r>
        <w:r>
          <w:rPr>
            <w:noProof/>
            <w:webHidden/>
          </w:rPr>
          <w:fldChar w:fldCharType="end"/>
        </w:r>
      </w:hyperlink>
    </w:p>
    <w:p w14:paraId="4C26F649" w14:textId="71B255DF">
      <w:pPr>
        <w:pStyle w:val="TJ3"/>
        <w:rPr>
          <w:rFonts w:asciiTheme="minorHAnsi" w:hAnsiTheme="minorHAnsi" w:cstheme="minorBidi"/>
          <w:noProof/>
          <w:sz w:val="24"/>
          <w:szCs w:val="21"/>
          <w:lang w:eastAsia="en-GB" w:bidi="sa-IN"/>
        </w:rPr>
      </w:pPr>
      <w:hyperlink w:anchor="_Toc243900398" w:history="1">
        <w:r>
          <w:rPr>
            <w:rStyle w:val="Hiperhivatkozs"/>
            <w:noProof/>
            <w:lang w:bidi="ar-SA"/>
          </w:rPr>
          <w:t>11.1.2. Crediting the author of the translation</w:t>
        </w:r>
        <w:r>
          <w:rPr>
            <w:noProof/>
            <w:webHidden/>
          </w:rPr>
          <w:tab/>
        </w:r>
        <w:r>
          <w:rPr>
            <w:noProof/>
            <w:webHidden/>
          </w:rPr>
          <w:fldChar w:fldCharType="begin"/>
        </w:r>
        <w:r>
          <w:rPr>
            <w:noProof/>
            <w:webHidden/>
          </w:rPr>
          <w:instrText xml:space="preserve"> PAGEREF _Toc243900398 \h </w:instrText>
        </w:r>
        <w:r>
          <w:rPr>
            <w:noProof/>
            <w:webHidden/>
          </w:rPr>
        </w:r>
        <w:r>
          <w:rPr>
            <w:noProof/>
            <w:webHidden/>
          </w:rPr>
          <w:fldChar w:fldCharType="separate"/>
        </w:r>
        <w:r>
          <w:rPr>
            <w:noProof/>
            <w:webHidden/>
          </w:rPr>
          <w:t>155</w:t>
        </w:r>
        <w:r>
          <w:rPr>
            <w:noProof/>
            <w:webHidden/>
          </w:rPr>
          <w:fldChar w:fldCharType="end"/>
        </w:r>
      </w:hyperlink>
    </w:p>
    <w:p w14:paraId="0DC33ED7" w14:textId="33441DA6">
      <w:pPr>
        <w:pStyle w:val="TJ3"/>
        <w:rPr>
          <w:rFonts w:asciiTheme="minorHAnsi" w:hAnsiTheme="minorHAnsi" w:cstheme="minorBidi"/>
          <w:noProof/>
          <w:sz w:val="24"/>
          <w:szCs w:val="21"/>
          <w:lang w:eastAsia="en-GB" w:bidi="sa-IN"/>
        </w:rPr>
      </w:pPr>
      <w:hyperlink w:anchor="_Toc243900399" w:history="1">
        <w:r>
          <w:rPr>
            <w:rStyle w:val="Hiperhivatkozs"/>
            <w:noProof/>
            <w:lang w:bidi="ar-SA"/>
          </w:rPr>
          <w:t>11.1.3. Attaching multiple translations</w:t>
        </w:r>
        <w:r>
          <w:rPr>
            <w:noProof/>
            <w:webHidden/>
          </w:rPr>
          <w:tab/>
        </w:r>
        <w:r>
          <w:rPr>
            <w:noProof/>
            <w:webHidden/>
          </w:rPr>
          <w:fldChar w:fldCharType="begin"/>
        </w:r>
        <w:r>
          <w:rPr>
            <w:noProof/>
            <w:webHidden/>
          </w:rPr>
          <w:instrText xml:space="preserve"> PAGEREF _Toc243900399 \h </w:instrText>
        </w:r>
        <w:r>
          <w:rPr>
            <w:noProof/>
            <w:webHidden/>
          </w:rPr>
        </w:r>
        <w:r>
          <w:rPr>
            <w:noProof/>
            <w:webHidden/>
          </w:rPr>
          <w:fldChar w:fldCharType="separate"/>
        </w:r>
        <w:r>
          <w:rPr>
            <w:noProof/>
            <w:webHidden/>
          </w:rPr>
          <w:t>155</w:t>
        </w:r>
        <w:r>
          <w:rPr>
            <w:noProof/>
            <w:webHidden/>
          </w:rPr>
          <w:fldChar w:fldCharType="end"/>
        </w:r>
      </w:hyperlink>
    </w:p>
    <w:p w14:paraId="164E7C4C" w14:textId="3C2D2C4C">
      <w:pPr>
        <w:pStyle w:val="TJ2"/>
        <w:rPr>
          <w:rFonts w:asciiTheme="minorHAnsi" w:hAnsiTheme="minorHAnsi" w:cstheme="minorBidi"/>
          <w:noProof/>
          <w:sz w:val="24"/>
          <w:szCs w:val="21"/>
          <w:lang w:eastAsia="en-GB" w:bidi="sa-IN"/>
        </w:rPr>
      </w:pPr>
      <w:hyperlink w:anchor="_Toc243900400" w:history="1">
        <w:r>
          <w:rPr>
            <w:rStyle w:val="Hiperhivatkozs"/>
            <w:noProof/>
            <w:lang w:bidi="ar-SA"/>
          </w:rPr>
          <w:t>11.2. Structuring the translation</w:t>
        </w:r>
        <w:r>
          <w:rPr>
            <w:noProof/>
            <w:webHidden/>
          </w:rPr>
          <w:tab/>
        </w:r>
        <w:r>
          <w:rPr>
            <w:noProof/>
            <w:webHidden/>
          </w:rPr>
          <w:fldChar w:fldCharType="begin"/>
        </w:r>
        <w:r>
          <w:rPr>
            <w:noProof/>
            <w:webHidden/>
          </w:rPr>
          <w:instrText xml:space="preserve"> PAGEREF _Toc243900400 \h </w:instrText>
        </w:r>
        <w:r>
          <w:rPr>
            <w:noProof/>
            <w:webHidden/>
          </w:rPr>
        </w:r>
        <w:r>
          <w:rPr>
            <w:noProof/>
            <w:webHidden/>
          </w:rPr>
          <w:fldChar w:fldCharType="separate"/>
        </w:r>
        <w:r>
          <w:rPr>
            <w:noProof/>
            <w:webHidden/>
          </w:rPr>
          <w:t>156</w:t>
        </w:r>
        <w:r>
          <w:rPr>
            <w:noProof/>
            <w:webHidden/>
          </w:rPr>
          <w:fldChar w:fldCharType="end"/>
        </w:r>
      </w:hyperlink>
    </w:p>
    <w:p w14:paraId="5C03404E" w14:textId="795DDD67">
      <w:pPr>
        <w:pStyle w:val="TJ3"/>
        <w:rPr>
          <w:rFonts w:asciiTheme="minorHAnsi" w:hAnsiTheme="minorHAnsi" w:cstheme="minorBidi"/>
          <w:noProof/>
          <w:sz w:val="24"/>
          <w:szCs w:val="21"/>
          <w:lang w:eastAsia="en-GB" w:bidi="sa-IN"/>
        </w:rPr>
      </w:pPr>
      <w:hyperlink w:anchor="_Toc243900401" w:history="1">
        <w:r>
          <w:rPr>
            <w:rStyle w:val="Hiperhivatkozs"/>
            <w:noProof/>
            <w:lang w:bidi="ar-SA"/>
          </w:rPr>
          <w:t>11.2.1. Reflecting extrinsic structure in the translation</w:t>
        </w:r>
        <w:r>
          <w:rPr>
            <w:noProof/>
            <w:webHidden/>
          </w:rPr>
          <w:tab/>
        </w:r>
        <w:r>
          <w:rPr>
            <w:noProof/>
            <w:webHidden/>
          </w:rPr>
          <w:fldChar w:fldCharType="begin"/>
        </w:r>
        <w:r>
          <w:rPr>
            <w:noProof/>
            <w:webHidden/>
          </w:rPr>
          <w:instrText xml:space="preserve"> PAGEREF _Toc243900401 \h </w:instrText>
        </w:r>
        <w:r>
          <w:rPr>
            <w:noProof/>
            <w:webHidden/>
          </w:rPr>
        </w:r>
        <w:r>
          <w:rPr>
            <w:noProof/>
            <w:webHidden/>
          </w:rPr>
          <w:fldChar w:fldCharType="separate"/>
        </w:r>
        <w:r>
          <w:rPr>
            <w:noProof/>
            <w:webHidden/>
          </w:rPr>
          <w:t>156</w:t>
        </w:r>
        <w:r>
          <w:rPr>
            <w:noProof/>
            <w:webHidden/>
          </w:rPr>
          <w:fldChar w:fldCharType="end"/>
        </w:r>
      </w:hyperlink>
    </w:p>
    <w:p w14:paraId="03C6E23B" w14:textId="25A66AC2">
      <w:pPr>
        <w:pStyle w:val="TJ3"/>
        <w:rPr>
          <w:rFonts w:asciiTheme="minorHAnsi" w:hAnsiTheme="minorHAnsi" w:cstheme="minorBidi"/>
          <w:noProof/>
          <w:sz w:val="24"/>
          <w:szCs w:val="21"/>
          <w:lang w:eastAsia="en-GB" w:bidi="sa-IN"/>
        </w:rPr>
      </w:pPr>
      <w:hyperlink w:anchor="_Toc243900402" w:history="1">
        <w:r>
          <w:rPr>
            <w:rStyle w:val="Hiperhivatkozs"/>
            <w:noProof/>
            <w:lang w:bidi="ar-SA"/>
          </w:rPr>
          <w:t>11.2.2. Reflecting intrinsic structure in the translation</w:t>
        </w:r>
        <w:r>
          <w:rPr>
            <w:noProof/>
            <w:webHidden/>
          </w:rPr>
          <w:tab/>
        </w:r>
        <w:r>
          <w:rPr>
            <w:noProof/>
            <w:webHidden/>
          </w:rPr>
          <w:fldChar w:fldCharType="begin"/>
        </w:r>
        <w:r>
          <w:rPr>
            <w:noProof/>
            <w:webHidden/>
          </w:rPr>
          <w:instrText xml:space="preserve"> PAGEREF _Toc243900402 \h </w:instrText>
        </w:r>
        <w:r>
          <w:rPr>
            <w:noProof/>
            <w:webHidden/>
          </w:rPr>
        </w:r>
        <w:r>
          <w:rPr>
            <w:noProof/>
            <w:webHidden/>
          </w:rPr>
          <w:fldChar w:fldCharType="separate"/>
        </w:r>
        <w:r>
          <w:rPr>
            <w:noProof/>
            <w:webHidden/>
          </w:rPr>
          <w:t>156</w:t>
        </w:r>
        <w:r>
          <w:rPr>
            <w:noProof/>
            <w:webHidden/>
          </w:rPr>
          <w:fldChar w:fldCharType="end"/>
        </w:r>
      </w:hyperlink>
    </w:p>
    <w:p w14:paraId="7FE1A881" w14:textId="2ED4C9D2">
      <w:pPr>
        <w:pStyle w:val="TJ3"/>
        <w:rPr>
          <w:rFonts w:asciiTheme="minorHAnsi" w:hAnsiTheme="minorHAnsi" w:cstheme="minorBidi"/>
          <w:noProof/>
          <w:sz w:val="24"/>
          <w:szCs w:val="21"/>
          <w:lang w:eastAsia="en-GB" w:bidi="sa-IN"/>
        </w:rPr>
      </w:pPr>
      <w:hyperlink w:anchor="_Toc243900403" w:history="1">
        <w:r>
          <w:rPr>
            <w:rStyle w:val="Hiperhivatkozs"/>
            <w:noProof/>
            <w:lang w:bidi="ar-SA"/>
          </w:rPr>
          <w:t>11.2.3. Headings in translations</w:t>
        </w:r>
        <w:r>
          <w:rPr>
            <w:noProof/>
            <w:webHidden/>
          </w:rPr>
          <w:tab/>
        </w:r>
        <w:r>
          <w:rPr>
            <w:noProof/>
            <w:webHidden/>
          </w:rPr>
          <w:fldChar w:fldCharType="begin"/>
        </w:r>
        <w:r>
          <w:rPr>
            <w:noProof/>
            <w:webHidden/>
          </w:rPr>
          <w:instrText xml:space="preserve"> PAGEREF _Toc243900403 \h </w:instrText>
        </w:r>
        <w:r>
          <w:rPr>
            <w:noProof/>
            <w:webHidden/>
          </w:rPr>
        </w:r>
        <w:r>
          <w:rPr>
            <w:noProof/>
            <w:webHidden/>
          </w:rPr>
          <w:fldChar w:fldCharType="separate"/>
        </w:r>
        <w:r>
          <w:rPr>
            <w:noProof/>
            <w:webHidden/>
          </w:rPr>
          <w:t>157</w:t>
        </w:r>
        <w:r>
          <w:rPr>
            <w:noProof/>
            <w:webHidden/>
          </w:rPr>
          <w:fldChar w:fldCharType="end"/>
        </w:r>
      </w:hyperlink>
    </w:p>
    <w:p w14:paraId="0F0A4A1D" w14:textId="635298B6">
      <w:pPr>
        <w:pStyle w:val="TJ2"/>
        <w:rPr>
          <w:rFonts w:asciiTheme="minorHAnsi" w:hAnsiTheme="minorHAnsi" w:cstheme="minorBidi"/>
          <w:noProof/>
          <w:sz w:val="24"/>
          <w:szCs w:val="21"/>
          <w:lang w:eastAsia="en-GB" w:bidi="sa-IN"/>
        </w:rPr>
      </w:pPr>
      <w:hyperlink w:anchor="_Toc243900404" w:history="1">
        <w:r>
          <w:rPr>
            <w:rStyle w:val="Hiperhivatkozs"/>
            <w:noProof/>
            <w:lang w:bidi="ar-SA"/>
          </w:rPr>
          <w:t>11.3. Indicating correspondence to the source</w:t>
        </w:r>
        <w:r>
          <w:rPr>
            <w:noProof/>
            <w:webHidden/>
          </w:rPr>
          <w:tab/>
        </w:r>
        <w:r>
          <w:rPr>
            <w:noProof/>
            <w:webHidden/>
          </w:rPr>
          <w:fldChar w:fldCharType="begin"/>
        </w:r>
        <w:r>
          <w:rPr>
            <w:noProof/>
            <w:webHidden/>
          </w:rPr>
          <w:instrText xml:space="preserve"> PAGEREF _Toc243900404 \h </w:instrText>
        </w:r>
        <w:r>
          <w:rPr>
            <w:noProof/>
            <w:webHidden/>
          </w:rPr>
        </w:r>
        <w:r>
          <w:rPr>
            <w:noProof/>
            <w:webHidden/>
          </w:rPr>
          <w:fldChar w:fldCharType="separate"/>
        </w:r>
        <w:r>
          <w:rPr>
            <w:noProof/>
            <w:webHidden/>
          </w:rPr>
          <w:t>157</w:t>
        </w:r>
        <w:r>
          <w:rPr>
            <w:noProof/>
            <w:webHidden/>
          </w:rPr>
          <w:fldChar w:fldCharType="end"/>
        </w:r>
      </w:hyperlink>
    </w:p>
    <w:p w14:paraId="18C9E7B8" w14:textId="4BB52092">
      <w:pPr>
        <w:pStyle w:val="TJ3"/>
        <w:rPr>
          <w:rFonts w:asciiTheme="minorHAnsi" w:hAnsiTheme="minorHAnsi" w:cstheme="minorBidi"/>
          <w:noProof/>
          <w:sz w:val="24"/>
          <w:szCs w:val="21"/>
          <w:lang w:eastAsia="en-GB" w:bidi="sa-IN"/>
        </w:rPr>
      </w:pPr>
      <w:hyperlink w:anchor="_Toc243900405" w:history="1">
        <w:r>
          <w:rPr>
            <w:rStyle w:val="Hiperhivatkozs"/>
            <w:noProof/>
            <w:lang w:bidi="ar-SA"/>
          </w:rPr>
          <w:t>11.3.1. Referring to lines and stanzas of the source</w:t>
        </w:r>
        <w:r>
          <w:rPr>
            <w:noProof/>
            <w:webHidden/>
          </w:rPr>
          <w:tab/>
        </w:r>
        <w:r>
          <w:rPr>
            <w:noProof/>
            <w:webHidden/>
          </w:rPr>
          <w:fldChar w:fldCharType="begin"/>
        </w:r>
        <w:r>
          <w:rPr>
            <w:noProof/>
            <w:webHidden/>
          </w:rPr>
          <w:instrText xml:space="preserve"> PAGEREF _Toc243900405 \h </w:instrText>
        </w:r>
        <w:r>
          <w:rPr>
            <w:noProof/>
            <w:webHidden/>
          </w:rPr>
        </w:r>
        <w:r>
          <w:rPr>
            <w:noProof/>
            <w:webHidden/>
          </w:rPr>
          <w:fldChar w:fldCharType="separate"/>
        </w:r>
        <w:r>
          <w:rPr>
            <w:noProof/>
            <w:webHidden/>
          </w:rPr>
          <w:t>157</w:t>
        </w:r>
        <w:r>
          <w:rPr>
            <w:noProof/>
            <w:webHidden/>
          </w:rPr>
          <w:fldChar w:fldCharType="end"/>
        </w:r>
      </w:hyperlink>
    </w:p>
    <w:p w14:paraId="14CB45A1" w14:textId="2A9F9FFF">
      <w:pPr>
        <w:pStyle w:val="TJ2"/>
        <w:rPr>
          <w:rFonts w:asciiTheme="minorHAnsi" w:hAnsiTheme="minorHAnsi" w:cstheme="minorBidi"/>
          <w:noProof/>
          <w:sz w:val="24"/>
          <w:szCs w:val="21"/>
          <w:lang w:eastAsia="en-GB" w:bidi="sa-IN"/>
        </w:rPr>
      </w:pPr>
      <w:hyperlink w:anchor="_Toc243900406" w:history="1">
        <w:r>
          <w:rPr>
            <w:rStyle w:val="Hiperhivatkozs"/>
            <w:noProof/>
            <w:lang w:bidi="ar-SA"/>
          </w:rPr>
          <w:t>11.4. Markup within translations</w:t>
        </w:r>
        <w:r>
          <w:rPr>
            <w:noProof/>
            <w:webHidden/>
          </w:rPr>
          <w:tab/>
        </w:r>
        <w:r>
          <w:rPr>
            <w:noProof/>
            <w:webHidden/>
          </w:rPr>
          <w:fldChar w:fldCharType="begin"/>
        </w:r>
        <w:r>
          <w:rPr>
            <w:noProof/>
            <w:webHidden/>
          </w:rPr>
          <w:instrText xml:space="preserve"> PAGEREF _Toc243900406 \h </w:instrText>
        </w:r>
        <w:r>
          <w:rPr>
            <w:noProof/>
            <w:webHidden/>
          </w:rPr>
        </w:r>
        <w:r>
          <w:rPr>
            <w:noProof/>
            <w:webHidden/>
          </w:rPr>
          <w:fldChar w:fldCharType="separate"/>
        </w:r>
        <w:r>
          <w:rPr>
            <w:noProof/>
            <w:webHidden/>
          </w:rPr>
          <w:t>158</w:t>
        </w:r>
        <w:r>
          <w:rPr>
            <w:noProof/>
            <w:webHidden/>
          </w:rPr>
          <w:fldChar w:fldCharType="end"/>
        </w:r>
      </w:hyperlink>
    </w:p>
    <w:p w14:paraId="553AE56A" w14:textId="7D44F4B8">
      <w:pPr>
        <w:pStyle w:val="TJ3"/>
        <w:rPr>
          <w:rFonts w:asciiTheme="minorHAnsi" w:hAnsiTheme="minorHAnsi" w:cstheme="minorBidi"/>
          <w:noProof/>
          <w:sz w:val="24"/>
          <w:szCs w:val="21"/>
          <w:lang w:eastAsia="en-GB" w:bidi="sa-IN"/>
        </w:rPr>
      </w:pPr>
      <w:hyperlink w:anchor="_Toc243900407" w:history="1">
        <w:r>
          <w:rPr>
            <w:rStyle w:val="Hiperhivatkozs"/>
            <w:noProof/>
            <w:lang w:bidi="ar-SA"/>
          </w:rPr>
          <w:t>11.4.1. Globally available markup</w:t>
        </w:r>
        <w:r>
          <w:rPr>
            <w:noProof/>
            <w:webHidden/>
          </w:rPr>
          <w:tab/>
        </w:r>
        <w:r>
          <w:rPr>
            <w:noProof/>
            <w:webHidden/>
          </w:rPr>
          <w:fldChar w:fldCharType="begin"/>
        </w:r>
        <w:r>
          <w:rPr>
            <w:noProof/>
            <w:webHidden/>
          </w:rPr>
          <w:instrText xml:space="preserve"> PAGEREF _Toc243900407 \h </w:instrText>
        </w:r>
        <w:r>
          <w:rPr>
            <w:noProof/>
            <w:webHidden/>
          </w:rPr>
        </w:r>
        <w:r>
          <w:rPr>
            <w:noProof/>
            <w:webHidden/>
          </w:rPr>
          <w:fldChar w:fldCharType="separate"/>
        </w:r>
        <w:r>
          <w:rPr>
            <w:noProof/>
            <w:webHidden/>
          </w:rPr>
          <w:t>158</w:t>
        </w:r>
        <w:r>
          <w:rPr>
            <w:noProof/>
            <w:webHidden/>
          </w:rPr>
          <w:fldChar w:fldCharType="end"/>
        </w:r>
      </w:hyperlink>
    </w:p>
    <w:p w14:paraId="4F7FE8A0" w14:textId="4DA65BF3">
      <w:pPr>
        <w:pStyle w:val="TJ3"/>
        <w:rPr>
          <w:rFonts w:asciiTheme="minorHAnsi" w:hAnsiTheme="minorHAnsi" w:cstheme="minorBidi"/>
          <w:noProof/>
          <w:sz w:val="24"/>
          <w:szCs w:val="21"/>
          <w:lang w:eastAsia="en-GB" w:bidi="sa-IN"/>
        </w:rPr>
      </w:pPr>
      <w:hyperlink w:anchor="_Toc243900408" w:history="1">
        <w:r>
          <w:rPr>
            <w:rStyle w:val="Hiperhivatkozs"/>
            <w:noProof/>
            <w:lang w:bidi="ar-SA"/>
          </w:rPr>
          <w:t>11.4.2. Supplied text in the translation</w:t>
        </w:r>
        <w:r>
          <w:rPr>
            <w:noProof/>
            <w:webHidden/>
          </w:rPr>
          <w:tab/>
        </w:r>
        <w:r>
          <w:rPr>
            <w:noProof/>
            <w:webHidden/>
          </w:rPr>
          <w:fldChar w:fldCharType="begin"/>
        </w:r>
        <w:r>
          <w:rPr>
            <w:noProof/>
            <w:webHidden/>
          </w:rPr>
          <w:instrText xml:space="preserve"> PAGEREF _Toc243900408 \h </w:instrText>
        </w:r>
        <w:r>
          <w:rPr>
            <w:noProof/>
            <w:webHidden/>
          </w:rPr>
        </w:r>
        <w:r>
          <w:rPr>
            <w:noProof/>
            <w:webHidden/>
          </w:rPr>
          <w:fldChar w:fldCharType="separate"/>
        </w:r>
        <w:r>
          <w:rPr>
            <w:noProof/>
            <w:webHidden/>
          </w:rPr>
          <w:t>158</w:t>
        </w:r>
        <w:r>
          <w:rPr>
            <w:noProof/>
            <w:webHidden/>
          </w:rPr>
          <w:fldChar w:fldCharType="end"/>
        </w:r>
      </w:hyperlink>
    </w:p>
    <w:p w14:paraId="790C2926" w14:textId="7CEC3443">
      <w:pPr>
        <w:pStyle w:val="TJ3"/>
        <w:rPr>
          <w:rFonts w:asciiTheme="minorHAnsi" w:hAnsiTheme="minorHAnsi" w:cstheme="minorBidi"/>
          <w:noProof/>
          <w:sz w:val="24"/>
          <w:szCs w:val="21"/>
          <w:lang w:eastAsia="en-GB" w:bidi="sa-IN"/>
        </w:rPr>
      </w:pPr>
      <w:hyperlink w:anchor="_Toc243900409" w:history="1">
        <w:r>
          <w:rPr>
            <w:rStyle w:val="Hiperhivatkozs"/>
            <w:noProof/>
            <w:lang w:bidi="ar-SA"/>
          </w:rPr>
          <w:t>11.4.3. Gaps in the translation</w:t>
        </w:r>
        <w:r>
          <w:rPr>
            <w:noProof/>
            <w:webHidden/>
          </w:rPr>
          <w:tab/>
        </w:r>
        <w:r>
          <w:rPr>
            <w:noProof/>
            <w:webHidden/>
          </w:rPr>
          <w:fldChar w:fldCharType="begin"/>
        </w:r>
        <w:r>
          <w:rPr>
            <w:noProof/>
            <w:webHidden/>
          </w:rPr>
          <w:instrText xml:space="preserve"> PAGEREF _Toc243900409 \h </w:instrText>
        </w:r>
        <w:r>
          <w:rPr>
            <w:noProof/>
            <w:webHidden/>
          </w:rPr>
        </w:r>
        <w:r>
          <w:rPr>
            <w:noProof/>
            <w:webHidden/>
          </w:rPr>
          <w:fldChar w:fldCharType="separate"/>
        </w:r>
        <w:r>
          <w:rPr>
            <w:noProof/>
            <w:webHidden/>
          </w:rPr>
          <w:t>160</w:t>
        </w:r>
        <w:r>
          <w:rPr>
            <w:noProof/>
            <w:webHidden/>
          </w:rPr>
          <w:fldChar w:fldCharType="end"/>
        </w:r>
      </w:hyperlink>
    </w:p>
    <w:p w14:paraId="62938DA4" w14:textId="1FE3E99F">
      <w:pPr>
        <w:pStyle w:val="TJ3"/>
        <w:rPr>
          <w:rFonts w:asciiTheme="minorHAnsi" w:hAnsiTheme="minorHAnsi" w:cstheme="minorBidi"/>
          <w:noProof/>
          <w:sz w:val="24"/>
          <w:szCs w:val="21"/>
          <w:lang w:eastAsia="en-GB" w:bidi="sa-IN"/>
        </w:rPr>
      </w:pPr>
      <w:hyperlink w:anchor="_Toc243900410" w:history="1">
        <w:r>
          <w:rPr>
            <w:rStyle w:val="Hiperhivatkozs"/>
            <w:noProof/>
            <w:lang w:bidi="ar-SA"/>
          </w:rPr>
          <w:t>11.4.4. Tentative translation</w:t>
        </w:r>
        <w:r>
          <w:rPr>
            <w:noProof/>
            <w:webHidden/>
          </w:rPr>
          <w:tab/>
        </w:r>
        <w:r>
          <w:rPr>
            <w:noProof/>
            <w:webHidden/>
          </w:rPr>
          <w:fldChar w:fldCharType="begin"/>
        </w:r>
        <w:r>
          <w:rPr>
            <w:noProof/>
            <w:webHidden/>
          </w:rPr>
          <w:instrText xml:space="preserve"> PAGEREF _Toc243900410 \h </w:instrText>
        </w:r>
        <w:r>
          <w:rPr>
            <w:noProof/>
            <w:webHidden/>
          </w:rPr>
        </w:r>
        <w:r>
          <w:rPr>
            <w:noProof/>
            <w:webHidden/>
          </w:rPr>
          <w:fldChar w:fldCharType="separate"/>
        </w:r>
        <w:r>
          <w:rPr>
            <w:noProof/>
            <w:webHidden/>
          </w:rPr>
          <w:t>161</w:t>
        </w:r>
        <w:r>
          <w:rPr>
            <w:noProof/>
            <w:webHidden/>
          </w:rPr>
          <w:fldChar w:fldCharType="end"/>
        </w:r>
      </w:hyperlink>
    </w:p>
    <w:p w14:paraId="51ADA9B7" w14:textId="0A55AF90">
      <w:pPr>
        <w:pStyle w:val="TJ3"/>
        <w:rPr>
          <w:rFonts w:asciiTheme="minorHAnsi" w:hAnsiTheme="minorHAnsi" w:cstheme="minorBidi"/>
          <w:noProof/>
          <w:sz w:val="24"/>
          <w:szCs w:val="21"/>
          <w:lang w:eastAsia="en-GB" w:bidi="sa-IN"/>
        </w:rPr>
      </w:pPr>
      <w:hyperlink w:anchor="_Toc243900411" w:history="1">
        <w:r>
          <w:rPr>
            <w:rStyle w:val="Hiperhivatkozs"/>
            <w:noProof/>
            <w:lang w:bidi="ar-SA"/>
          </w:rPr>
          <w:t>11.4.5. Incorrect or unexpected text</w:t>
        </w:r>
        <w:r>
          <w:rPr>
            <w:noProof/>
            <w:webHidden/>
          </w:rPr>
          <w:tab/>
        </w:r>
        <w:r>
          <w:rPr>
            <w:noProof/>
            <w:webHidden/>
          </w:rPr>
          <w:fldChar w:fldCharType="begin"/>
        </w:r>
        <w:r>
          <w:rPr>
            <w:noProof/>
            <w:webHidden/>
          </w:rPr>
          <w:instrText xml:space="preserve"> PAGEREF _Toc243900411 \h </w:instrText>
        </w:r>
        <w:r>
          <w:rPr>
            <w:noProof/>
            <w:webHidden/>
          </w:rPr>
        </w:r>
        <w:r>
          <w:rPr>
            <w:noProof/>
            <w:webHidden/>
          </w:rPr>
          <w:fldChar w:fldCharType="separate"/>
        </w:r>
        <w:r>
          <w:rPr>
            <w:noProof/>
            <w:webHidden/>
          </w:rPr>
          <w:t>161</w:t>
        </w:r>
        <w:r>
          <w:rPr>
            <w:noProof/>
            <w:webHidden/>
          </w:rPr>
          <w:fldChar w:fldCharType="end"/>
        </w:r>
      </w:hyperlink>
    </w:p>
    <w:p w14:paraId="0E54A2DB" w14:textId="00A1C687">
      <w:pPr>
        <w:pStyle w:val="TJ3"/>
        <w:rPr>
          <w:rFonts w:asciiTheme="minorHAnsi" w:hAnsiTheme="minorHAnsi" w:cstheme="minorBidi"/>
          <w:noProof/>
          <w:sz w:val="24"/>
          <w:szCs w:val="21"/>
          <w:lang w:eastAsia="en-GB" w:bidi="sa-IN"/>
        </w:rPr>
      </w:pPr>
      <w:hyperlink w:anchor="_Toc243900412" w:history="1">
        <w:r>
          <w:rPr>
            <w:rStyle w:val="Hiperhivatkozs"/>
            <w:noProof/>
            <w:lang w:bidi="ar-SA"/>
          </w:rPr>
          <w:t>11.4.6. Bitextual translation</w:t>
        </w:r>
        <w:r>
          <w:rPr>
            <w:noProof/>
            <w:webHidden/>
          </w:rPr>
          <w:tab/>
        </w:r>
        <w:r>
          <w:rPr>
            <w:noProof/>
            <w:webHidden/>
          </w:rPr>
          <w:fldChar w:fldCharType="begin"/>
        </w:r>
        <w:r>
          <w:rPr>
            <w:noProof/>
            <w:webHidden/>
          </w:rPr>
          <w:instrText xml:space="preserve"> PAGEREF _Toc243900412 \h </w:instrText>
        </w:r>
        <w:r>
          <w:rPr>
            <w:noProof/>
            <w:webHidden/>
          </w:rPr>
        </w:r>
        <w:r>
          <w:rPr>
            <w:noProof/>
            <w:webHidden/>
          </w:rPr>
          <w:fldChar w:fldCharType="separate"/>
        </w:r>
        <w:r>
          <w:rPr>
            <w:noProof/>
            <w:webHidden/>
          </w:rPr>
          <w:t>161</w:t>
        </w:r>
        <w:r>
          <w:rPr>
            <w:noProof/>
            <w:webHidden/>
          </w:rPr>
          <w:fldChar w:fldCharType="end"/>
        </w:r>
      </w:hyperlink>
    </w:p>
    <w:p w14:paraId="5FF86913" w14:textId="0360F7B0">
      <w:pPr>
        <w:pStyle w:val="TJ3"/>
        <w:rPr>
          <w:rFonts w:asciiTheme="minorHAnsi" w:hAnsiTheme="minorHAnsi" w:cstheme="minorBidi"/>
          <w:noProof/>
          <w:sz w:val="24"/>
          <w:szCs w:val="21"/>
          <w:lang w:eastAsia="en-GB" w:bidi="sa-IN"/>
        </w:rPr>
      </w:pPr>
      <w:hyperlink w:anchor="_Toc243900413" w:history="1">
        <w:r>
          <w:rPr>
            <w:rStyle w:val="Hiperhivatkozs"/>
            <w:noProof/>
            <w:lang w:bidi="ar-SA"/>
          </w:rPr>
          <w:t>11.4.7. Original space in the translation</w:t>
        </w:r>
        <w:r>
          <w:rPr>
            <w:noProof/>
            <w:webHidden/>
          </w:rPr>
          <w:tab/>
        </w:r>
        <w:r>
          <w:rPr>
            <w:noProof/>
            <w:webHidden/>
          </w:rPr>
          <w:fldChar w:fldCharType="begin"/>
        </w:r>
        <w:r>
          <w:rPr>
            <w:noProof/>
            <w:webHidden/>
          </w:rPr>
          <w:instrText xml:space="preserve"> PAGEREF _Toc243900413 \h </w:instrText>
        </w:r>
        <w:r>
          <w:rPr>
            <w:noProof/>
            <w:webHidden/>
          </w:rPr>
        </w:r>
        <w:r>
          <w:rPr>
            <w:noProof/>
            <w:webHidden/>
          </w:rPr>
          <w:fldChar w:fldCharType="separate"/>
        </w:r>
        <w:r>
          <w:rPr>
            <w:noProof/>
            <w:webHidden/>
          </w:rPr>
          <w:t>162</w:t>
        </w:r>
        <w:r>
          <w:rPr>
            <w:noProof/>
            <w:webHidden/>
          </w:rPr>
          <w:fldChar w:fldCharType="end"/>
        </w:r>
      </w:hyperlink>
    </w:p>
    <w:p w14:paraId="57E3DC9C" w14:textId="4E0A6E3F">
      <w:pPr>
        <w:pStyle w:val="TJ2"/>
        <w:rPr>
          <w:rFonts w:asciiTheme="minorHAnsi" w:hAnsiTheme="minorHAnsi" w:cstheme="minorBidi"/>
          <w:noProof/>
          <w:sz w:val="24"/>
          <w:szCs w:val="21"/>
          <w:lang w:eastAsia="en-GB" w:bidi="sa-IN"/>
        </w:rPr>
      </w:pPr>
      <w:hyperlink w:anchor="_Toc243900414" w:history="1">
        <w:r>
          <w:rPr>
            <w:rStyle w:val="Hiperhivatkozs"/>
            <w:noProof/>
            <w:lang w:bidi="ar-SA"/>
          </w:rPr>
          <w:t>11.5. Reproducing a published translation</w:t>
        </w:r>
        <w:r>
          <w:rPr>
            <w:noProof/>
            <w:webHidden/>
          </w:rPr>
          <w:tab/>
        </w:r>
        <w:r>
          <w:rPr>
            <w:noProof/>
            <w:webHidden/>
          </w:rPr>
          <w:fldChar w:fldCharType="begin"/>
        </w:r>
        <w:r>
          <w:rPr>
            <w:noProof/>
            <w:webHidden/>
          </w:rPr>
          <w:instrText xml:space="preserve"> PAGEREF _Toc243900414 \h </w:instrText>
        </w:r>
        <w:r>
          <w:rPr>
            <w:noProof/>
            <w:webHidden/>
          </w:rPr>
        </w:r>
        <w:r>
          <w:rPr>
            <w:noProof/>
            <w:webHidden/>
          </w:rPr>
          <w:fldChar w:fldCharType="separate"/>
        </w:r>
        <w:r>
          <w:rPr>
            <w:noProof/>
            <w:webHidden/>
          </w:rPr>
          <w:t>162</w:t>
        </w:r>
        <w:r>
          <w:rPr>
            <w:noProof/>
            <w:webHidden/>
          </w:rPr>
          <w:fldChar w:fldCharType="end"/>
        </w:r>
      </w:hyperlink>
    </w:p>
    <w:p w14:paraId="5B933D4A" w14:textId="4B67BF78">
      <w:pPr>
        <w:pStyle w:val="TJ3"/>
        <w:rPr>
          <w:rFonts w:asciiTheme="minorHAnsi" w:hAnsiTheme="minorHAnsi" w:cstheme="minorBidi"/>
          <w:noProof/>
          <w:sz w:val="24"/>
          <w:szCs w:val="21"/>
          <w:lang w:eastAsia="en-GB" w:bidi="sa-IN"/>
        </w:rPr>
      </w:pPr>
      <w:hyperlink w:anchor="_Toc243900415" w:history="1">
        <w:r>
          <w:rPr>
            <w:rStyle w:val="Hiperhivatkozs"/>
            <w:noProof/>
            <w:lang w:bidi="ar-SA"/>
          </w:rPr>
          <w:t>11.5.1. Adapting a previous translation</w:t>
        </w:r>
        <w:r>
          <w:rPr>
            <w:noProof/>
            <w:webHidden/>
          </w:rPr>
          <w:tab/>
        </w:r>
        <w:r>
          <w:rPr>
            <w:noProof/>
            <w:webHidden/>
          </w:rPr>
          <w:fldChar w:fldCharType="begin"/>
        </w:r>
        <w:r>
          <w:rPr>
            <w:noProof/>
            <w:webHidden/>
          </w:rPr>
          <w:instrText xml:space="preserve"> PAGEREF _Toc243900415 \h </w:instrText>
        </w:r>
        <w:r>
          <w:rPr>
            <w:noProof/>
            <w:webHidden/>
          </w:rPr>
        </w:r>
        <w:r>
          <w:rPr>
            <w:noProof/>
            <w:webHidden/>
          </w:rPr>
          <w:fldChar w:fldCharType="separate"/>
        </w:r>
        <w:r>
          <w:rPr>
            <w:noProof/>
            <w:webHidden/>
          </w:rPr>
          <w:t>162</w:t>
        </w:r>
        <w:r>
          <w:rPr>
            <w:noProof/>
            <w:webHidden/>
          </w:rPr>
          <w:fldChar w:fldCharType="end"/>
        </w:r>
      </w:hyperlink>
    </w:p>
    <w:p w14:paraId="3AA319F3" w14:textId="55476464">
      <w:pPr>
        <w:pStyle w:val="TJ3"/>
        <w:rPr>
          <w:rFonts w:asciiTheme="minorHAnsi" w:hAnsiTheme="minorHAnsi" w:cstheme="minorBidi"/>
          <w:noProof/>
          <w:sz w:val="24"/>
          <w:szCs w:val="21"/>
          <w:lang w:eastAsia="en-GB" w:bidi="sa-IN"/>
        </w:rPr>
      </w:pPr>
      <w:hyperlink w:anchor="_Toc243900416" w:history="1">
        <w:r>
          <w:rPr>
            <w:rStyle w:val="Hiperhivatkozs"/>
            <w:noProof/>
            <w:lang w:bidi="ar-SA"/>
          </w:rPr>
          <w:t>11.5.2. Adopting a previous translation verbatim</w:t>
        </w:r>
        <w:r>
          <w:rPr>
            <w:noProof/>
            <w:webHidden/>
          </w:rPr>
          <w:tab/>
        </w:r>
        <w:r>
          <w:rPr>
            <w:noProof/>
            <w:webHidden/>
          </w:rPr>
          <w:fldChar w:fldCharType="begin"/>
        </w:r>
        <w:r>
          <w:rPr>
            <w:noProof/>
            <w:webHidden/>
          </w:rPr>
          <w:instrText xml:space="preserve"> PAGEREF _Toc243900416 \h </w:instrText>
        </w:r>
        <w:r>
          <w:rPr>
            <w:noProof/>
            <w:webHidden/>
          </w:rPr>
        </w:r>
        <w:r>
          <w:rPr>
            <w:noProof/>
            <w:webHidden/>
          </w:rPr>
          <w:fldChar w:fldCharType="separate"/>
        </w:r>
        <w:r>
          <w:rPr>
            <w:noProof/>
            <w:webHidden/>
          </w:rPr>
          <w:t>162</w:t>
        </w:r>
        <w:r>
          <w:rPr>
            <w:noProof/>
            <w:webHidden/>
          </w:rPr>
          <w:fldChar w:fldCharType="end"/>
        </w:r>
      </w:hyperlink>
    </w:p>
    <w:p w14:paraId="1E273F7E" w14:textId="5ED502C3">
      <w:pPr>
        <w:pStyle w:val="TJ3"/>
        <w:rPr>
          <w:rFonts w:asciiTheme="minorHAnsi" w:hAnsiTheme="minorHAnsi" w:cstheme="minorBidi"/>
          <w:noProof/>
          <w:sz w:val="24"/>
          <w:szCs w:val="21"/>
          <w:lang w:eastAsia="en-GB" w:bidi="sa-IN"/>
        </w:rPr>
      </w:pPr>
      <w:hyperlink w:anchor="_Toc243900417" w:history="1">
        <w:r>
          <w:rPr>
            <w:rStyle w:val="Hiperhivatkozs"/>
            <w:noProof/>
            <w:lang w:bidi="ar-SA"/>
          </w:rPr>
          <w:t>11.5.3. Adopting and adapting notes to a translation</w:t>
        </w:r>
        <w:r>
          <w:rPr>
            <w:noProof/>
            <w:webHidden/>
          </w:rPr>
          <w:tab/>
        </w:r>
        <w:r>
          <w:rPr>
            <w:noProof/>
            <w:webHidden/>
          </w:rPr>
          <w:fldChar w:fldCharType="begin"/>
        </w:r>
        <w:r>
          <w:rPr>
            <w:noProof/>
            <w:webHidden/>
          </w:rPr>
          <w:instrText xml:space="preserve"> PAGEREF _Toc243900417 \h </w:instrText>
        </w:r>
        <w:r>
          <w:rPr>
            <w:noProof/>
            <w:webHidden/>
          </w:rPr>
        </w:r>
        <w:r>
          <w:rPr>
            <w:noProof/>
            <w:webHidden/>
          </w:rPr>
          <w:fldChar w:fldCharType="separate"/>
        </w:r>
        <w:r>
          <w:rPr>
            <w:noProof/>
            <w:webHidden/>
          </w:rPr>
          <w:t>163</w:t>
        </w:r>
        <w:r>
          <w:rPr>
            <w:noProof/>
            <w:webHidden/>
          </w:rPr>
          <w:fldChar w:fldCharType="end"/>
        </w:r>
      </w:hyperlink>
    </w:p>
    <w:p w14:paraId="62BB91CC" w14:textId="6F974C93">
      <w:pPr>
        <w:pStyle w:val="TJ1"/>
        <w:rPr>
          <w:rFonts w:asciiTheme="minorHAnsi" w:hAnsiTheme="minorHAnsi" w:cstheme="minorBidi"/>
          <w:b w:val="0"/>
          <w:noProof/>
          <w:sz w:val="24"/>
          <w:szCs w:val="21"/>
          <w:lang w:eastAsia="en-GB" w:bidi="sa-IN"/>
        </w:rPr>
      </w:pPr>
      <w:hyperlink w:anchor="_Toc243900418" w:history="1">
        <w:r>
          <w:rPr>
            <w:rStyle w:val="Hiperhivatkozs"/>
            <w:noProof/>
            <w:lang w:bidi="ar-SA"/>
          </w:rPr>
          <w:t>12. The commentary</w:t>
        </w:r>
        <w:r>
          <w:rPr>
            <w:noProof/>
            <w:webHidden/>
          </w:rPr>
          <w:tab/>
        </w:r>
        <w:r>
          <w:rPr>
            <w:noProof/>
            <w:webHidden/>
          </w:rPr>
          <w:fldChar w:fldCharType="begin"/>
        </w:r>
        <w:r>
          <w:rPr>
            <w:noProof/>
            <w:webHidden/>
          </w:rPr>
          <w:instrText xml:space="preserve"> PAGEREF _Toc243900418 \h </w:instrText>
        </w:r>
        <w:r>
          <w:rPr>
            <w:noProof/>
            <w:webHidden/>
          </w:rPr>
        </w:r>
        <w:r>
          <w:rPr>
            <w:noProof/>
            <w:webHidden/>
          </w:rPr>
          <w:fldChar w:fldCharType="separate"/>
        </w:r>
        <w:r>
          <w:rPr>
            <w:noProof/>
            <w:webHidden/>
          </w:rPr>
          <w:t>164</w:t>
        </w:r>
        <w:r>
          <w:rPr>
            <w:noProof/>
            <w:webHidden/>
          </w:rPr>
          <w:fldChar w:fldCharType="end"/>
        </w:r>
      </w:hyperlink>
    </w:p>
    <w:p w14:paraId="50D534D2" w14:textId="2F835AFC">
      <w:pPr>
        <w:pStyle w:val="TJ2"/>
        <w:rPr>
          <w:rFonts w:asciiTheme="minorHAnsi" w:hAnsiTheme="minorHAnsi" w:cstheme="minorBidi"/>
          <w:noProof/>
          <w:sz w:val="24"/>
          <w:szCs w:val="21"/>
          <w:lang w:eastAsia="en-GB" w:bidi="sa-IN"/>
        </w:rPr>
      </w:pPr>
      <w:hyperlink w:anchor="_Toc243900419" w:history="1">
        <w:r>
          <w:rPr>
            <w:rStyle w:val="Hiperhivatkozs"/>
            <w:noProof/>
            <w:lang w:bidi="ar-SA"/>
          </w:rPr>
          <w:t>12.1. Encoding the commentary</w:t>
        </w:r>
        <w:r>
          <w:rPr>
            <w:noProof/>
            <w:webHidden/>
          </w:rPr>
          <w:tab/>
        </w:r>
        <w:r>
          <w:rPr>
            <w:noProof/>
            <w:webHidden/>
          </w:rPr>
          <w:fldChar w:fldCharType="begin"/>
        </w:r>
        <w:r>
          <w:rPr>
            <w:noProof/>
            <w:webHidden/>
          </w:rPr>
          <w:instrText xml:space="preserve"> PAGEREF _Toc243900419 \h </w:instrText>
        </w:r>
        <w:r>
          <w:rPr>
            <w:noProof/>
            <w:webHidden/>
          </w:rPr>
        </w:r>
        <w:r>
          <w:rPr>
            <w:noProof/>
            <w:webHidden/>
          </w:rPr>
          <w:fldChar w:fldCharType="separate"/>
        </w:r>
        <w:r>
          <w:rPr>
            <w:noProof/>
            <w:webHidden/>
          </w:rPr>
          <w:t>164</w:t>
        </w:r>
        <w:r>
          <w:rPr>
            <w:noProof/>
            <w:webHidden/>
          </w:rPr>
          <w:fldChar w:fldCharType="end"/>
        </w:r>
      </w:hyperlink>
    </w:p>
    <w:p w14:paraId="1E5843D8" w14:textId="6AFC162E">
      <w:pPr>
        <w:pStyle w:val="TJ3"/>
        <w:rPr>
          <w:rFonts w:asciiTheme="minorHAnsi" w:hAnsiTheme="minorHAnsi" w:cstheme="minorBidi"/>
          <w:noProof/>
          <w:sz w:val="24"/>
          <w:szCs w:val="21"/>
          <w:lang w:eastAsia="en-GB" w:bidi="sa-IN"/>
        </w:rPr>
      </w:pPr>
      <w:hyperlink w:anchor="_Toc243900420" w:history="1">
        <w:r>
          <w:rPr>
            <w:rStyle w:val="Hiperhivatkozs"/>
            <w:noProof/>
            <w:lang w:bidi="ar-SA"/>
          </w:rPr>
          <w:t>12.1.1. Textpart divisions within the commentary</w:t>
        </w:r>
        <w:r>
          <w:rPr>
            <w:noProof/>
            <w:webHidden/>
          </w:rPr>
          <w:tab/>
        </w:r>
        <w:r>
          <w:rPr>
            <w:noProof/>
            <w:webHidden/>
          </w:rPr>
          <w:fldChar w:fldCharType="begin"/>
        </w:r>
        <w:r>
          <w:rPr>
            <w:noProof/>
            <w:webHidden/>
          </w:rPr>
          <w:instrText xml:space="preserve"> PAGEREF _Toc243900420 \h </w:instrText>
        </w:r>
        <w:r>
          <w:rPr>
            <w:noProof/>
            <w:webHidden/>
          </w:rPr>
        </w:r>
        <w:r>
          <w:rPr>
            <w:noProof/>
            <w:webHidden/>
          </w:rPr>
          <w:fldChar w:fldCharType="separate"/>
        </w:r>
        <w:r>
          <w:rPr>
            <w:noProof/>
            <w:webHidden/>
          </w:rPr>
          <w:t>164</w:t>
        </w:r>
        <w:r>
          <w:rPr>
            <w:noProof/>
            <w:webHidden/>
          </w:rPr>
          <w:fldChar w:fldCharType="end"/>
        </w:r>
      </w:hyperlink>
    </w:p>
    <w:p w14:paraId="3B2F69FE" w14:textId="6AAC6558">
      <w:pPr>
        <w:pStyle w:val="TJ2"/>
        <w:rPr>
          <w:rFonts w:asciiTheme="minorHAnsi" w:hAnsiTheme="minorHAnsi" w:cstheme="minorBidi"/>
          <w:noProof/>
          <w:sz w:val="24"/>
          <w:szCs w:val="21"/>
          <w:lang w:eastAsia="en-GB" w:bidi="sa-IN"/>
        </w:rPr>
      </w:pPr>
      <w:hyperlink w:anchor="_Toc243900421" w:history="1">
        <w:r>
          <w:rPr>
            <w:rStyle w:val="Hiperhivatkozs"/>
            <w:noProof/>
            <w:lang w:bidi="ar-SA"/>
          </w:rPr>
          <w:t>12.2. Indicating reference to the text</w:t>
        </w:r>
        <w:r>
          <w:rPr>
            <w:noProof/>
            <w:webHidden/>
          </w:rPr>
          <w:tab/>
        </w:r>
        <w:r>
          <w:rPr>
            <w:noProof/>
            <w:webHidden/>
          </w:rPr>
          <w:fldChar w:fldCharType="begin"/>
        </w:r>
        <w:r>
          <w:rPr>
            <w:noProof/>
            <w:webHidden/>
          </w:rPr>
          <w:instrText xml:space="preserve"> PAGEREF _Toc243900421 \h </w:instrText>
        </w:r>
        <w:r>
          <w:rPr>
            <w:noProof/>
            <w:webHidden/>
          </w:rPr>
        </w:r>
        <w:r>
          <w:rPr>
            <w:noProof/>
            <w:webHidden/>
          </w:rPr>
          <w:fldChar w:fldCharType="separate"/>
        </w:r>
        <w:r>
          <w:rPr>
            <w:noProof/>
            <w:webHidden/>
          </w:rPr>
          <w:t>164</w:t>
        </w:r>
        <w:r>
          <w:rPr>
            <w:noProof/>
            <w:webHidden/>
          </w:rPr>
          <w:fldChar w:fldCharType="end"/>
        </w:r>
      </w:hyperlink>
    </w:p>
    <w:p w14:paraId="25021BC7" w14:textId="34F47C96">
      <w:pPr>
        <w:pStyle w:val="TJ2"/>
        <w:rPr>
          <w:rFonts w:asciiTheme="minorHAnsi" w:hAnsiTheme="minorHAnsi" w:cstheme="minorBidi"/>
          <w:noProof/>
          <w:sz w:val="24"/>
          <w:szCs w:val="21"/>
          <w:lang w:eastAsia="en-GB" w:bidi="sa-IN"/>
        </w:rPr>
      </w:pPr>
      <w:hyperlink w:anchor="_Toc243900422" w:history="1">
        <w:r>
          <w:rPr>
            <w:rStyle w:val="Hiperhivatkozs"/>
            <w:noProof/>
            <w:lang w:bidi="ar-SA"/>
          </w:rPr>
          <w:t>12.3. Markup within the commentary</w:t>
        </w:r>
        <w:r>
          <w:rPr>
            <w:noProof/>
            <w:webHidden/>
          </w:rPr>
          <w:tab/>
        </w:r>
        <w:r>
          <w:rPr>
            <w:noProof/>
            <w:webHidden/>
          </w:rPr>
          <w:fldChar w:fldCharType="begin"/>
        </w:r>
        <w:r>
          <w:rPr>
            <w:noProof/>
            <w:webHidden/>
          </w:rPr>
          <w:instrText xml:space="preserve"> PAGEREF _Toc243900422 \h </w:instrText>
        </w:r>
        <w:r>
          <w:rPr>
            <w:noProof/>
            <w:webHidden/>
          </w:rPr>
        </w:r>
        <w:r>
          <w:rPr>
            <w:noProof/>
            <w:webHidden/>
          </w:rPr>
          <w:fldChar w:fldCharType="separate"/>
        </w:r>
        <w:r>
          <w:rPr>
            <w:noProof/>
            <w:webHidden/>
          </w:rPr>
          <w:t>165</w:t>
        </w:r>
        <w:r>
          <w:rPr>
            <w:noProof/>
            <w:webHidden/>
          </w:rPr>
          <w:fldChar w:fldCharType="end"/>
        </w:r>
      </w:hyperlink>
    </w:p>
    <w:p w14:paraId="5CF06759" w14:textId="4BAC3CC7">
      <w:pPr>
        <w:pStyle w:val="TJ1"/>
        <w:rPr>
          <w:rFonts w:asciiTheme="minorHAnsi" w:hAnsiTheme="minorHAnsi" w:cstheme="minorBidi"/>
          <w:b w:val="0"/>
          <w:noProof/>
          <w:sz w:val="24"/>
          <w:szCs w:val="21"/>
          <w:lang w:eastAsia="en-GB" w:bidi="sa-IN"/>
        </w:rPr>
      </w:pPr>
      <w:hyperlink w:anchor="_Toc243900423" w:history="1">
        <w:r>
          <w:rPr>
            <w:rStyle w:val="Hiperhivatkozs"/>
            <w:noProof/>
            <w:lang w:bidi="ar-SA"/>
          </w:rPr>
          <w:t>13. The bibliography</w:t>
        </w:r>
        <w:r>
          <w:rPr>
            <w:noProof/>
            <w:webHidden/>
          </w:rPr>
          <w:tab/>
        </w:r>
        <w:r>
          <w:rPr>
            <w:noProof/>
            <w:webHidden/>
          </w:rPr>
          <w:fldChar w:fldCharType="begin"/>
        </w:r>
        <w:r>
          <w:rPr>
            <w:noProof/>
            <w:webHidden/>
          </w:rPr>
          <w:instrText xml:space="preserve"> PAGEREF _Toc243900423 \h </w:instrText>
        </w:r>
        <w:r>
          <w:rPr>
            <w:noProof/>
            <w:webHidden/>
          </w:rPr>
        </w:r>
        <w:r>
          <w:rPr>
            <w:noProof/>
            <w:webHidden/>
          </w:rPr>
          <w:fldChar w:fldCharType="separate"/>
        </w:r>
        <w:r>
          <w:rPr>
            <w:noProof/>
            <w:webHidden/>
          </w:rPr>
          <w:t>166</w:t>
        </w:r>
        <w:r>
          <w:rPr>
            <w:noProof/>
            <w:webHidden/>
          </w:rPr>
          <w:fldChar w:fldCharType="end"/>
        </w:r>
      </w:hyperlink>
    </w:p>
    <w:p w14:paraId="0DB9BB2B" w14:textId="24820EF5">
      <w:pPr>
        <w:pStyle w:val="TJ2"/>
        <w:rPr>
          <w:rFonts w:asciiTheme="minorHAnsi" w:hAnsiTheme="minorHAnsi" w:cstheme="minorBidi"/>
          <w:noProof/>
          <w:sz w:val="24"/>
          <w:szCs w:val="21"/>
          <w:lang w:eastAsia="en-GB" w:bidi="sa-IN"/>
        </w:rPr>
      </w:pPr>
      <w:hyperlink w:anchor="_Toc243900424" w:history="1">
        <w:r>
          <w:rPr>
            <w:rStyle w:val="Hiperhivatkozs"/>
            <w:noProof/>
            <w:lang w:bidi="ar-SA"/>
          </w:rPr>
          <w:t>13.1. Encoding the bibliography</w:t>
        </w:r>
        <w:r>
          <w:rPr>
            <w:noProof/>
            <w:webHidden/>
          </w:rPr>
          <w:tab/>
        </w:r>
        <w:r>
          <w:rPr>
            <w:noProof/>
            <w:webHidden/>
          </w:rPr>
          <w:fldChar w:fldCharType="begin"/>
        </w:r>
        <w:r>
          <w:rPr>
            <w:noProof/>
            <w:webHidden/>
          </w:rPr>
          <w:instrText xml:space="preserve"> PAGEREF _Toc243900424 \h </w:instrText>
        </w:r>
        <w:r>
          <w:rPr>
            <w:noProof/>
            <w:webHidden/>
          </w:rPr>
        </w:r>
        <w:r>
          <w:rPr>
            <w:noProof/>
            <w:webHidden/>
          </w:rPr>
          <w:fldChar w:fldCharType="separate"/>
        </w:r>
        <w:r>
          <w:rPr>
            <w:noProof/>
            <w:webHidden/>
          </w:rPr>
          <w:t>166</w:t>
        </w:r>
        <w:r>
          <w:rPr>
            <w:noProof/>
            <w:webHidden/>
          </w:rPr>
          <w:fldChar w:fldCharType="end"/>
        </w:r>
      </w:hyperlink>
    </w:p>
    <w:p w14:paraId="294E2170" w14:textId="7674CFFC">
      <w:pPr>
        <w:pStyle w:val="TJ2"/>
        <w:rPr>
          <w:rFonts w:asciiTheme="minorHAnsi" w:hAnsiTheme="minorHAnsi" w:cstheme="minorBidi"/>
          <w:noProof/>
          <w:sz w:val="24"/>
          <w:szCs w:val="21"/>
          <w:lang w:eastAsia="en-GB" w:bidi="sa-IN"/>
        </w:rPr>
      </w:pPr>
      <w:hyperlink w:anchor="_Toc243900425" w:history="1">
        <w:r>
          <w:rPr>
            <w:rStyle w:val="Hiperhivatkozs"/>
            <w:noProof/>
            <w:lang w:bidi="ar-SA"/>
          </w:rPr>
          <w:t>13.2. The epigraphic lemma</w:t>
        </w:r>
        <w:r>
          <w:rPr>
            <w:noProof/>
            <w:webHidden/>
          </w:rPr>
          <w:tab/>
        </w:r>
        <w:r>
          <w:rPr>
            <w:noProof/>
            <w:webHidden/>
          </w:rPr>
          <w:fldChar w:fldCharType="begin"/>
        </w:r>
        <w:r>
          <w:rPr>
            <w:noProof/>
            <w:webHidden/>
          </w:rPr>
          <w:instrText xml:space="preserve"> PAGEREF _Toc243900425 \h </w:instrText>
        </w:r>
        <w:r>
          <w:rPr>
            <w:noProof/>
            <w:webHidden/>
          </w:rPr>
        </w:r>
        <w:r>
          <w:rPr>
            <w:noProof/>
            <w:webHidden/>
          </w:rPr>
          <w:fldChar w:fldCharType="separate"/>
        </w:r>
        <w:r>
          <w:rPr>
            <w:noProof/>
            <w:webHidden/>
          </w:rPr>
          <w:t>167</w:t>
        </w:r>
        <w:r>
          <w:rPr>
            <w:noProof/>
            <w:webHidden/>
          </w:rPr>
          <w:fldChar w:fldCharType="end"/>
        </w:r>
      </w:hyperlink>
    </w:p>
    <w:p w14:paraId="35657DBC" w14:textId="340201EA">
      <w:pPr>
        <w:pStyle w:val="TJ3"/>
        <w:rPr>
          <w:rFonts w:asciiTheme="minorHAnsi" w:hAnsiTheme="minorHAnsi" w:cstheme="minorBidi"/>
          <w:noProof/>
          <w:sz w:val="24"/>
          <w:szCs w:val="21"/>
          <w:lang w:eastAsia="en-GB" w:bidi="sa-IN"/>
        </w:rPr>
      </w:pPr>
      <w:hyperlink w:anchor="_Toc243900426" w:history="1">
        <w:r>
          <w:rPr>
            <w:rStyle w:val="Hiperhivatkozs"/>
            <w:noProof/>
            <w:lang w:bidi="ar-SA"/>
          </w:rPr>
          <w:t>13.2.1. Markup within the epigraphic lemma</w:t>
        </w:r>
        <w:r>
          <w:rPr>
            <w:noProof/>
            <w:webHidden/>
          </w:rPr>
          <w:tab/>
        </w:r>
        <w:r>
          <w:rPr>
            <w:noProof/>
            <w:webHidden/>
          </w:rPr>
          <w:fldChar w:fldCharType="begin"/>
        </w:r>
        <w:r>
          <w:rPr>
            <w:noProof/>
            <w:webHidden/>
          </w:rPr>
          <w:instrText xml:space="preserve"> PAGEREF _Toc243900426 \h </w:instrText>
        </w:r>
        <w:r>
          <w:rPr>
            <w:noProof/>
            <w:webHidden/>
          </w:rPr>
        </w:r>
        <w:r>
          <w:rPr>
            <w:noProof/>
            <w:webHidden/>
          </w:rPr>
          <w:fldChar w:fldCharType="separate"/>
        </w:r>
        <w:r>
          <w:rPr>
            <w:noProof/>
            <w:webHidden/>
          </w:rPr>
          <w:t>167</w:t>
        </w:r>
        <w:r>
          <w:rPr>
            <w:noProof/>
            <w:webHidden/>
          </w:rPr>
          <w:fldChar w:fldCharType="end"/>
        </w:r>
      </w:hyperlink>
    </w:p>
    <w:p w14:paraId="11956A0B" w14:textId="24AA43A6">
      <w:pPr>
        <w:pStyle w:val="TJ2"/>
        <w:rPr>
          <w:rFonts w:asciiTheme="minorHAnsi" w:hAnsiTheme="minorHAnsi" w:cstheme="minorBidi"/>
          <w:noProof/>
          <w:sz w:val="24"/>
          <w:szCs w:val="21"/>
          <w:lang w:eastAsia="en-GB" w:bidi="sa-IN"/>
        </w:rPr>
      </w:pPr>
      <w:hyperlink w:anchor="_Toc243900427" w:history="1">
        <w:r>
          <w:rPr>
            <w:rStyle w:val="Hiperhivatkozs"/>
            <w:noProof/>
            <w:lang w:bidi="ar-SA"/>
          </w:rPr>
          <w:t>13.3. The structured bibliography</w:t>
        </w:r>
        <w:r>
          <w:rPr>
            <w:noProof/>
            <w:webHidden/>
          </w:rPr>
          <w:tab/>
        </w:r>
        <w:r>
          <w:rPr>
            <w:noProof/>
            <w:webHidden/>
          </w:rPr>
          <w:fldChar w:fldCharType="begin"/>
        </w:r>
        <w:r>
          <w:rPr>
            <w:noProof/>
            <w:webHidden/>
          </w:rPr>
          <w:instrText xml:space="preserve"> PAGEREF _Toc243900427 \h </w:instrText>
        </w:r>
        <w:r>
          <w:rPr>
            <w:noProof/>
            <w:webHidden/>
          </w:rPr>
        </w:r>
        <w:r>
          <w:rPr>
            <w:noProof/>
            <w:webHidden/>
          </w:rPr>
          <w:fldChar w:fldCharType="separate"/>
        </w:r>
        <w:r>
          <w:rPr>
            <w:noProof/>
            <w:webHidden/>
          </w:rPr>
          <w:t>168</w:t>
        </w:r>
        <w:r>
          <w:rPr>
            <w:noProof/>
            <w:webHidden/>
          </w:rPr>
          <w:fldChar w:fldCharType="end"/>
        </w:r>
      </w:hyperlink>
    </w:p>
    <w:p w14:paraId="2C11EC2F" w14:textId="07C87550">
      <w:pPr>
        <w:pStyle w:val="TJ3"/>
        <w:rPr>
          <w:rFonts w:asciiTheme="minorHAnsi" w:hAnsiTheme="minorHAnsi" w:cstheme="minorBidi"/>
          <w:noProof/>
          <w:sz w:val="24"/>
          <w:szCs w:val="21"/>
          <w:lang w:eastAsia="en-GB" w:bidi="sa-IN"/>
        </w:rPr>
      </w:pPr>
      <w:hyperlink w:anchor="_Toc243900428" w:history="1">
        <w:r>
          <w:rPr>
            <w:rStyle w:val="Hiperhivatkozs"/>
            <w:noProof/>
            <w:lang w:bidi="ar-SA"/>
          </w:rPr>
          <w:t>13.3.1. The primary bibliography</w:t>
        </w:r>
        <w:r>
          <w:rPr>
            <w:noProof/>
            <w:webHidden/>
          </w:rPr>
          <w:tab/>
        </w:r>
        <w:r>
          <w:rPr>
            <w:noProof/>
            <w:webHidden/>
          </w:rPr>
          <w:fldChar w:fldCharType="begin"/>
        </w:r>
        <w:r>
          <w:rPr>
            <w:noProof/>
            <w:webHidden/>
          </w:rPr>
          <w:instrText xml:space="preserve"> PAGEREF _Toc243900428 \h </w:instrText>
        </w:r>
        <w:r>
          <w:rPr>
            <w:noProof/>
            <w:webHidden/>
          </w:rPr>
        </w:r>
        <w:r>
          <w:rPr>
            <w:noProof/>
            <w:webHidden/>
          </w:rPr>
          <w:fldChar w:fldCharType="separate"/>
        </w:r>
        <w:r>
          <w:rPr>
            <w:noProof/>
            <w:webHidden/>
          </w:rPr>
          <w:t>168</w:t>
        </w:r>
        <w:r>
          <w:rPr>
            <w:noProof/>
            <w:webHidden/>
          </w:rPr>
          <w:fldChar w:fldCharType="end"/>
        </w:r>
      </w:hyperlink>
    </w:p>
    <w:p w14:paraId="469E85CA" w14:textId="023AD59A">
      <w:pPr>
        <w:pStyle w:val="TJ3"/>
        <w:rPr>
          <w:rFonts w:asciiTheme="minorHAnsi" w:hAnsiTheme="minorHAnsi" w:cstheme="minorBidi"/>
          <w:noProof/>
          <w:sz w:val="24"/>
          <w:szCs w:val="21"/>
          <w:lang w:eastAsia="en-GB" w:bidi="sa-IN"/>
        </w:rPr>
      </w:pPr>
      <w:hyperlink w:anchor="_Toc243900429" w:history="1">
        <w:r>
          <w:rPr>
            <w:rStyle w:val="Hiperhivatkozs"/>
            <w:noProof/>
            <w:lang w:bidi="ar-SA"/>
          </w:rPr>
          <w:t>13.3.2. The secondary bibliography</w:t>
        </w:r>
        <w:r>
          <w:rPr>
            <w:noProof/>
            <w:webHidden/>
          </w:rPr>
          <w:tab/>
        </w:r>
        <w:r>
          <w:rPr>
            <w:noProof/>
            <w:webHidden/>
          </w:rPr>
          <w:fldChar w:fldCharType="begin"/>
        </w:r>
        <w:r>
          <w:rPr>
            <w:noProof/>
            <w:webHidden/>
          </w:rPr>
          <w:instrText xml:space="preserve"> PAGEREF _Toc243900429 \h </w:instrText>
        </w:r>
        <w:r>
          <w:rPr>
            <w:noProof/>
            <w:webHidden/>
          </w:rPr>
        </w:r>
        <w:r>
          <w:rPr>
            <w:noProof/>
            <w:webHidden/>
          </w:rPr>
          <w:fldChar w:fldCharType="separate"/>
        </w:r>
        <w:r>
          <w:rPr>
            <w:noProof/>
            <w:webHidden/>
          </w:rPr>
          <w:t>168</w:t>
        </w:r>
        <w:r>
          <w:rPr>
            <w:noProof/>
            <w:webHidden/>
          </w:rPr>
          <w:fldChar w:fldCharType="end"/>
        </w:r>
      </w:hyperlink>
    </w:p>
    <w:p w14:paraId="4A7F717F" w14:textId="62C7B582">
      <w:pPr>
        <w:pStyle w:val="TJ3"/>
        <w:rPr>
          <w:rFonts w:asciiTheme="minorHAnsi" w:hAnsiTheme="minorHAnsi" w:cstheme="minorBidi"/>
          <w:noProof/>
          <w:sz w:val="24"/>
          <w:szCs w:val="21"/>
          <w:lang w:eastAsia="en-GB" w:bidi="sa-IN"/>
        </w:rPr>
      </w:pPr>
      <w:hyperlink w:anchor="_Toc243900430" w:history="1">
        <w:r>
          <w:rPr>
            <w:rStyle w:val="Hiperhivatkozs"/>
            <w:noProof/>
            <w:lang w:bidi="ar-SA"/>
          </w:rPr>
          <w:t>13.3.3. Bibliographic sigla</w:t>
        </w:r>
        <w:r>
          <w:rPr>
            <w:noProof/>
            <w:webHidden/>
          </w:rPr>
          <w:tab/>
        </w:r>
        <w:r>
          <w:rPr>
            <w:noProof/>
            <w:webHidden/>
          </w:rPr>
          <w:fldChar w:fldCharType="begin"/>
        </w:r>
        <w:r>
          <w:rPr>
            <w:noProof/>
            <w:webHidden/>
          </w:rPr>
          <w:instrText xml:space="preserve"> PAGEREF _Toc243900430 \h </w:instrText>
        </w:r>
        <w:r>
          <w:rPr>
            <w:noProof/>
            <w:webHidden/>
          </w:rPr>
        </w:r>
        <w:r>
          <w:rPr>
            <w:noProof/>
            <w:webHidden/>
          </w:rPr>
          <w:fldChar w:fldCharType="separate"/>
        </w:r>
        <w:r>
          <w:rPr>
            <w:noProof/>
            <w:webHidden/>
          </w:rPr>
          <w:t>168</w:t>
        </w:r>
        <w:r>
          <w:rPr>
            <w:noProof/>
            <w:webHidden/>
          </w:rPr>
          <w:fldChar w:fldCharType="end"/>
        </w:r>
      </w:hyperlink>
    </w:p>
    <w:p w14:paraId="1631EA2F" w14:textId="4F94DC6C">
      <w:pPr>
        <w:pStyle w:val="TJ1"/>
        <w:rPr>
          <w:rFonts w:asciiTheme="minorHAnsi" w:hAnsiTheme="minorHAnsi" w:cstheme="minorBidi"/>
          <w:b w:val="0"/>
          <w:noProof/>
          <w:sz w:val="24"/>
          <w:szCs w:val="21"/>
          <w:lang w:eastAsia="en-GB" w:bidi="sa-IN"/>
        </w:rPr>
      </w:pPr>
      <w:hyperlink w:anchor="_Toc243900431" w:history="1">
        <w:r>
          <w:rPr>
            <w:rStyle w:val="Hiperhivatkozs"/>
            <w:noProof/>
            <w:lang w:bidi="ar-SA"/>
          </w:rPr>
          <w:t>14. Globally available markup outside the edition</w:t>
        </w:r>
        <w:r>
          <w:rPr>
            <w:noProof/>
            <w:webHidden/>
          </w:rPr>
          <w:tab/>
        </w:r>
        <w:r>
          <w:rPr>
            <w:noProof/>
            <w:webHidden/>
          </w:rPr>
          <w:fldChar w:fldCharType="begin"/>
        </w:r>
        <w:r>
          <w:rPr>
            <w:noProof/>
            <w:webHidden/>
          </w:rPr>
          <w:instrText xml:space="preserve"> PAGEREF _Toc243900431 \h </w:instrText>
        </w:r>
        <w:r>
          <w:rPr>
            <w:noProof/>
            <w:webHidden/>
          </w:rPr>
        </w:r>
        <w:r>
          <w:rPr>
            <w:noProof/>
            <w:webHidden/>
          </w:rPr>
          <w:fldChar w:fldCharType="separate"/>
        </w:r>
        <w:r>
          <w:rPr>
            <w:noProof/>
            <w:webHidden/>
          </w:rPr>
          <w:t>170</w:t>
        </w:r>
        <w:r>
          <w:rPr>
            <w:noProof/>
            <w:webHidden/>
          </w:rPr>
          <w:fldChar w:fldCharType="end"/>
        </w:r>
      </w:hyperlink>
    </w:p>
    <w:p w14:paraId="13F1C6C6" w14:textId="49951334">
      <w:pPr>
        <w:pStyle w:val="TJ2"/>
        <w:rPr>
          <w:rFonts w:asciiTheme="minorHAnsi" w:hAnsiTheme="minorHAnsi" w:cstheme="minorBidi"/>
          <w:noProof/>
          <w:sz w:val="24"/>
          <w:szCs w:val="21"/>
          <w:lang w:eastAsia="en-GB" w:bidi="sa-IN"/>
        </w:rPr>
      </w:pPr>
      <w:hyperlink w:anchor="_Toc243900432" w:history="1">
        <w:r>
          <w:rPr>
            <w:rStyle w:val="Hiperhivatkozs"/>
            <w:noProof/>
            <w:lang w:bidi="ar-SA"/>
          </w:rPr>
          <w:t>14.1. Using editorial markup outside the edition</w:t>
        </w:r>
        <w:r>
          <w:rPr>
            <w:noProof/>
            <w:webHidden/>
          </w:rPr>
          <w:tab/>
        </w:r>
        <w:r>
          <w:rPr>
            <w:noProof/>
            <w:webHidden/>
          </w:rPr>
          <w:fldChar w:fldCharType="begin"/>
        </w:r>
        <w:r>
          <w:rPr>
            <w:noProof/>
            <w:webHidden/>
          </w:rPr>
          <w:instrText xml:space="preserve"> PAGEREF _Toc243900432 \h </w:instrText>
        </w:r>
        <w:r>
          <w:rPr>
            <w:noProof/>
            <w:webHidden/>
          </w:rPr>
        </w:r>
        <w:r>
          <w:rPr>
            <w:noProof/>
            <w:webHidden/>
          </w:rPr>
          <w:fldChar w:fldCharType="separate"/>
        </w:r>
        <w:r>
          <w:rPr>
            <w:noProof/>
            <w:webHidden/>
          </w:rPr>
          <w:t>170</w:t>
        </w:r>
        <w:r>
          <w:rPr>
            <w:noProof/>
            <w:webHidden/>
          </w:rPr>
          <w:fldChar w:fldCharType="end"/>
        </w:r>
      </w:hyperlink>
    </w:p>
    <w:p w14:paraId="3D634829" w14:textId="05F36103">
      <w:pPr>
        <w:pStyle w:val="TJ2"/>
        <w:rPr>
          <w:rFonts w:asciiTheme="minorHAnsi" w:hAnsiTheme="minorHAnsi" w:cstheme="minorBidi"/>
          <w:noProof/>
          <w:sz w:val="24"/>
          <w:szCs w:val="21"/>
          <w:lang w:eastAsia="en-GB" w:bidi="sa-IN"/>
        </w:rPr>
      </w:pPr>
      <w:hyperlink w:anchor="_Toc243900433" w:history="1">
        <w:r>
          <w:rPr>
            <w:rStyle w:val="Hiperhivatkozs"/>
            <w:noProof/>
            <w:lang w:bidi="ar-SA"/>
          </w:rPr>
          <w:t>14.2. Character formatting</w:t>
        </w:r>
        <w:r>
          <w:rPr>
            <w:noProof/>
            <w:webHidden/>
          </w:rPr>
          <w:tab/>
        </w:r>
        <w:r>
          <w:rPr>
            <w:noProof/>
            <w:webHidden/>
          </w:rPr>
          <w:fldChar w:fldCharType="begin"/>
        </w:r>
        <w:r>
          <w:rPr>
            <w:noProof/>
            <w:webHidden/>
          </w:rPr>
          <w:instrText xml:space="preserve"> PAGEREF _Toc243900433 \h </w:instrText>
        </w:r>
        <w:r>
          <w:rPr>
            <w:noProof/>
            <w:webHidden/>
          </w:rPr>
        </w:r>
        <w:r>
          <w:rPr>
            <w:noProof/>
            <w:webHidden/>
          </w:rPr>
          <w:fldChar w:fldCharType="separate"/>
        </w:r>
        <w:r>
          <w:rPr>
            <w:noProof/>
            <w:webHidden/>
          </w:rPr>
          <w:t>170</w:t>
        </w:r>
        <w:r>
          <w:rPr>
            <w:noProof/>
            <w:webHidden/>
          </w:rPr>
          <w:fldChar w:fldCharType="end"/>
        </w:r>
      </w:hyperlink>
    </w:p>
    <w:p w14:paraId="24D42982" w14:textId="1C8C3FFD">
      <w:pPr>
        <w:pStyle w:val="TJ3"/>
        <w:rPr>
          <w:rFonts w:asciiTheme="minorHAnsi" w:hAnsiTheme="minorHAnsi" w:cstheme="minorBidi"/>
          <w:noProof/>
          <w:sz w:val="24"/>
          <w:szCs w:val="21"/>
          <w:lang w:eastAsia="en-GB" w:bidi="sa-IN"/>
        </w:rPr>
      </w:pPr>
      <w:hyperlink w:anchor="_Toc243900434" w:history="1">
        <w:r>
          <w:rPr>
            <w:rStyle w:val="Hiperhivatkozs"/>
            <w:noProof/>
            <w:lang w:bidi="ar-SA"/>
          </w:rPr>
          <w:t>14.2.1. Emphasis</w:t>
        </w:r>
        <w:r>
          <w:rPr>
            <w:noProof/>
            <w:webHidden/>
          </w:rPr>
          <w:tab/>
        </w:r>
        <w:r>
          <w:rPr>
            <w:noProof/>
            <w:webHidden/>
          </w:rPr>
          <w:fldChar w:fldCharType="begin"/>
        </w:r>
        <w:r>
          <w:rPr>
            <w:noProof/>
            <w:webHidden/>
          </w:rPr>
          <w:instrText xml:space="preserve"> PAGEREF _Toc243900434 \h </w:instrText>
        </w:r>
        <w:r>
          <w:rPr>
            <w:noProof/>
            <w:webHidden/>
          </w:rPr>
        </w:r>
        <w:r>
          <w:rPr>
            <w:noProof/>
            <w:webHidden/>
          </w:rPr>
          <w:fldChar w:fldCharType="separate"/>
        </w:r>
        <w:r>
          <w:rPr>
            <w:noProof/>
            <w:webHidden/>
          </w:rPr>
          <w:t>171</w:t>
        </w:r>
        <w:r>
          <w:rPr>
            <w:noProof/>
            <w:webHidden/>
          </w:rPr>
          <w:fldChar w:fldCharType="end"/>
        </w:r>
      </w:hyperlink>
    </w:p>
    <w:p w14:paraId="7A49272E" w14:textId="768C9AB3">
      <w:pPr>
        <w:pStyle w:val="TJ3"/>
        <w:rPr>
          <w:rFonts w:asciiTheme="minorHAnsi" w:hAnsiTheme="minorHAnsi" w:cstheme="minorBidi"/>
          <w:noProof/>
          <w:sz w:val="24"/>
          <w:szCs w:val="21"/>
          <w:lang w:eastAsia="en-GB" w:bidi="sa-IN"/>
        </w:rPr>
      </w:pPr>
      <w:hyperlink w:anchor="_Toc243900435" w:history="1">
        <w:r>
          <w:rPr>
            <w:rStyle w:val="Hiperhivatkozs"/>
            <w:noProof/>
            <w:lang w:bidi="ar-SA"/>
          </w:rPr>
          <w:t>14.2.2. Subscript and superscript</w:t>
        </w:r>
        <w:r>
          <w:rPr>
            <w:noProof/>
            <w:webHidden/>
          </w:rPr>
          <w:tab/>
        </w:r>
        <w:r>
          <w:rPr>
            <w:noProof/>
            <w:webHidden/>
          </w:rPr>
          <w:fldChar w:fldCharType="begin"/>
        </w:r>
        <w:r>
          <w:rPr>
            <w:noProof/>
            <w:webHidden/>
          </w:rPr>
          <w:instrText xml:space="preserve"> PAGEREF _Toc243900435 \h </w:instrText>
        </w:r>
        <w:r>
          <w:rPr>
            <w:noProof/>
            <w:webHidden/>
          </w:rPr>
        </w:r>
        <w:r>
          <w:rPr>
            <w:noProof/>
            <w:webHidden/>
          </w:rPr>
          <w:fldChar w:fldCharType="separate"/>
        </w:r>
        <w:r>
          <w:rPr>
            <w:noProof/>
            <w:webHidden/>
          </w:rPr>
          <w:t>171</w:t>
        </w:r>
        <w:r>
          <w:rPr>
            <w:noProof/>
            <w:webHidden/>
          </w:rPr>
          <w:fldChar w:fldCharType="end"/>
        </w:r>
      </w:hyperlink>
    </w:p>
    <w:p w14:paraId="63711070" w14:textId="2B6069E3">
      <w:pPr>
        <w:pStyle w:val="TJ3"/>
        <w:rPr>
          <w:rFonts w:asciiTheme="minorHAnsi" w:hAnsiTheme="minorHAnsi" w:cstheme="minorBidi"/>
          <w:noProof/>
          <w:sz w:val="24"/>
          <w:szCs w:val="21"/>
          <w:lang w:eastAsia="en-GB" w:bidi="sa-IN"/>
        </w:rPr>
      </w:pPr>
      <w:hyperlink w:anchor="_Toc243900436" w:history="1">
        <w:r>
          <w:rPr>
            <w:rStyle w:val="Hiperhivatkozs"/>
            <w:noProof/>
            <w:lang w:bidi="ar-SA"/>
          </w:rPr>
          <w:t>14.2.3. Grantha script</w:t>
        </w:r>
        <w:r>
          <w:rPr>
            <w:noProof/>
            <w:webHidden/>
          </w:rPr>
          <w:tab/>
        </w:r>
        <w:r>
          <w:rPr>
            <w:noProof/>
            <w:webHidden/>
          </w:rPr>
          <w:fldChar w:fldCharType="begin"/>
        </w:r>
        <w:r>
          <w:rPr>
            <w:noProof/>
            <w:webHidden/>
          </w:rPr>
          <w:instrText xml:space="preserve"> PAGEREF _Toc243900436 \h </w:instrText>
        </w:r>
        <w:r>
          <w:rPr>
            <w:noProof/>
            <w:webHidden/>
          </w:rPr>
        </w:r>
        <w:r>
          <w:rPr>
            <w:noProof/>
            <w:webHidden/>
          </w:rPr>
          <w:fldChar w:fldCharType="separate"/>
        </w:r>
        <w:r>
          <w:rPr>
            <w:noProof/>
            <w:webHidden/>
          </w:rPr>
          <w:t>171</w:t>
        </w:r>
        <w:r>
          <w:rPr>
            <w:noProof/>
            <w:webHidden/>
          </w:rPr>
          <w:fldChar w:fldCharType="end"/>
        </w:r>
      </w:hyperlink>
    </w:p>
    <w:p w14:paraId="039074EE" w14:textId="01311132">
      <w:pPr>
        <w:pStyle w:val="TJ3"/>
        <w:rPr>
          <w:rFonts w:asciiTheme="minorHAnsi" w:hAnsiTheme="minorHAnsi" w:cstheme="minorBidi"/>
          <w:noProof/>
          <w:sz w:val="24"/>
          <w:szCs w:val="21"/>
          <w:lang w:eastAsia="en-GB" w:bidi="sa-IN"/>
        </w:rPr>
      </w:pPr>
      <w:hyperlink w:anchor="_Toc243900437" w:history="1">
        <w:r>
          <w:rPr>
            <w:rStyle w:val="Hiperhivatkozs"/>
            <w:noProof/>
            <w:lang w:bidi="ar-SA"/>
          </w:rPr>
          <w:t>14.2.4. Highlighting for review</w:t>
        </w:r>
        <w:r>
          <w:rPr>
            <w:noProof/>
            <w:webHidden/>
          </w:rPr>
          <w:tab/>
        </w:r>
        <w:r>
          <w:rPr>
            <w:noProof/>
            <w:webHidden/>
          </w:rPr>
          <w:fldChar w:fldCharType="begin"/>
        </w:r>
        <w:r>
          <w:rPr>
            <w:noProof/>
            <w:webHidden/>
          </w:rPr>
          <w:instrText xml:space="preserve"> PAGEREF _Toc243900437 \h </w:instrText>
        </w:r>
        <w:r>
          <w:rPr>
            <w:noProof/>
            <w:webHidden/>
          </w:rPr>
        </w:r>
        <w:r>
          <w:rPr>
            <w:noProof/>
            <w:webHidden/>
          </w:rPr>
          <w:fldChar w:fldCharType="separate"/>
        </w:r>
        <w:r>
          <w:rPr>
            <w:noProof/>
            <w:webHidden/>
          </w:rPr>
          <w:t>171</w:t>
        </w:r>
        <w:r>
          <w:rPr>
            <w:noProof/>
            <w:webHidden/>
          </w:rPr>
          <w:fldChar w:fldCharType="end"/>
        </w:r>
      </w:hyperlink>
    </w:p>
    <w:p w14:paraId="57E27293" w14:textId="4944A635">
      <w:pPr>
        <w:pStyle w:val="TJ2"/>
        <w:rPr>
          <w:rFonts w:asciiTheme="minorHAnsi" w:hAnsiTheme="minorHAnsi" w:cstheme="minorBidi"/>
          <w:noProof/>
          <w:sz w:val="24"/>
          <w:szCs w:val="21"/>
          <w:lang w:eastAsia="en-GB" w:bidi="sa-IN"/>
        </w:rPr>
      </w:pPr>
      <w:hyperlink w:anchor="_Toc243900438" w:history="1">
        <w:r>
          <w:rPr>
            <w:rStyle w:val="Hiperhivatkozs"/>
            <w:noProof/>
            <w:lang w:bidi="ar-SA"/>
          </w:rPr>
          <w:t>14.3. Block-level containers outside the edition</w:t>
        </w:r>
        <w:r>
          <w:rPr>
            <w:noProof/>
            <w:webHidden/>
          </w:rPr>
          <w:tab/>
        </w:r>
        <w:r>
          <w:rPr>
            <w:noProof/>
            <w:webHidden/>
          </w:rPr>
          <w:fldChar w:fldCharType="begin"/>
        </w:r>
        <w:r>
          <w:rPr>
            <w:noProof/>
            <w:webHidden/>
          </w:rPr>
          <w:instrText xml:space="preserve"> PAGEREF _Toc243900438 \h </w:instrText>
        </w:r>
        <w:r>
          <w:rPr>
            <w:noProof/>
            <w:webHidden/>
          </w:rPr>
        </w:r>
        <w:r>
          <w:rPr>
            <w:noProof/>
            <w:webHidden/>
          </w:rPr>
          <w:fldChar w:fldCharType="separate"/>
        </w:r>
        <w:r>
          <w:rPr>
            <w:noProof/>
            <w:webHidden/>
          </w:rPr>
          <w:t>171</w:t>
        </w:r>
        <w:r>
          <w:rPr>
            <w:noProof/>
            <w:webHidden/>
          </w:rPr>
          <w:fldChar w:fldCharType="end"/>
        </w:r>
      </w:hyperlink>
    </w:p>
    <w:p w14:paraId="25526060" w14:textId="17C438ED">
      <w:pPr>
        <w:pStyle w:val="TJ3"/>
        <w:rPr>
          <w:rFonts w:asciiTheme="minorHAnsi" w:hAnsiTheme="minorHAnsi" w:cstheme="minorBidi"/>
          <w:noProof/>
          <w:sz w:val="24"/>
          <w:szCs w:val="21"/>
          <w:lang w:eastAsia="en-GB" w:bidi="sa-IN"/>
        </w:rPr>
      </w:pPr>
      <w:hyperlink w:anchor="_Toc243900439" w:history="1">
        <w:r>
          <w:rPr>
            <w:rStyle w:val="Hiperhivatkozs"/>
            <w:noProof/>
            <w:lang w:bidi="ar-SA"/>
          </w:rPr>
          <w:t>14.3.1. Paragraphs</w:t>
        </w:r>
        <w:r>
          <w:rPr>
            <w:noProof/>
            <w:webHidden/>
          </w:rPr>
          <w:tab/>
        </w:r>
        <w:r>
          <w:rPr>
            <w:noProof/>
            <w:webHidden/>
          </w:rPr>
          <w:fldChar w:fldCharType="begin"/>
        </w:r>
        <w:r>
          <w:rPr>
            <w:noProof/>
            <w:webHidden/>
          </w:rPr>
          <w:instrText xml:space="preserve"> PAGEREF _Toc243900439 \h </w:instrText>
        </w:r>
        <w:r>
          <w:rPr>
            <w:noProof/>
            <w:webHidden/>
          </w:rPr>
        </w:r>
        <w:r>
          <w:rPr>
            <w:noProof/>
            <w:webHidden/>
          </w:rPr>
          <w:fldChar w:fldCharType="separate"/>
        </w:r>
        <w:r>
          <w:rPr>
            <w:noProof/>
            <w:webHidden/>
          </w:rPr>
          <w:t>171</w:t>
        </w:r>
        <w:r>
          <w:rPr>
            <w:noProof/>
            <w:webHidden/>
          </w:rPr>
          <w:fldChar w:fldCharType="end"/>
        </w:r>
      </w:hyperlink>
    </w:p>
    <w:p w14:paraId="6447F6B9" w14:textId="75C52334">
      <w:pPr>
        <w:pStyle w:val="TJ3"/>
        <w:rPr>
          <w:rFonts w:asciiTheme="minorHAnsi" w:hAnsiTheme="minorHAnsi" w:cstheme="minorBidi"/>
          <w:noProof/>
          <w:sz w:val="24"/>
          <w:szCs w:val="21"/>
          <w:lang w:eastAsia="en-GB" w:bidi="sa-IN"/>
        </w:rPr>
      </w:pPr>
      <w:hyperlink w:anchor="_Toc243900440" w:history="1">
        <w:r>
          <w:rPr>
            <w:rStyle w:val="Hiperhivatkozs"/>
            <w:noProof/>
            <w:lang w:bidi="ar-SA"/>
          </w:rPr>
          <w:t>14.3.2. Verse containers</w:t>
        </w:r>
        <w:r>
          <w:rPr>
            <w:noProof/>
            <w:webHidden/>
          </w:rPr>
          <w:tab/>
        </w:r>
        <w:r>
          <w:rPr>
            <w:noProof/>
            <w:webHidden/>
          </w:rPr>
          <w:fldChar w:fldCharType="begin"/>
        </w:r>
        <w:r>
          <w:rPr>
            <w:noProof/>
            <w:webHidden/>
          </w:rPr>
          <w:instrText xml:space="preserve"> PAGEREF _Toc243900440 \h </w:instrText>
        </w:r>
        <w:r>
          <w:rPr>
            <w:noProof/>
            <w:webHidden/>
          </w:rPr>
        </w:r>
        <w:r>
          <w:rPr>
            <w:noProof/>
            <w:webHidden/>
          </w:rPr>
          <w:fldChar w:fldCharType="separate"/>
        </w:r>
        <w:r>
          <w:rPr>
            <w:noProof/>
            <w:webHidden/>
          </w:rPr>
          <w:t>172</w:t>
        </w:r>
        <w:r>
          <w:rPr>
            <w:noProof/>
            <w:webHidden/>
          </w:rPr>
          <w:fldChar w:fldCharType="end"/>
        </w:r>
      </w:hyperlink>
    </w:p>
    <w:p w14:paraId="37D10BB9" w14:textId="279EE19F">
      <w:pPr>
        <w:pStyle w:val="TJ3"/>
        <w:rPr>
          <w:rFonts w:asciiTheme="minorHAnsi" w:hAnsiTheme="minorHAnsi" w:cstheme="minorBidi"/>
          <w:noProof/>
          <w:sz w:val="24"/>
          <w:szCs w:val="21"/>
          <w:lang w:eastAsia="en-GB" w:bidi="sa-IN"/>
        </w:rPr>
      </w:pPr>
      <w:hyperlink w:anchor="_Toc243900441" w:history="1">
        <w:r>
          <w:rPr>
            <w:rStyle w:val="Hiperhivatkozs"/>
            <w:noProof/>
            <w:lang w:bidi="ar-SA"/>
          </w:rPr>
          <w:t>14.3.3. Block quotes</w:t>
        </w:r>
        <w:r>
          <w:rPr>
            <w:noProof/>
            <w:webHidden/>
          </w:rPr>
          <w:tab/>
        </w:r>
        <w:r>
          <w:rPr>
            <w:noProof/>
            <w:webHidden/>
          </w:rPr>
          <w:fldChar w:fldCharType="begin"/>
        </w:r>
        <w:r>
          <w:rPr>
            <w:noProof/>
            <w:webHidden/>
          </w:rPr>
          <w:instrText xml:space="preserve"> PAGEREF _Toc243900441 \h </w:instrText>
        </w:r>
        <w:r>
          <w:rPr>
            <w:noProof/>
            <w:webHidden/>
          </w:rPr>
        </w:r>
        <w:r>
          <w:rPr>
            <w:noProof/>
            <w:webHidden/>
          </w:rPr>
          <w:fldChar w:fldCharType="separate"/>
        </w:r>
        <w:r>
          <w:rPr>
            <w:noProof/>
            <w:webHidden/>
          </w:rPr>
          <w:t>172</w:t>
        </w:r>
        <w:r>
          <w:rPr>
            <w:noProof/>
            <w:webHidden/>
          </w:rPr>
          <w:fldChar w:fldCharType="end"/>
        </w:r>
      </w:hyperlink>
    </w:p>
    <w:p w14:paraId="69BB7CFD" w14:textId="2EE3D46C">
      <w:pPr>
        <w:pStyle w:val="TJ3"/>
        <w:rPr>
          <w:rFonts w:asciiTheme="minorHAnsi" w:hAnsiTheme="minorHAnsi" w:cstheme="minorBidi"/>
          <w:noProof/>
          <w:sz w:val="24"/>
          <w:szCs w:val="21"/>
          <w:lang w:eastAsia="en-GB" w:bidi="sa-IN"/>
        </w:rPr>
      </w:pPr>
      <w:hyperlink w:anchor="_Toc243900442" w:history="1">
        <w:r>
          <w:rPr>
            <w:rStyle w:val="Hiperhivatkozs"/>
            <w:noProof/>
            <w:lang w:bidi="ar-SA"/>
          </w:rPr>
          <w:t>14.3.4. Lists</w:t>
        </w:r>
        <w:r>
          <w:rPr>
            <w:noProof/>
            <w:webHidden/>
          </w:rPr>
          <w:tab/>
        </w:r>
        <w:r>
          <w:rPr>
            <w:noProof/>
            <w:webHidden/>
          </w:rPr>
          <w:fldChar w:fldCharType="begin"/>
        </w:r>
        <w:r>
          <w:rPr>
            <w:noProof/>
            <w:webHidden/>
          </w:rPr>
          <w:instrText xml:space="preserve"> PAGEREF _Toc243900442 \h </w:instrText>
        </w:r>
        <w:r>
          <w:rPr>
            <w:noProof/>
            <w:webHidden/>
          </w:rPr>
        </w:r>
        <w:r>
          <w:rPr>
            <w:noProof/>
            <w:webHidden/>
          </w:rPr>
          <w:fldChar w:fldCharType="separate"/>
        </w:r>
        <w:r>
          <w:rPr>
            <w:noProof/>
            <w:webHidden/>
          </w:rPr>
          <w:t>172</w:t>
        </w:r>
        <w:r>
          <w:rPr>
            <w:noProof/>
            <w:webHidden/>
          </w:rPr>
          <w:fldChar w:fldCharType="end"/>
        </w:r>
      </w:hyperlink>
    </w:p>
    <w:p w14:paraId="58B6EC5F" w14:textId="722C9C88">
      <w:pPr>
        <w:pStyle w:val="TJ2"/>
        <w:rPr>
          <w:rFonts w:asciiTheme="minorHAnsi" w:hAnsiTheme="minorHAnsi" w:cstheme="minorBidi"/>
          <w:noProof/>
          <w:sz w:val="24"/>
          <w:szCs w:val="21"/>
          <w:lang w:eastAsia="en-GB" w:bidi="sa-IN"/>
        </w:rPr>
      </w:pPr>
      <w:hyperlink w:anchor="_Toc243900443" w:history="1">
        <w:r>
          <w:rPr>
            <w:rStyle w:val="Hiperhivatkozs"/>
            <w:noProof/>
            <w:lang w:bidi="ar-SA"/>
          </w:rPr>
          <w:t>14.4. Languages</w:t>
        </w:r>
        <w:r>
          <w:rPr>
            <w:noProof/>
            <w:webHidden/>
          </w:rPr>
          <w:tab/>
        </w:r>
        <w:r>
          <w:rPr>
            <w:noProof/>
            <w:webHidden/>
          </w:rPr>
          <w:fldChar w:fldCharType="begin"/>
        </w:r>
        <w:r>
          <w:rPr>
            <w:noProof/>
            <w:webHidden/>
          </w:rPr>
          <w:instrText xml:space="preserve"> PAGEREF _Toc243900443 \h </w:instrText>
        </w:r>
        <w:r>
          <w:rPr>
            <w:noProof/>
            <w:webHidden/>
          </w:rPr>
        </w:r>
        <w:r>
          <w:rPr>
            <w:noProof/>
            <w:webHidden/>
          </w:rPr>
          <w:fldChar w:fldCharType="separate"/>
        </w:r>
        <w:r>
          <w:rPr>
            <w:noProof/>
            <w:webHidden/>
          </w:rPr>
          <w:t>174</w:t>
        </w:r>
        <w:r>
          <w:rPr>
            <w:noProof/>
            <w:webHidden/>
          </w:rPr>
          <w:fldChar w:fldCharType="end"/>
        </w:r>
      </w:hyperlink>
    </w:p>
    <w:p w14:paraId="7C96D904" w14:textId="6144BDC8">
      <w:pPr>
        <w:pStyle w:val="TJ3"/>
        <w:rPr>
          <w:rFonts w:asciiTheme="minorHAnsi" w:hAnsiTheme="minorHAnsi" w:cstheme="minorBidi"/>
          <w:noProof/>
          <w:sz w:val="24"/>
          <w:szCs w:val="21"/>
          <w:lang w:eastAsia="en-GB" w:bidi="sa-IN"/>
        </w:rPr>
      </w:pPr>
      <w:hyperlink w:anchor="_Toc243900444" w:history="1">
        <w:r>
          <w:rPr>
            <w:rStyle w:val="Hiperhivatkozs"/>
            <w:noProof/>
            <w:lang w:bidi="ar-SA"/>
          </w:rPr>
          <w:t>14.4.1. Encoding language</w:t>
        </w:r>
        <w:r>
          <w:rPr>
            <w:noProof/>
            <w:webHidden/>
          </w:rPr>
          <w:tab/>
        </w:r>
        <w:r>
          <w:rPr>
            <w:noProof/>
            <w:webHidden/>
          </w:rPr>
          <w:fldChar w:fldCharType="begin"/>
        </w:r>
        <w:r>
          <w:rPr>
            <w:noProof/>
            <w:webHidden/>
          </w:rPr>
          <w:instrText xml:space="preserve"> PAGEREF _Toc243900444 \h </w:instrText>
        </w:r>
        <w:r>
          <w:rPr>
            <w:noProof/>
            <w:webHidden/>
          </w:rPr>
        </w:r>
        <w:r>
          <w:rPr>
            <w:noProof/>
            <w:webHidden/>
          </w:rPr>
          <w:fldChar w:fldCharType="separate"/>
        </w:r>
        <w:r>
          <w:rPr>
            <w:noProof/>
            <w:webHidden/>
          </w:rPr>
          <w:t>174</w:t>
        </w:r>
        <w:r>
          <w:rPr>
            <w:noProof/>
            <w:webHidden/>
          </w:rPr>
          <w:fldChar w:fldCharType="end"/>
        </w:r>
      </w:hyperlink>
    </w:p>
    <w:p w14:paraId="42106CDB" w14:textId="78CB4CBE">
      <w:pPr>
        <w:pStyle w:val="TJ3"/>
        <w:rPr>
          <w:rFonts w:asciiTheme="minorHAnsi" w:hAnsiTheme="minorHAnsi" w:cstheme="minorBidi"/>
          <w:noProof/>
          <w:sz w:val="24"/>
          <w:szCs w:val="21"/>
          <w:lang w:eastAsia="en-GB" w:bidi="sa-IN"/>
        </w:rPr>
      </w:pPr>
      <w:hyperlink w:anchor="_Toc243900445" w:history="1">
        <w:r>
          <w:rPr>
            <w:rStyle w:val="Hiperhivatkozs"/>
            <w:noProof/>
            <w:lang w:bidi="ar-SA"/>
          </w:rPr>
          <w:t>14.4.2. Tagging foreign languages outside the edition</w:t>
        </w:r>
        <w:r>
          <w:rPr>
            <w:noProof/>
            <w:webHidden/>
          </w:rPr>
          <w:tab/>
        </w:r>
        <w:r>
          <w:rPr>
            <w:noProof/>
            <w:webHidden/>
          </w:rPr>
          <w:fldChar w:fldCharType="begin"/>
        </w:r>
        <w:r>
          <w:rPr>
            <w:noProof/>
            <w:webHidden/>
          </w:rPr>
          <w:instrText xml:space="preserve"> PAGEREF _Toc243900445 \h </w:instrText>
        </w:r>
        <w:r>
          <w:rPr>
            <w:noProof/>
            <w:webHidden/>
          </w:rPr>
        </w:r>
        <w:r>
          <w:rPr>
            <w:noProof/>
            <w:webHidden/>
          </w:rPr>
          <w:fldChar w:fldCharType="separate"/>
        </w:r>
        <w:r>
          <w:rPr>
            <w:noProof/>
            <w:webHidden/>
          </w:rPr>
          <w:t>175</w:t>
        </w:r>
        <w:r>
          <w:rPr>
            <w:noProof/>
            <w:webHidden/>
          </w:rPr>
          <w:fldChar w:fldCharType="end"/>
        </w:r>
      </w:hyperlink>
    </w:p>
    <w:p w14:paraId="0B2CF7E3" w14:textId="41FCD93B">
      <w:pPr>
        <w:pStyle w:val="TJ2"/>
        <w:rPr>
          <w:rFonts w:asciiTheme="minorHAnsi" w:hAnsiTheme="minorHAnsi" w:cstheme="minorBidi"/>
          <w:noProof/>
          <w:sz w:val="24"/>
          <w:szCs w:val="21"/>
          <w:lang w:eastAsia="en-GB" w:bidi="sa-IN"/>
        </w:rPr>
      </w:pPr>
      <w:hyperlink w:anchor="_Toc243900446" w:history="1">
        <w:r>
          <w:rPr>
            <w:rStyle w:val="Hiperhivatkozs"/>
            <w:noProof/>
            <w:lang w:bidi="ar-SA"/>
          </w:rPr>
          <w:t>14.5. Notes</w:t>
        </w:r>
        <w:r>
          <w:rPr>
            <w:noProof/>
            <w:webHidden/>
          </w:rPr>
          <w:tab/>
        </w:r>
        <w:r>
          <w:rPr>
            <w:noProof/>
            <w:webHidden/>
          </w:rPr>
          <w:fldChar w:fldCharType="begin"/>
        </w:r>
        <w:r>
          <w:rPr>
            <w:noProof/>
            <w:webHidden/>
          </w:rPr>
          <w:instrText xml:space="preserve"> PAGEREF _Toc243900446 \h </w:instrText>
        </w:r>
        <w:r>
          <w:rPr>
            <w:noProof/>
            <w:webHidden/>
          </w:rPr>
        </w:r>
        <w:r>
          <w:rPr>
            <w:noProof/>
            <w:webHidden/>
          </w:rPr>
          <w:fldChar w:fldCharType="separate"/>
        </w:r>
        <w:r>
          <w:rPr>
            <w:noProof/>
            <w:webHidden/>
          </w:rPr>
          <w:t>176</w:t>
        </w:r>
        <w:r>
          <w:rPr>
            <w:noProof/>
            <w:webHidden/>
          </w:rPr>
          <w:fldChar w:fldCharType="end"/>
        </w:r>
      </w:hyperlink>
    </w:p>
    <w:p w14:paraId="572E6946" w14:textId="0D6A1810">
      <w:pPr>
        <w:pStyle w:val="TJ3"/>
        <w:rPr>
          <w:rFonts w:asciiTheme="minorHAnsi" w:hAnsiTheme="minorHAnsi" w:cstheme="minorBidi"/>
          <w:noProof/>
          <w:sz w:val="24"/>
          <w:szCs w:val="21"/>
          <w:lang w:eastAsia="en-GB" w:bidi="sa-IN"/>
        </w:rPr>
      </w:pPr>
      <w:hyperlink w:anchor="_Toc243900447" w:history="1">
        <w:r>
          <w:rPr>
            <w:rStyle w:val="Hiperhivatkozs"/>
            <w:noProof/>
            <w:lang w:bidi="ar-SA"/>
          </w:rPr>
          <w:t>14.5.1. Encoding notes</w:t>
        </w:r>
        <w:r>
          <w:rPr>
            <w:noProof/>
            <w:webHidden/>
          </w:rPr>
          <w:tab/>
        </w:r>
        <w:r>
          <w:rPr>
            <w:noProof/>
            <w:webHidden/>
          </w:rPr>
          <w:fldChar w:fldCharType="begin"/>
        </w:r>
        <w:r>
          <w:rPr>
            <w:noProof/>
            <w:webHidden/>
          </w:rPr>
          <w:instrText xml:space="preserve"> PAGEREF _Toc243900447 \h </w:instrText>
        </w:r>
        <w:r>
          <w:rPr>
            <w:noProof/>
            <w:webHidden/>
          </w:rPr>
        </w:r>
        <w:r>
          <w:rPr>
            <w:noProof/>
            <w:webHidden/>
          </w:rPr>
          <w:fldChar w:fldCharType="separate"/>
        </w:r>
        <w:r>
          <w:rPr>
            <w:noProof/>
            <w:webHidden/>
          </w:rPr>
          <w:t>176</w:t>
        </w:r>
        <w:r>
          <w:rPr>
            <w:noProof/>
            <w:webHidden/>
          </w:rPr>
          <w:fldChar w:fldCharType="end"/>
        </w:r>
      </w:hyperlink>
    </w:p>
    <w:p w14:paraId="2A8989E8" w14:textId="7026C2DF">
      <w:pPr>
        <w:pStyle w:val="TJ3"/>
        <w:rPr>
          <w:rFonts w:asciiTheme="minorHAnsi" w:hAnsiTheme="minorHAnsi" w:cstheme="minorBidi"/>
          <w:noProof/>
          <w:sz w:val="24"/>
          <w:szCs w:val="21"/>
          <w:lang w:eastAsia="en-GB" w:bidi="sa-IN"/>
        </w:rPr>
      </w:pPr>
      <w:hyperlink w:anchor="_Toc243900448" w:history="1">
        <w:r>
          <w:rPr>
            <w:rStyle w:val="Hiperhivatkozs"/>
            <w:noProof/>
            <w:lang w:bidi="ar-SA"/>
          </w:rPr>
          <w:t>14.5.2. The content of notes</w:t>
        </w:r>
        <w:r>
          <w:rPr>
            <w:noProof/>
            <w:webHidden/>
          </w:rPr>
          <w:tab/>
        </w:r>
        <w:r>
          <w:rPr>
            <w:noProof/>
            <w:webHidden/>
          </w:rPr>
          <w:fldChar w:fldCharType="begin"/>
        </w:r>
        <w:r>
          <w:rPr>
            <w:noProof/>
            <w:webHidden/>
          </w:rPr>
          <w:instrText xml:space="preserve"> PAGEREF _Toc243900448 \h </w:instrText>
        </w:r>
        <w:r>
          <w:rPr>
            <w:noProof/>
            <w:webHidden/>
          </w:rPr>
        </w:r>
        <w:r>
          <w:rPr>
            <w:noProof/>
            <w:webHidden/>
          </w:rPr>
          <w:fldChar w:fldCharType="separate"/>
        </w:r>
        <w:r>
          <w:rPr>
            <w:noProof/>
            <w:webHidden/>
          </w:rPr>
          <w:t>177</w:t>
        </w:r>
        <w:r>
          <w:rPr>
            <w:noProof/>
            <w:webHidden/>
          </w:rPr>
          <w:fldChar w:fldCharType="end"/>
        </w:r>
      </w:hyperlink>
    </w:p>
    <w:p w14:paraId="797C5D33" w14:textId="48C9DD4F">
      <w:pPr>
        <w:pStyle w:val="TJ2"/>
        <w:rPr>
          <w:rFonts w:asciiTheme="minorHAnsi" w:hAnsiTheme="minorHAnsi" w:cstheme="minorBidi"/>
          <w:noProof/>
          <w:sz w:val="24"/>
          <w:szCs w:val="21"/>
          <w:lang w:eastAsia="en-GB" w:bidi="sa-IN"/>
        </w:rPr>
      </w:pPr>
      <w:hyperlink w:anchor="_Toc243900449" w:history="1">
        <w:r>
          <w:rPr>
            <w:rStyle w:val="Hiperhivatkozs"/>
            <w:noProof/>
            <w:lang w:bidi="ar-SA"/>
          </w:rPr>
          <w:t>14.6. Citation, quotation and reference</w:t>
        </w:r>
        <w:r>
          <w:rPr>
            <w:noProof/>
            <w:webHidden/>
          </w:rPr>
          <w:tab/>
        </w:r>
        <w:r>
          <w:rPr>
            <w:noProof/>
            <w:webHidden/>
          </w:rPr>
          <w:fldChar w:fldCharType="begin"/>
        </w:r>
        <w:r>
          <w:rPr>
            <w:noProof/>
            <w:webHidden/>
          </w:rPr>
          <w:instrText xml:space="preserve"> PAGEREF _Toc243900449 \h </w:instrText>
        </w:r>
        <w:r>
          <w:rPr>
            <w:noProof/>
            <w:webHidden/>
          </w:rPr>
        </w:r>
        <w:r>
          <w:rPr>
            <w:noProof/>
            <w:webHidden/>
          </w:rPr>
          <w:fldChar w:fldCharType="separate"/>
        </w:r>
        <w:r>
          <w:rPr>
            <w:noProof/>
            <w:webHidden/>
          </w:rPr>
          <w:t>177</w:t>
        </w:r>
        <w:r>
          <w:rPr>
            <w:noProof/>
            <w:webHidden/>
          </w:rPr>
          <w:fldChar w:fldCharType="end"/>
        </w:r>
      </w:hyperlink>
    </w:p>
    <w:p w14:paraId="33105827" w14:textId="3178F6EE">
      <w:pPr>
        <w:pStyle w:val="TJ3"/>
        <w:rPr>
          <w:rFonts w:asciiTheme="minorHAnsi" w:hAnsiTheme="minorHAnsi" w:cstheme="minorBidi"/>
          <w:noProof/>
          <w:sz w:val="24"/>
          <w:szCs w:val="21"/>
          <w:lang w:eastAsia="en-GB" w:bidi="sa-IN"/>
        </w:rPr>
      </w:pPr>
      <w:hyperlink w:anchor="_Toc243900450" w:history="1">
        <w:r>
          <w:rPr>
            <w:rStyle w:val="Hiperhivatkozs"/>
            <w:noProof/>
            <w:lang w:bidi="ar-SA"/>
          </w:rPr>
          <w:t>14.6.1. Encoding bibliographic citations</w:t>
        </w:r>
        <w:r>
          <w:rPr>
            <w:noProof/>
            <w:webHidden/>
          </w:rPr>
          <w:tab/>
        </w:r>
        <w:r>
          <w:rPr>
            <w:noProof/>
            <w:webHidden/>
          </w:rPr>
          <w:fldChar w:fldCharType="begin"/>
        </w:r>
        <w:r>
          <w:rPr>
            <w:noProof/>
            <w:webHidden/>
          </w:rPr>
          <w:instrText xml:space="preserve"> PAGEREF _Toc243900450 \h </w:instrText>
        </w:r>
        <w:r>
          <w:rPr>
            <w:noProof/>
            <w:webHidden/>
          </w:rPr>
        </w:r>
        <w:r>
          <w:rPr>
            <w:noProof/>
            <w:webHidden/>
          </w:rPr>
          <w:fldChar w:fldCharType="separate"/>
        </w:r>
        <w:r>
          <w:rPr>
            <w:noProof/>
            <w:webHidden/>
          </w:rPr>
          <w:t>177</w:t>
        </w:r>
        <w:r>
          <w:rPr>
            <w:noProof/>
            <w:webHidden/>
          </w:rPr>
          <w:fldChar w:fldCharType="end"/>
        </w:r>
      </w:hyperlink>
    </w:p>
    <w:p w14:paraId="151295EE" w14:textId="5FE76123">
      <w:pPr>
        <w:pStyle w:val="TJ3"/>
        <w:rPr>
          <w:rFonts w:asciiTheme="minorHAnsi" w:hAnsiTheme="minorHAnsi" w:cstheme="minorBidi"/>
          <w:noProof/>
          <w:sz w:val="24"/>
          <w:szCs w:val="21"/>
          <w:lang w:eastAsia="en-GB" w:bidi="sa-IN"/>
        </w:rPr>
      </w:pPr>
      <w:hyperlink w:anchor="_Toc243900451" w:history="1">
        <w:r>
          <w:rPr>
            <w:rStyle w:val="Hiperhivatkozs"/>
            <w:noProof/>
            <w:lang w:bidi="ar-SA"/>
          </w:rPr>
          <w:t xml:space="preserve">14.6.2. Crediting publications with </w:t>
        </w:r>
        <w:r>
          <w:rPr>
            <w:rStyle w:val="Hiperhivatkozs"/>
            <w:rFonts w:ascii="Consolas" w:hAnsi="Consolas" w:cs="Consolas"/>
            <w:noProof/>
            <w:shd w:val="clear" w:color="auto" w:fill="F2F2F2" w:themeFill="background1" w:themeFillShade="F2"/>
            <w:lang w:bidi="ar-SA"/>
          </w:rPr>
          <w:t>@source</w:t>
        </w:r>
        <w:r>
          <w:rPr>
            <w:noProof/>
            <w:webHidden/>
          </w:rPr>
          <w:tab/>
        </w:r>
        <w:r>
          <w:rPr>
            <w:noProof/>
            <w:webHidden/>
          </w:rPr>
          <w:fldChar w:fldCharType="begin"/>
        </w:r>
        <w:r>
          <w:rPr>
            <w:noProof/>
            <w:webHidden/>
          </w:rPr>
          <w:instrText xml:space="preserve"> PAGEREF _Toc243900451 \h </w:instrText>
        </w:r>
        <w:r>
          <w:rPr>
            <w:noProof/>
            <w:webHidden/>
          </w:rPr>
        </w:r>
        <w:r>
          <w:rPr>
            <w:noProof/>
            <w:webHidden/>
          </w:rPr>
          <w:fldChar w:fldCharType="separate"/>
        </w:r>
        <w:r>
          <w:rPr>
            <w:noProof/>
            <w:webHidden/>
          </w:rPr>
          <w:t>182</w:t>
        </w:r>
        <w:r>
          <w:rPr>
            <w:noProof/>
            <w:webHidden/>
          </w:rPr>
          <w:fldChar w:fldCharType="end"/>
        </w:r>
      </w:hyperlink>
    </w:p>
    <w:p w14:paraId="050E8310" w14:textId="1FA6AD96">
      <w:pPr>
        <w:pStyle w:val="TJ3"/>
        <w:rPr>
          <w:rFonts w:asciiTheme="minorHAnsi" w:hAnsiTheme="minorHAnsi" w:cstheme="minorBidi"/>
          <w:noProof/>
          <w:sz w:val="24"/>
          <w:szCs w:val="21"/>
          <w:lang w:eastAsia="en-GB" w:bidi="sa-IN"/>
        </w:rPr>
      </w:pPr>
      <w:hyperlink w:anchor="_Toc243900452" w:history="1">
        <w:r>
          <w:rPr>
            <w:rStyle w:val="Hiperhivatkozs"/>
            <w:noProof/>
            <w:lang w:bidi="ar-SA"/>
          </w:rPr>
          <w:t>14.6.3. Quotation</w:t>
        </w:r>
        <w:r>
          <w:rPr>
            <w:noProof/>
            <w:webHidden/>
          </w:rPr>
          <w:tab/>
        </w:r>
        <w:r>
          <w:rPr>
            <w:noProof/>
            <w:webHidden/>
          </w:rPr>
          <w:fldChar w:fldCharType="begin"/>
        </w:r>
        <w:r>
          <w:rPr>
            <w:noProof/>
            <w:webHidden/>
          </w:rPr>
          <w:instrText xml:space="preserve"> PAGEREF _Toc243900452 \h </w:instrText>
        </w:r>
        <w:r>
          <w:rPr>
            <w:noProof/>
            <w:webHidden/>
          </w:rPr>
        </w:r>
        <w:r>
          <w:rPr>
            <w:noProof/>
            <w:webHidden/>
          </w:rPr>
          <w:fldChar w:fldCharType="separate"/>
        </w:r>
        <w:r>
          <w:rPr>
            <w:noProof/>
            <w:webHidden/>
          </w:rPr>
          <w:t>183</w:t>
        </w:r>
        <w:r>
          <w:rPr>
            <w:noProof/>
            <w:webHidden/>
          </w:rPr>
          <w:fldChar w:fldCharType="end"/>
        </w:r>
      </w:hyperlink>
    </w:p>
    <w:p w14:paraId="18C6A7C0" w14:textId="2CE48B3F">
      <w:pPr>
        <w:pStyle w:val="TJ3"/>
        <w:rPr>
          <w:rFonts w:asciiTheme="minorHAnsi" w:hAnsiTheme="minorHAnsi" w:cstheme="minorBidi"/>
          <w:noProof/>
          <w:sz w:val="24"/>
          <w:szCs w:val="21"/>
          <w:lang w:eastAsia="en-GB" w:bidi="sa-IN"/>
        </w:rPr>
      </w:pPr>
      <w:hyperlink w:anchor="_Toc243900453" w:history="1">
        <w:r>
          <w:rPr>
            <w:rStyle w:val="Hiperhivatkozs"/>
            <w:noProof/>
            <w:lang w:bidi="ar-SA"/>
          </w:rPr>
          <w:t>14.6.4. Referring to web resources</w:t>
        </w:r>
        <w:r>
          <w:rPr>
            <w:noProof/>
            <w:webHidden/>
          </w:rPr>
          <w:tab/>
        </w:r>
        <w:r>
          <w:rPr>
            <w:noProof/>
            <w:webHidden/>
          </w:rPr>
          <w:fldChar w:fldCharType="begin"/>
        </w:r>
        <w:r>
          <w:rPr>
            <w:noProof/>
            <w:webHidden/>
          </w:rPr>
          <w:instrText xml:space="preserve"> PAGEREF _Toc243900453 \h </w:instrText>
        </w:r>
        <w:r>
          <w:rPr>
            <w:noProof/>
            <w:webHidden/>
          </w:rPr>
        </w:r>
        <w:r>
          <w:rPr>
            <w:noProof/>
            <w:webHidden/>
          </w:rPr>
          <w:fldChar w:fldCharType="separate"/>
        </w:r>
        <w:r>
          <w:rPr>
            <w:noProof/>
            <w:webHidden/>
          </w:rPr>
          <w:t>184</w:t>
        </w:r>
        <w:r>
          <w:rPr>
            <w:noProof/>
            <w:webHidden/>
          </w:rPr>
          <w:fldChar w:fldCharType="end"/>
        </w:r>
      </w:hyperlink>
    </w:p>
    <w:p w14:paraId="181E274D" w14:textId="6E370E4B">
      <w:pPr>
        <w:pStyle w:val="TJ3"/>
        <w:rPr>
          <w:rFonts w:asciiTheme="minorHAnsi" w:hAnsiTheme="minorHAnsi" w:cstheme="minorBidi"/>
          <w:noProof/>
          <w:sz w:val="24"/>
          <w:szCs w:val="21"/>
          <w:lang w:eastAsia="en-GB" w:bidi="sa-IN"/>
        </w:rPr>
      </w:pPr>
      <w:hyperlink w:anchor="_Toc243900454" w:history="1">
        <w:r>
          <w:rPr>
            <w:rStyle w:val="Hiperhivatkozs"/>
            <w:noProof/>
            <w:lang w:bidi="ar-SA"/>
          </w:rPr>
          <w:t xml:space="preserve">14.6.5. Crediting a DHARMA contributor with </w:t>
        </w:r>
        <w:r>
          <w:rPr>
            <w:rStyle w:val="Hiperhivatkozs"/>
            <w:rFonts w:ascii="Consolas" w:hAnsi="Consolas" w:cs="Consolas"/>
            <w:noProof/>
            <w:shd w:val="clear" w:color="auto" w:fill="F2F2F2" w:themeFill="background1" w:themeFillShade="F2"/>
            <w:lang w:bidi="ar-SA"/>
          </w:rPr>
          <w:t>@resp</w:t>
        </w:r>
        <w:r>
          <w:rPr>
            <w:noProof/>
            <w:webHidden/>
          </w:rPr>
          <w:tab/>
        </w:r>
        <w:r>
          <w:rPr>
            <w:noProof/>
            <w:webHidden/>
          </w:rPr>
          <w:fldChar w:fldCharType="begin"/>
        </w:r>
        <w:r>
          <w:rPr>
            <w:noProof/>
            <w:webHidden/>
          </w:rPr>
          <w:instrText xml:space="preserve"> PAGEREF _Toc243900454 \h </w:instrText>
        </w:r>
        <w:r>
          <w:rPr>
            <w:noProof/>
            <w:webHidden/>
          </w:rPr>
        </w:r>
        <w:r>
          <w:rPr>
            <w:noProof/>
            <w:webHidden/>
          </w:rPr>
          <w:fldChar w:fldCharType="separate"/>
        </w:r>
        <w:r>
          <w:rPr>
            <w:noProof/>
            <w:webHidden/>
          </w:rPr>
          <w:t>184</w:t>
        </w:r>
        <w:r>
          <w:rPr>
            <w:noProof/>
            <w:webHidden/>
          </w:rPr>
          <w:fldChar w:fldCharType="end"/>
        </w:r>
      </w:hyperlink>
    </w:p>
    <w:p w14:paraId="57D67170" w14:textId="2C5C3698">
      <w:pPr>
        <w:pStyle w:val="TJ3"/>
        <w:rPr>
          <w:rFonts w:asciiTheme="minorHAnsi" w:hAnsiTheme="minorHAnsi" w:cstheme="minorBidi"/>
          <w:noProof/>
          <w:sz w:val="24"/>
          <w:szCs w:val="21"/>
          <w:lang w:eastAsia="en-GB" w:bidi="sa-IN"/>
        </w:rPr>
      </w:pPr>
      <w:hyperlink w:anchor="_Toc243900455" w:history="1">
        <w:r>
          <w:rPr>
            <w:rStyle w:val="Hiperhivatkozs"/>
            <w:noProof/>
            <w:lang w:bidi="ar-SA"/>
          </w:rPr>
          <w:t xml:space="preserve">14.6.6. Identifying elements with </w:t>
        </w:r>
        <w:r>
          <w:rPr>
            <w:rStyle w:val="Hiperhivatkozs"/>
            <w:rFonts w:ascii="Consolas" w:hAnsi="Consolas" w:cs="Consolas"/>
            <w:noProof/>
            <w:shd w:val="clear" w:color="auto" w:fill="F2F2F2" w:themeFill="background1" w:themeFillShade="F2"/>
            <w:lang w:bidi="ar-SA"/>
          </w:rPr>
          <w:t>@xml:id</w:t>
        </w:r>
        <w:r>
          <w:rPr>
            <w:noProof/>
            <w:webHidden/>
          </w:rPr>
          <w:tab/>
        </w:r>
        <w:r>
          <w:rPr>
            <w:noProof/>
            <w:webHidden/>
          </w:rPr>
          <w:fldChar w:fldCharType="begin"/>
        </w:r>
        <w:r>
          <w:rPr>
            <w:noProof/>
            <w:webHidden/>
          </w:rPr>
          <w:instrText xml:space="preserve"> PAGEREF _Toc243900455 \h </w:instrText>
        </w:r>
        <w:r>
          <w:rPr>
            <w:noProof/>
            <w:webHidden/>
          </w:rPr>
        </w:r>
        <w:r>
          <w:rPr>
            <w:noProof/>
            <w:webHidden/>
          </w:rPr>
          <w:fldChar w:fldCharType="separate"/>
        </w:r>
        <w:r>
          <w:rPr>
            <w:noProof/>
            <w:webHidden/>
          </w:rPr>
          <w:t>185</w:t>
        </w:r>
        <w:r>
          <w:rPr>
            <w:noProof/>
            <w:webHidden/>
          </w:rPr>
          <w:fldChar w:fldCharType="end"/>
        </w:r>
      </w:hyperlink>
    </w:p>
    <w:p w14:paraId="58CAC5EE" w14:textId="72871B7D">
      <w:pPr>
        <w:pStyle w:val="TJ2"/>
        <w:rPr>
          <w:rFonts w:asciiTheme="minorHAnsi" w:hAnsiTheme="minorHAnsi" w:cstheme="minorBidi"/>
          <w:noProof/>
          <w:sz w:val="24"/>
          <w:szCs w:val="21"/>
          <w:lang w:eastAsia="en-GB" w:bidi="sa-IN"/>
        </w:rPr>
      </w:pPr>
      <w:hyperlink w:anchor="_Toc243900456" w:history="1">
        <w:r>
          <w:rPr>
            <w:rStyle w:val="Hiperhivatkozs"/>
            <w:noProof/>
            <w:lang w:bidi="ar-SA"/>
          </w:rPr>
          <w:t>14.7. Analytical and interpretive markup</w:t>
        </w:r>
        <w:r>
          <w:rPr>
            <w:noProof/>
            <w:webHidden/>
          </w:rPr>
          <w:tab/>
        </w:r>
        <w:r>
          <w:rPr>
            <w:noProof/>
            <w:webHidden/>
          </w:rPr>
          <w:fldChar w:fldCharType="begin"/>
        </w:r>
        <w:r>
          <w:rPr>
            <w:noProof/>
            <w:webHidden/>
          </w:rPr>
          <w:instrText xml:space="preserve"> PAGEREF _Toc243900456 \h </w:instrText>
        </w:r>
        <w:r>
          <w:rPr>
            <w:noProof/>
            <w:webHidden/>
          </w:rPr>
        </w:r>
        <w:r>
          <w:rPr>
            <w:noProof/>
            <w:webHidden/>
          </w:rPr>
          <w:fldChar w:fldCharType="separate"/>
        </w:r>
        <w:r>
          <w:rPr>
            <w:noProof/>
            <w:webHidden/>
          </w:rPr>
          <w:t>185</w:t>
        </w:r>
        <w:r>
          <w:rPr>
            <w:noProof/>
            <w:webHidden/>
          </w:rPr>
          <w:fldChar w:fldCharType="end"/>
        </w:r>
      </w:hyperlink>
    </w:p>
    <w:p w14:paraId="7618190B" w14:textId="7C145355">
      <w:pPr>
        <w:pStyle w:val="TJ3"/>
        <w:rPr>
          <w:rFonts w:asciiTheme="minorHAnsi" w:hAnsiTheme="minorHAnsi" w:cstheme="minorBidi"/>
          <w:noProof/>
          <w:sz w:val="24"/>
          <w:szCs w:val="21"/>
          <w:lang w:eastAsia="en-GB" w:bidi="sa-IN"/>
        </w:rPr>
      </w:pPr>
      <w:hyperlink w:anchor="_Toc243900457" w:history="1">
        <w:r>
          <w:rPr>
            <w:rStyle w:val="Hiperhivatkozs"/>
            <w:noProof/>
            <w:lang w:bidi="ar-SA"/>
          </w:rPr>
          <w:t>14.7.1. Encoding titles</w:t>
        </w:r>
        <w:r>
          <w:rPr>
            <w:noProof/>
            <w:webHidden/>
          </w:rPr>
          <w:tab/>
        </w:r>
        <w:r>
          <w:rPr>
            <w:noProof/>
            <w:webHidden/>
          </w:rPr>
          <w:fldChar w:fldCharType="begin"/>
        </w:r>
        <w:r>
          <w:rPr>
            <w:noProof/>
            <w:webHidden/>
          </w:rPr>
          <w:instrText xml:space="preserve"> PAGEREF _Toc243900457 \h </w:instrText>
        </w:r>
        <w:r>
          <w:rPr>
            <w:noProof/>
            <w:webHidden/>
          </w:rPr>
        </w:r>
        <w:r>
          <w:rPr>
            <w:noProof/>
            <w:webHidden/>
          </w:rPr>
          <w:fldChar w:fldCharType="separate"/>
        </w:r>
        <w:r>
          <w:rPr>
            <w:noProof/>
            <w:webHidden/>
          </w:rPr>
          <w:t>185</w:t>
        </w:r>
        <w:r>
          <w:rPr>
            <w:noProof/>
            <w:webHidden/>
          </w:rPr>
          <w:fldChar w:fldCharType="end"/>
        </w:r>
      </w:hyperlink>
    </w:p>
    <w:p w14:paraId="1585B62E" w14:textId="1EED7460">
      <w:pPr>
        <w:pStyle w:val="TJ3"/>
        <w:rPr>
          <w:rFonts w:asciiTheme="minorHAnsi" w:hAnsiTheme="minorHAnsi" w:cstheme="minorBidi"/>
          <w:noProof/>
          <w:sz w:val="24"/>
          <w:szCs w:val="21"/>
          <w:lang w:eastAsia="en-GB" w:bidi="sa-IN"/>
        </w:rPr>
      </w:pPr>
      <w:hyperlink w:anchor="_Toc243900458" w:history="1">
        <w:r>
          <w:rPr>
            <w:rStyle w:val="Hiperhivatkozs"/>
            <w:noProof/>
            <w:lang w:bidi="ar-SA"/>
          </w:rPr>
          <w:t>14.7.2. Encoding names</w:t>
        </w:r>
        <w:r>
          <w:rPr>
            <w:noProof/>
            <w:webHidden/>
          </w:rPr>
          <w:tab/>
        </w:r>
        <w:r>
          <w:rPr>
            <w:noProof/>
            <w:webHidden/>
          </w:rPr>
          <w:fldChar w:fldCharType="begin"/>
        </w:r>
        <w:r>
          <w:rPr>
            <w:noProof/>
            <w:webHidden/>
          </w:rPr>
          <w:instrText xml:space="preserve"> PAGEREF _Toc243900458 \h </w:instrText>
        </w:r>
        <w:r>
          <w:rPr>
            <w:noProof/>
            <w:webHidden/>
          </w:rPr>
        </w:r>
        <w:r>
          <w:rPr>
            <w:noProof/>
            <w:webHidden/>
          </w:rPr>
          <w:fldChar w:fldCharType="separate"/>
        </w:r>
        <w:r>
          <w:rPr>
            <w:noProof/>
            <w:webHidden/>
          </w:rPr>
          <w:t>185</w:t>
        </w:r>
        <w:r>
          <w:rPr>
            <w:noProof/>
            <w:webHidden/>
          </w:rPr>
          <w:fldChar w:fldCharType="end"/>
        </w:r>
      </w:hyperlink>
    </w:p>
    <w:p w14:paraId="45AACDDD" w14:textId="20AD4DCE">
      <w:pPr>
        <w:pStyle w:val="TJ3"/>
        <w:rPr>
          <w:rFonts w:asciiTheme="minorHAnsi" w:hAnsiTheme="minorHAnsi" w:cstheme="minorBidi"/>
          <w:noProof/>
          <w:sz w:val="24"/>
          <w:szCs w:val="21"/>
          <w:lang w:eastAsia="en-GB" w:bidi="sa-IN"/>
        </w:rPr>
      </w:pPr>
      <w:hyperlink w:anchor="_Toc243900459" w:history="1">
        <w:r>
          <w:rPr>
            <w:rStyle w:val="Hiperhivatkozs"/>
            <w:noProof/>
            <w:lang w:bidi="ar-SA"/>
          </w:rPr>
          <w:t>14.7.3. Other interpretive and analytical encoding</w:t>
        </w:r>
        <w:r>
          <w:rPr>
            <w:noProof/>
            <w:webHidden/>
          </w:rPr>
          <w:tab/>
        </w:r>
        <w:r>
          <w:rPr>
            <w:noProof/>
            <w:webHidden/>
          </w:rPr>
          <w:fldChar w:fldCharType="begin"/>
        </w:r>
        <w:r>
          <w:rPr>
            <w:noProof/>
            <w:webHidden/>
          </w:rPr>
          <w:instrText xml:space="preserve"> PAGEREF _Toc243900459 \h </w:instrText>
        </w:r>
        <w:r>
          <w:rPr>
            <w:noProof/>
            <w:webHidden/>
          </w:rPr>
        </w:r>
        <w:r>
          <w:rPr>
            <w:noProof/>
            <w:webHidden/>
          </w:rPr>
          <w:fldChar w:fldCharType="separate"/>
        </w:r>
        <w:r>
          <w:rPr>
            <w:noProof/>
            <w:webHidden/>
          </w:rPr>
          <w:t>186</w:t>
        </w:r>
        <w:r>
          <w:rPr>
            <w:noProof/>
            <w:webHidden/>
          </w:rPr>
          <w:fldChar w:fldCharType="end"/>
        </w:r>
      </w:hyperlink>
    </w:p>
    <w:p w14:paraId="44A8783E" w14:textId="7E6F2EA3">
      <w:pPr>
        <w:pStyle w:val="TJ1"/>
        <w:rPr>
          <w:rFonts w:asciiTheme="minorHAnsi" w:hAnsiTheme="minorHAnsi" w:cstheme="minorBidi"/>
          <w:b w:val="0"/>
          <w:noProof/>
          <w:sz w:val="24"/>
          <w:szCs w:val="21"/>
          <w:lang w:eastAsia="en-GB" w:bidi="sa-IN"/>
        </w:rPr>
      </w:pPr>
      <w:hyperlink w:anchor="_Toc243900460" w:history="1">
        <w:r>
          <w:rPr>
            <w:rStyle w:val="Hiperhivatkozs"/>
            <w:noProof/>
            <w:lang w:bidi="ar-SA"/>
          </w:rPr>
          <w:t>15. The TEI Header</w:t>
        </w:r>
        <w:r>
          <w:rPr>
            <w:noProof/>
            <w:webHidden/>
          </w:rPr>
          <w:tab/>
        </w:r>
        <w:r>
          <w:rPr>
            <w:noProof/>
            <w:webHidden/>
          </w:rPr>
          <w:fldChar w:fldCharType="begin"/>
        </w:r>
        <w:r>
          <w:rPr>
            <w:noProof/>
            <w:webHidden/>
          </w:rPr>
          <w:instrText xml:space="preserve"> PAGEREF _Toc243900460 \h </w:instrText>
        </w:r>
        <w:r>
          <w:rPr>
            <w:noProof/>
            <w:webHidden/>
          </w:rPr>
        </w:r>
        <w:r>
          <w:rPr>
            <w:noProof/>
            <w:webHidden/>
          </w:rPr>
          <w:fldChar w:fldCharType="separate"/>
        </w:r>
        <w:r>
          <w:rPr>
            <w:noProof/>
            <w:webHidden/>
          </w:rPr>
          <w:t>187</w:t>
        </w:r>
        <w:r>
          <w:rPr>
            <w:noProof/>
            <w:webHidden/>
          </w:rPr>
          <w:fldChar w:fldCharType="end"/>
        </w:r>
      </w:hyperlink>
    </w:p>
    <w:p w14:paraId="0E19BE04" w14:textId="30A642E5">
      <w:pPr>
        <w:pStyle w:val="TJ2"/>
        <w:rPr>
          <w:rFonts w:asciiTheme="minorHAnsi" w:hAnsiTheme="minorHAnsi" w:cstheme="minorBidi"/>
          <w:noProof/>
          <w:sz w:val="24"/>
          <w:szCs w:val="21"/>
          <w:lang w:eastAsia="en-GB" w:bidi="sa-IN"/>
        </w:rPr>
      </w:pPr>
      <w:hyperlink w:anchor="_Toc243900461" w:history="1">
        <w:r>
          <w:rPr>
            <w:rStyle w:val="Hiperhivatkozs"/>
            <w:noProof/>
            <w:lang w:bidi="ar-SA"/>
          </w:rPr>
          <w:t>15.1. Describing the XML document</w:t>
        </w:r>
        <w:r>
          <w:rPr>
            <w:noProof/>
            <w:webHidden/>
          </w:rPr>
          <w:tab/>
        </w:r>
        <w:r>
          <w:rPr>
            <w:noProof/>
            <w:webHidden/>
          </w:rPr>
          <w:fldChar w:fldCharType="begin"/>
        </w:r>
        <w:r>
          <w:rPr>
            <w:noProof/>
            <w:webHidden/>
          </w:rPr>
          <w:instrText xml:space="preserve"> PAGEREF _Toc243900461 \h </w:instrText>
        </w:r>
        <w:r>
          <w:rPr>
            <w:noProof/>
            <w:webHidden/>
          </w:rPr>
        </w:r>
        <w:r>
          <w:rPr>
            <w:noProof/>
            <w:webHidden/>
          </w:rPr>
          <w:fldChar w:fldCharType="separate"/>
        </w:r>
        <w:r>
          <w:rPr>
            <w:noProof/>
            <w:webHidden/>
          </w:rPr>
          <w:t>187</w:t>
        </w:r>
        <w:r>
          <w:rPr>
            <w:noProof/>
            <w:webHidden/>
          </w:rPr>
          <w:fldChar w:fldCharType="end"/>
        </w:r>
      </w:hyperlink>
    </w:p>
    <w:p w14:paraId="0C9B4A9E" w14:textId="28C2AD81">
      <w:pPr>
        <w:pStyle w:val="TJ3"/>
        <w:rPr>
          <w:rFonts w:asciiTheme="minorHAnsi" w:hAnsiTheme="minorHAnsi" w:cstheme="minorBidi"/>
          <w:noProof/>
          <w:sz w:val="24"/>
          <w:szCs w:val="21"/>
          <w:lang w:eastAsia="en-GB" w:bidi="sa-IN"/>
        </w:rPr>
      </w:pPr>
      <w:hyperlink w:anchor="_Toc243900462" w:history="1">
        <w:r>
          <w:rPr>
            <w:rStyle w:val="Hiperhivatkozs"/>
            <w:noProof/>
            <w:lang w:bidi="ar-SA"/>
          </w:rPr>
          <w:t>15.1.1. The title</w:t>
        </w:r>
        <w:r>
          <w:rPr>
            <w:noProof/>
            <w:webHidden/>
          </w:rPr>
          <w:tab/>
        </w:r>
        <w:r>
          <w:rPr>
            <w:noProof/>
            <w:webHidden/>
          </w:rPr>
          <w:fldChar w:fldCharType="begin"/>
        </w:r>
        <w:r>
          <w:rPr>
            <w:noProof/>
            <w:webHidden/>
          </w:rPr>
          <w:instrText xml:space="preserve"> PAGEREF _Toc243900462 \h </w:instrText>
        </w:r>
        <w:r>
          <w:rPr>
            <w:noProof/>
            <w:webHidden/>
          </w:rPr>
        </w:r>
        <w:r>
          <w:rPr>
            <w:noProof/>
            <w:webHidden/>
          </w:rPr>
          <w:fldChar w:fldCharType="separate"/>
        </w:r>
        <w:r>
          <w:rPr>
            <w:noProof/>
            <w:webHidden/>
          </w:rPr>
          <w:t>187</w:t>
        </w:r>
        <w:r>
          <w:rPr>
            <w:noProof/>
            <w:webHidden/>
          </w:rPr>
          <w:fldChar w:fldCharType="end"/>
        </w:r>
      </w:hyperlink>
    </w:p>
    <w:p w14:paraId="3C8A347D" w14:textId="09761F1E">
      <w:pPr>
        <w:pStyle w:val="TJ3"/>
        <w:rPr>
          <w:rFonts w:asciiTheme="minorHAnsi" w:hAnsiTheme="minorHAnsi" w:cstheme="minorBidi"/>
          <w:noProof/>
          <w:sz w:val="24"/>
          <w:szCs w:val="21"/>
          <w:lang w:eastAsia="en-GB" w:bidi="sa-IN"/>
        </w:rPr>
      </w:pPr>
      <w:hyperlink w:anchor="_Toc243900463" w:history="1">
        <w:r>
          <w:rPr>
            <w:rStyle w:val="Hiperhivatkozs"/>
            <w:noProof/>
            <w:lang w:bidi="ar-SA"/>
          </w:rPr>
          <w:t>15.1.2. The responsibility statement(s)</w:t>
        </w:r>
        <w:r>
          <w:rPr>
            <w:noProof/>
            <w:webHidden/>
          </w:rPr>
          <w:tab/>
        </w:r>
        <w:r>
          <w:rPr>
            <w:noProof/>
            <w:webHidden/>
          </w:rPr>
          <w:fldChar w:fldCharType="begin"/>
        </w:r>
        <w:r>
          <w:rPr>
            <w:noProof/>
            <w:webHidden/>
          </w:rPr>
          <w:instrText xml:space="preserve"> PAGEREF _Toc243900463 \h </w:instrText>
        </w:r>
        <w:r>
          <w:rPr>
            <w:noProof/>
            <w:webHidden/>
          </w:rPr>
        </w:r>
        <w:r>
          <w:rPr>
            <w:noProof/>
            <w:webHidden/>
          </w:rPr>
          <w:fldChar w:fldCharType="separate"/>
        </w:r>
        <w:r>
          <w:rPr>
            <w:noProof/>
            <w:webHidden/>
          </w:rPr>
          <w:t>187</w:t>
        </w:r>
        <w:r>
          <w:rPr>
            <w:noProof/>
            <w:webHidden/>
          </w:rPr>
          <w:fldChar w:fldCharType="end"/>
        </w:r>
      </w:hyperlink>
    </w:p>
    <w:p w14:paraId="1D0C75E1" w14:textId="445313EC">
      <w:pPr>
        <w:pStyle w:val="TJ3"/>
        <w:rPr>
          <w:rFonts w:asciiTheme="minorHAnsi" w:hAnsiTheme="minorHAnsi" w:cstheme="minorBidi"/>
          <w:noProof/>
          <w:sz w:val="24"/>
          <w:szCs w:val="21"/>
          <w:lang w:eastAsia="en-GB" w:bidi="sa-IN"/>
        </w:rPr>
      </w:pPr>
      <w:hyperlink w:anchor="_Toc243900464" w:history="1">
        <w:r>
          <w:rPr>
            <w:rStyle w:val="Hiperhivatkozs"/>
            <w:noProof/>
            <w:lang w:bidi="ar-SA"/>
          </w:rPr>
          <w:t>15.1.3. The publication statement</w:t>
        </w:r>
        <w:r>
          <w:rPr>
            <w:noProof/>
            <w:webHidden/>
          </w:rPr>
          <w:tab/>
        </w:r>
        <w:r>
          <w:rPr>
            <w:noProof/>
            <w:webHidden/>
          </w:rPr>
          <w:fldChar w:fldCharType="begin"/>
        </w:r>
        <w:r>
          <w:rPr>
            <w:noProof/>
            <w:webHidden/>
          </w:rPr>
          <w:instrText xml:space="preserve"> PAGEREF _Toc243900464 \h </w:instrText>
        </w:r>
        <w:r>
          <w:rPr>
            <w:noProof/>
            <w:webHidden/>
          </w:rPr>
        </w:r>
        <w:r>
          <w:rPr>
            <w:noProof/>
            <w:webHidden/>
          </w:rPr>
          <w:fldChar w:fldCharType="separate"/>
        </w:r>
        <w:r>
          <w:rPr>
            <w:noProof/>
            <w:webHidden/>
          </w:rPr>
          <w:t>189</w:t>
        </w:r>
        <w:r>
          <w:rPr>
            <w:noProof/>
            <w:webHidden/>
          </w:rPr>
          <w:fldChar w:fldCharType="end"/>
        </w:r>
      </w:hyperlink>
    </w:p>
    <w:p w14:paraId="021303BF" w14:textId="4B67FB32">
      <w:pPr>
        <w:pStyle w:val="TJ2"/>
        <w:rPr>
          <w:rFonts w:asciiTheme="minorHAnsi" w:hAnsiTheme="minorHAnsi" w:cstheme="minorBidi"/>
          <w:noProof/>
          <w:sz w:val="24"/>
          <w:szCs w:val="21"/>
          <w:lang w:eastAsia="en-GB" w:bidi="sa-IN"/>
        </w:rPr>
      </w:pPr>
      <w:hyperlink w:anchor="_Toc243900465" w:history="1">
        <w:r>
          <w:rPr>
            <w:rStyle w:val="Hiperhivatkozs"/>
            <w:noProof/>
            <w:lang w:bidi="ar-SA"/>
          </w:rPr>
          <w:t>15.2. Describing the original document</w:t>
        </w:r>
        <w:r>
          <w:rPr>
            <w:noProof/>
            <w:webHidden/>
          </w:rPr>
          <w:tab/>
        </w:r>
        <w:r>
          <w:rPr>
            <w:noProof/>
            <w:webHidden/>
          </w:rPr>
          <w:fldChar w:fldCharType="begin"/>
        </w:r>
        <w:r>
          <w:rPr>
            <w:noProof/>
            <w:webHidden/>
          </w:rPr>
          <w:instrText xml:space="preserve"> PAGEREF _Toc243900465 \h </w:instrText>
        </w:r>
        <w:r>
          <w:rPr>
            <w:noProof/>
            <w:webHidden/>
          </w:rPr>
        </w:r>
        <w:r>
          <w:rPr>
            <w:noProof/>
            <w:webHidden/>
          </w:rPr>
          <w:fldChar w:fldCharType="separate"/>
        </w:r>
        <w:r>
          <w:rPr>
            <w:noProof/>
            <w:webHidden/>
          </w:rPr>
          <w:t>189</w:t>
        </w:r>
        <w:r>
          <w:rPr>
            <w:noProof/>
            <w:webHidden/>
          </w:rPr>
          <w:fldChar w:fldCharType="end"/>
        </w:r>
      </w:hyperlink>
    </w:p>
    <w:p w14:paraId="2E83630C" w14:textId="331B128E">
      <w:pPr>
        <w:pStyle w:val="TJ3"/>
        <w:rPr>
          <w:rFonts w:asciiTheme="minorHAnsi" w:hAnsiTheme="minorHAnsi" w:cstheme="minorBidi"/>
          <w:noProof/>
          <w:sz w:val="24"/>
          <w:szCs w:val="21"/>
          <w:lang w:eastAsia="en-GB" w:bidi="sa-IN"/>
        </w:rPr>
      </w:pPr>
      <w:hyperlink w:anchor="_Toc243900466" w:history="1">
        <w:r>
          <w:rPr>
            <w:rStyle w:val="Hiperhivatkozs"/>
            <w:noProof/>
            <w:lang w:bidi="ar-SA"/>
          </w:rPr>
          <w:t>15.2.1. The hand description</w:t>
        </w:r>
        <w:r>
          <w:rPr>
            <w:noProof/>
            <w:webHidden/>
          </w:rPr>
          <w:tab/>
        </w:r>
        <w:r>
          <w:rPr>
            <w:noProof/>
            <w:webHidden/>
          </w:rPr>
          <w:fldChar w:fldCharType="begin"/>
        </w:r>
        <w:r>
          <w:rPr>
            <w:noProof/>
            <w:webHidden/>
          </w:rPr>
          <w:instrText xml:space="preserve"> PAGEREF _Toc243900466 \h </w:instrText>
        </w:r>
        <w:r>
          <w:rPr>
            <w:noProof/>
            <w:webHidden/>
          </w:rPr>
        </w:r>
        <w:r>
          <w:rPr>
            <w:noProof/>
            <w:webHidden/>
          </w:rPr>
          <w:fldChar w:fldCharType="separate"/>
        </w:r>
        <w:r>
          <w:rPr>
            <w:noProof/>
            <w:webHidden/>
          </w:rPr>
          <w:t>189</w:t>
        </w:r>
        <w:r>
          <w:rPr>
            <w:noProof/>
            <w:webHidden/>
          </w:rPr>
          <w:fldChar w:fldCharType="end"/>
        </w:r>
      </w:hyperlink>
    </w:p>
    <w:p w14:paraId="017B80BB" w14:textId="1147CE08">
      <w:pPr>
        <w:pStyle w:val="TJ2"/>
        <w:rPr>
          <w:rFonts w:asciiTheme="minorHAnsi" w:hAnsiTheme="minorHAnsi" w:cstheme="minorBidi"/>
          <w:noProof/>
          <w:sz w:val="24"/>
          <w:szCs w:val="21"/>
          <w:lang w:eastAsia="en-GB" w:bidi="sa-IN"/>
        </w:rPr>
      </w:pPr>
      <w:hyperlink w:anchor="_Toc243900467" w:history="1">
        <w:r>
          <w:rPr>
            <w:rStyle w:val="Hiperhivatkozs"/>
            <w:noProof/>
            <w:lang w:bidi="ar-SA"/>
          </w:rPr>
          <w:t>15.3. Keeping track of file history</w:t>
        </w:r>
        <w:r>
          <w:rPr>
            <w:noProof/>
            <w:webHidden/>
          </w:rPr>
          <w:tab/>
        </w:r>
        <w:r>
          <w:rPr>
            <w:noProof/>
            <w:webHidden/>
          </w:rPr>
          <w:fldChar w:fldCharType="begin"/>
        </w:r>
        <w:r>
          <w:rPr>
            <w:noProof/>
            <w:webHidden/>
          </w:rPr>
          <w:instrText xml:space="preserve"> PAGEREF _Toc243900467 \h </w:instrText>
        </w:r>
        <w:r>
          <w:rPr>
            <w:noProof/>
            <w:webHidden/>
          </w:rPr>
        </w:r>
        <w:r>
          <w:rPr>
            <w:noProof/>
            <w:webHidden/>
          </w:rPr>
          <w:fldChar w:fldCharType="separate"/>
        </w:r>
        <w:r>
          <w:rPr>
            <w:noProof/>
            <w:webHidden/>
          </w:rPr>
          <w:t>190</w:t>
        </w:r>
        <w:r>
          <w:rPr>
            <w:noProof/>
            <w:webHidden/>
          </w:rPr>
          <w:fldChar w:fldCharType="end"/>
        </w:r>
      </w:hyperlink>
    </w:p>
    <w:p w14:paraId="7A064758" w14:textId="4840F090">
      <w:pPr>
        <w:pStyle w:val="TJ1"/>
        <w:rPr>
          <w:rFonts w:asciiTheme="minorHAnsi" w:hAnsiTheme="minorHAnsi" w:cstheme="minorBidi"/>
          <w:b w:val="0"/>
          <w:noProof/>
          <w:sz w:val="24"/>
          <w:szCs w:val="21"/>
          <w:lang w:eastAsia="en-GB" w:bidi="sa-IN"/>
        </w:rPr>
      </w:pPr>
      <w:hyperlink w:anchor="_Toc243900468" w:history="1">
        <w:r>
          <w:rPr>
            <w:rStyle w:val="Hiperhivatkozs"/>
            <w:noProof/>
            <w:lang w:bidi="ar-SA"/>
          </w:rPr>
          <w:t>16. Good encoding practice</w:t>
        </w:r>
        <w:r>
          <w:rPr>
            <w:noProof/>
            <w:webHidden/>
          </w:rPr>
          <w:tab/>
        </w:r>
        <w:r>
          <w:rPr>
            <w:noProof/>
            <w:webHidden/>
          </w:rPr>
          <w:fldChar w:fldCharType="begin"/>
        </w:r>
        <w:r>
          <w:rPr>
            <w:noProof/>
            <w:webHidden/>
          </w:rPr>
          <w:instrText xml:space="preserve"> PAGEREF _Toc243900468 \h </w:instrText>
        </w:r>
        <w:r>
          <w:rPr>
            <w:noProof/>
            <w:webHidden/>
          </w:rPr>
        </w:r>
        <w:r>
          <w:rPr>
            <w:noProof/>
            <w:webHidden/>
          </w:rPr>
          <w:fldChar w:fldCharType="separate"/>
        </w:r>
        <w:r>
          <w:rPr>
            <w:noProof/>
            <w:webHidden/>
          </w:rPr>
          <w:t>192</w:t>
        </w:r>
        <w:r>
          <w:rPr>
            <w:noProof/>
            <w:webHidden/>
          </w:rPr>
          <w:fldChar w:fldCharType="end"/>
        </w:r>
      </w:hyperlink>
    </w:p>
    <w:p w14:paraId="5DEBEAC3" w14:textId="4FE40687">
      <w:pPr>
        <w:pStyle w:val="TJ2"/>
        <w:rPr>
          <w:rFonts w:asciiTheme="minorHAnsi" w:hAnsiTheme="minorHAnsi" w:cstheme="minorBidi"/>
          <w:noProof/>
          <w:sz w:val="24"/>
          <w:szCs w:val="21"/>
          <w:lang w:eastAsia="en-GB" w:bidi="sa-IN"/>
        </w:rPr>
      </w:pPr>
      <w:hyperlink w:anchor="_Toc243900469" w:history="1">
        <w:r>
          <w:rPr>
            <w:rStyle w:val="Hiperhivatkozs"/>
            <w:noProof/>
            <w:lang w:bidi="ar-SA"/>
          </w:rPr>
          <w:t>16.1. White space</w:t>
        </w:r>
        <w:r>
          <w:rPr>
            <w:noProof/>
            <w:webHidden/>
          </w:rPr>
          <w:tab/>
        </w:r>
        <w:r>
          <w:rPr>
            <w:noProof/>
            <w:webHidden/>
          </w:rPr>
          <w:fldChar w:fldCharType="begin"/>
        </w:r>
        <w:r>
          <w:rPr>
            <w:noProof/>
            <w:webHidden/>
          </w:rPr>
          <w:instrText xml:space="preserve"> PAGEREF _Toc243900469 \h </w:instrText>
        </w:r>
        <w:r>
          <w:rPr>
            <w:noProof/>
            <w:webHidden/>
          </w:rPr>
        </w:r>
        <w:r>
          <w:rPr>
            <w:noProof/>
            <w:webHidden/>
          </w:rPr>
          <w:fldChar w:fldCharType="separate"/>
        </w:r>
        <w:r>
          <w:rPr>
            <w:noProof/>
            <w:webHidden/>
          </w:rPr>
          <w:t>192</w:t>
        </w:r>
        <w:r>
          <w:rPr>
            <w:noProof/>
            <w:webHidden/>
          </w:rPr>
          <w:fldChar w:fldCharType="end"/>
        </w:r>
      </w:hyperlink>
    </w:p>
    <w:p w14:paraId="3E9A2085" w14:textId="6D1D18B3">
      <w:pPr>
        <w:pStyle w:val="TJ2"/>
        <w:rPr>
          <w:rFonts w:asciiTheme="minorHAnsi" w:hAnsiTheme="minorHAnsi" w:cstheme="minorBidi"/>
          <w:noProof/>
          <w:sz w:val="24"/>
          <w:szCs w:val="21"/>
          <w:lang w:eastAsia="en-GB" w:bidi="sa-IN"/>
        </w:rPr>
      </w:pPr>
      <w:hyperlink w:anchor="_Toc243900470" w:history="1">
        <w:r>
          <w:rPr>
            <w:rStyle w:val="Hiperhivatkozs"/>
            <w:noProof/>
            <w:lang w:bidi="ar-SA"/>
          </w:rPr>
          <w:t>16.2. Top to bottom hierarchy</w:t>
        </w:r>
        <w:r>
          <w:rPr>
            <w:noProof/>
            <w:webHidden/>
          </w:rPr>
          <w:tab/>
        </w:r>
        <w:r>
          <w:rPr>
            <w:noProof/>
            <w:webHidden/>
          </w:rPr>
          <w:fldChar w:fldCharType="begin"/>
        </w:r>
        <w:r>
          <w:rPr>
            <w:noProof/>
            <w:webHidden/>
          </w:rPr>
          <w:instrText xml:space="preserve"> PAGEREF _Toc243900470 \h </w:instrText>
        </w:r>
        <w:r>
          <w:rPr>
            <w:noProof/>
            <w:webHidden/>
          </w:rPr>
        </w:r>
        <w:r>
          <w:rPr>
            <w:noProof/>
            <w:webHidden/>
          </w:rPr>
          <w:fldChar w:fldCharType="separate"/>
        </w:r>
        <w:r>
          <w:rPr>
            <w:noProof/>
            <w:webHidden/>
          </w:rPr>
          <w:t>193</w:t>
        </w:r>
        <w:r>
          <w:rPr>
            <w:noProof/>
            <w:webHidden/>
          </w:rPr>
          <w:fldChar w:fldCharType="end"/>
        </w:r>
      </w:hyperlink>
    </w:p>
    <w:p w14:paraId="39DE5473" w14:textId="6F5B3498">
      <w:pPr>
        <w:pStyle w:val="TJ3"/>
        <w:rPr>
          <w:rFonts w:asciiTheme="minorHAnsi" w:hAnsiTheme="minorHAnsi" w:cstheme="minorBidi"/>
          <w:noProof/>
          <w:sz w:val="24"/>
          <w:szCs w:val="21"/>
          <w:lang w:eastAsia="en-GB" w:bidi="sa-IN"/>
        </w:rPr>
      </w:pPr>
      <w:hyperlink w:anchor="_Toc243900471" w:history="1">
        <w:r>
          <w:rPr>
            <w:rStyle w:val="Hiperhivatkozs"/>
            <w:noProof/>
            <w:lang w:bidi="ar-SA"/>
          </w:rPr>
          <w:t>16.2.1. Tier 1, block-level elements representing XML structure and extrinsic structure</w:t>
        </w:r>
        <w:r>
          <w:rPr>
            <w:noProof/>
            <w:webHidden/>
          </w:rPr>
          <w:tab/>
        </w:r>
        <w:r>
          <w:rPr>
            <w:noProof/>
            <w:webHidden/>
          </w:rPr>
          <w:fldChar w:fldCharType="begin"/>
        </w:r>
        <w:r>
          <w:rPr>
            <w:noProof/>
            <w:webHidden/>
          </w:rPr>
          <w:instrText xml:space="preserve"> PAGEREF _Toc243900471 \h </w:instrText>
        </w:r>
        <w:r>
          <w:rPr>
            <w:noProof/>
            <w:webHidden/>
          </w:rPr>
        </w:r>
        <w:r>
          <w:rPr>
            <w:noProof/>
            <w:webHidden/>
          </w:rPr>
          <w:fldChar w:fldCharType="separate"/>
        </w:r>
        <w:r>
          <w:rPr>
            <w:noProof/>
            <w:webHidden/>
          </w:rPr>
          <w:t>193</w:t>
        </w:r>
        <w:r>
          <w:rPr>
            <w:noProof/>
            <w:webHidden/>
          </w:rPr>
          <w:fldChar w:fldCharType="end"/>
        </w:r>
      </w:hyperlink>
    </w:p>
    <w:p w14:paraId="215A9A38" w14:textId="53AC6254">
      <w:pPr>
        <w:pStyle w:val="TJ3"/>
        <w:rPr>
          <w:rFonts w:asciiTheme="minorHAnsi" w:hAnsiTheme="minorHAnsi" w:cstheme="minorBidi"/>
          <w:noProof/>
          <w:sz w:val="24"/>
          <w:szCs w:val="21"/>
          <w:lang w:eastAsia="en-GB" w:bidi="sa-IN"/>
        </w:rPr>
      </w:pPr>
      <w:hyperlink w:anchor="_Toc243900472" w:history="1">
        <w:r>
          <w:rPr>
            <w:rStyle w:val="Hiperhivatkozs"/>
            <w:noProof/>
            <w:lang w:bidi="ar-SA"/>
          </w:rPr>
          <w:t>16.2.2. Tier 2, block-level elements representing intrinsic structure</w:t>
        </w:r>
        <w:r>
          <w:rPr>
            <w:noProof/>
            <w:webHidden/>
          </w:rPr>
          <w:tab/>
        </w:r>
        <w:r>
          <w:rPr>
            <w:noProof/>
            <w:webHidden/>
          </w:rPr>
          <w:fldChar w:fldCharType="begin"/>
        </w:r>
        <w:r>
          <w:rPr>
            <w:noProof/>
            <w:webHidden/>
          </w:rPr>
          <w:instrText xml:space="preserve"> PAGEREF _Toc243900472 \h </w:instrText>
        </w:r>
        <w:r>
          <w:rPr>
            <w:noProof/>
            <w:webHidden/>
          </w:rPr>
        </w:r>
        <w:r>
          <w:rPr>
            <w:noProof/>
            <w:webHidden/>
          </w:rPr>
          <w:fldChar w:fldCharType="separate"/>
        </w:r>
        <w:r>
          <w:rPr>
            <w:noProof/>
            <w:webHidden/>
          </w:rPr>
          <w:t>193</w:t>
        </w:r>
        <w:r>
          <w:rPr>
            <w:noProof/>
            <w:webHidden/>
          </w:rPr>
          <w:fldChar w:fldCharType="end"/>
        </w:r>
      </w:hyperlink>
    </w:p>
    <w:p w14:paraId="2BDB130A" w14:textId="4D9FC2C2">
      <w:pPr>
        <w:pStyle w:val="TJ3"/>
        <w:rPr>
          <w:rFonts w:asciiTheme="minorHAnsi" w:hAnsiTheme="minorHAnsi" w:cstheme="minorBidi"/>
          <w:noProof/>
          <w:sz w:val="24"/>
          <w:szCs w:val="21"/>
          <w:lang w:eastAsia="en-GB" w:bidi="sa-IN"/>
        </w:rPr>
      </w:pPr>
      <w:hyperlink w:anchor="_Toc243900473" w:history="1">
        <w:r>
          <w:rPr>
            <w:rStyle w:val="Hiperhivatkozs"/>
            <w:noProof/>
            <w:lang w:bidi="ar-SA"/>
          </w:rPr>
          <w:t>16.2.3. Tier 2A, phrase-level elements representing semantic information</w:t>
        </w:r>
        <w:r>
          <w:rPr>
            <w:noProof/>
            <w:webHidden/>
          </w:rPr>
          <w:tab/>
        </w:r>
        <w:r>
          <w:rPr>
            <w:noProof/>
            <w:webHidden/>
          </w:rPr>
          <w:fldChar w:fldCharType="begin"/>
        </w:r>
        <w:r>
          <w:rPr>
            <w:noProof/>
            <w:webHidden/>
          </w:rPr>
          <w:instrText xml:space="preserve"> PAGEREF _Toc243900473 \h </w:instrText>
        </w:r>
        <w:r>
          <w:rPr>
            <w:noProof/>
            <w:webHidden/>
          </w:rPr>
        </w:r>
        <w:r>
          <w:rPr>
            <w:noProof/>
            <w:webHidden/>
          </w:rPr>
          <w:fldChar w:fldCharType="separate"/>
        </w:r>
        <w:r>
          <w:rPr>
            <w:noProof/>
            <w:webHidden/>
          </w:rPr>
          <w:t>193</w:t>
        </w:r>
        <w:r>
          <w:rPr>
            <w:noProof/>
            <w:webHidden/>
          </w:rPr>
          <w:fldChar w:fldCharType="end"/>
        </w:r>
      </w:hyperlink>
    </w:p>
    <w:p w14:paraId="0E761F0F" w14:textId="54E56485">
      <w:pPr>
        <w:pStyle w:val="TJ3"/>
        <w:rPr>
          <w:rFonts w:asciiTheme="minorHAnsi" w:hAnsiTheme="minorHAnsi" w:cstheme="minorBidi"/>
          <w:noProof/>
          <w:sz w:val="24"/>
          <w:szCs w:val="21"/>
          <w:lang w:eastAsia="en-GB" w:bidi="sa-IN"/>
        </w:rPr>
      </w:pPr>
      <w:hyperlink w:anchor="_Toc243900474" w:history="1">
        <w:r>
          <w:rPr>
            <w:rStyle w:val="Hiperhivatkozs"/>
            <w:noProof/>
            <w:lang w:bidi="ar-SA"/>
          </w:rPr>
          <w:t>16.2.4. Tier 3, empty elements representing extrinsic structure</w:t>
        </w:r>
        <w:r>
          <w:rPr>
            <w:noProof/>
            <w:webHidden/>
          </w:rPr>
          <w:tab/>
        </w:r>
        <w:r>
          <w:rPr>
            <w:noProof/>
            <w:webHidden/>
          </w:rPr>
          <w:fldChar w:fldCharType="begin"/>
        </w:r>
        <w:r>
          <w:rPr>
            <w:noProof/>
            <w:webHidden/>
          </w:rPr>
          <w:instrText xml:space="preserve"> PAGEREF _Toc243900474 \h </w:instrText>
        </w:r>
        <w:r>
          <w:rPr>
            <w:noProof/>
            <w:webHidden/>
          </w:rPr>
        </w:r>
        <w:r>
          <w:rPr>
            <w:noProof/>
            <w:webHidden/>
          </w:rPr>
          <w:fldChar w:fldCharType="separate"/>
        </w:r>
        <w:r>
          <w:rPr>
            <w:noProof/>
            <w:webHidden/>
          </w:rPr>
          <w:t>194</w:t>
        </w:r>
        <w:r>
          <w:rPr>
            <w:noProof/>
            <w:webHidden/>
          </w:rPr>
          <w:fldChar w:fldCharType="end"/>
        </w:r>
      </w:hyperlink>
    </w:p>
    <w:p w14:paraId="64922D4E" w14:textId="739510F3">
      <w:pPr>
        <w:pStyle w:val="TJ3"/>
        <w:rPr>
          <w:rFonts w:asciiTheme="minorHAnsi" w:hAnsiTheme="minorHAnsi" w:cstheme="minorBidi"/>
          <w:noProof/>
          <w:sz w:val="24"/>
          <w:szCs w:val="21"/>
          <w:lang w:eastAsia="en-GB" w:bidi="sa-IN"/>
        </w:rPr>
      </w:pPr>
      <w:hyperlink w:anchor="_Toc243900475" w:history="1">
        <w:r>
          <w:rPr>
            <w:rStyle w:val="Hiperhivatkozs"/>
            <w:noProof/>
            <w:lang w:bidi="ar-SA"/>
          </w:rPr>
          <w:t>16.2.5. Tier 4, empty elements representing local features</w:t>
        </w:r>
        <w:r>
          <w:rPr>
            <w:noProof/>
            <w:webHidden/>
          </w:rPr>
          <w:tab/>
        </w:r>
        <w:r>
          <w:rPr>
            <w:noProof/>
            <w:webHidden/>
          </w:rPr>
          <w:fldChar w:fldCharType="begin"/>
        </w:r>
        <w:r>
          <w:rPr>
            <w:noProof/>
            <w:webHidden/>
          </w:rPr>
          <w:instrText xml:space="preserve"> PAGEREF _Toc243900475 \h </w:instrText>
        </w:r>
        <w:r>
          <w:rPr>
            <w:noProof/>
            <w:webHidden/>
          </w:rPr>
        </w:r>
        <w:r>
          <w:rPr>
            <w:noProof/>
            <w:webHidden/>
          </w:rPr>
          <w:fldChar w:fldCharType="separate"/>
        </w:r>
        <w:r>
          <w:rPr>
            <w:noProof/>
            <w:webHidden/>
          </w:rPr>
          <w:t>194</w:t>
        </w:r>
        <w:r>
          <w:rPr>
            <w:noProof/>
            <w:webHidden/>
          </w:rPr>
          <w:fldChar w:fldCharType="end"/>
        </w:r>
      </w:hyperlink>
    </w:p>
    <w:p w14:paraId="56E105A4" w14:textId="0C9D29F9">
      <w:pPr>
        <w:pStyle w:val="TJ3"/>
        <w:rPr>
          <w:rFonts w:asciiTheme="minorHAnsi" w:hAnsiTheme="minorHAnsi" w:cstheme="minorBidi"/>
          <w:noProof/>
          <w:sz w:val="24"/>
          <w:szCs w:val="21"/>
          <w:lang w:eastAsia="en-GB" w:bidi="sa-IN"/>
        </w:rPr>
      </w:pPr>
      <w:hyperlink w:anchor="_Toc243900476" w:history="1">
        <w:r>
          <w:rPr>
            <w:rStyle w:val="Hiperhivatkozs"/>
            <w:noProof/>
            <w:lang w:bidi="ar-SA"/>
          </w:rPr>
          <w:t>16.2.6. Tier 5, phrase-level elements representing changes to the text</w:t>
        </w:r>
        <w:r>
          <w:rPr>
            <w:noProof/>
            <w:webHidden/>
          </w:rPr>
          <w:tab/>
        </w:r>
        <w:r>
          <w:rPr>
            <w:noProof/>
            <w:webHidden/>
          </w:rPr>
          <w:fldChar w:fldCharType="begin"/>
        </w:r>
        <w:r>
          <w:rPr>
            <w:noProof/>
            <w:webHidden/>
          </w:rPr>
          <w:instrText xml:space="preserve"> PAGEREF _Toc243900476 \h </w:instrText>
        </w:r>
        <w:r>
          <w:rPr>
            <w:noProof/>
            <w:webHidden/>
          </w:rPr>
        </w:r>
        <w:r>
          <w:rPr>
            <w:noProof/>
            <w:webHidden/>
          </w:rPr>
          <w:fldChar w:fldCharType="separate"/>
        </w:r>
        <w:r>
          <w:rPr>
            <w:noProof/>
            <w:webHidden/>
          </w:rPr>
          <w:t>194</w:t>
        </w:r>
        <w:r>
          <w:rPr>
            <w:noProof/>
            <w:webHidden/>
          </w:rPr>
          <w:fldChar w:fldCharType="end"/>
        </w:r>
      </w:hyperlink>
    </w:p>
    <w:p w14:paraId="11A24B88" w14:textId="6CDCDCFD">
      <w:pPr>
        <w:pStyle w:val="TJ3"/>
        <w:rPr>
          <w:rFonts w:asciiTheme="minorHAnsi" w:hAnsiTheme="minorHAnsi" w:cstheme="minorBidi"/>
          <w:noProof/>
          <w:sz w:val="24"/>
          <w:szCs w:val="21"/>
          <w:lang w:eastAsia="en-GB" w:bidi="sa-IN"/>
        </w:rPr>
      </w:pPr>
      <w:hyperlink w:anchor="_Toc243900477" w:history="1">
        <w:r>
          <w:rPr>
            <w:rStyle w:val="Hiperhivatkozs"/>
            <w:noProof/>
            <w:lang w:bidi="ar-SA"/>
          </w:rPr>
          <w:t>16.2.7. Tier 6, unclear</w:t>
        </w:r>
        <w:r>
          <w:rPr>
            <w:noProof/>
            <w:webHidden/>
          </w:rPr>
          <w:tab/>
        </w:r>
        <w:r>
          <w:rPr>
            <w:noProof/>
            <w:webHidden/>
          </w:rPr>
          <w:fldChar w:fldCharType="begin"/>
        </w:r>
        <w:r>
          <w:rPr>
            <w:noProof/>
            <w:webHidden/>
          </w:rPr>
          <w:instrText xml:space="preserve"> PAGEREF _Toc243900477 \h </w:instrText>
        </w:r>
        <w:r>
          <w:rPr>
            <w:noProof/>
            <w:webHidden/>
          </w:rPr>
        </w:r>
        <w:r>
          <w:rPr>
            <w:noProof/>
            <w:webHidden/>
          </w:rPr>
          <w:fldChar w:fldCharType="separate"/>
        </w:r>
        <w:r>
          <w:rPr>
            <w:noProof/>
            <w:webHidden/>
          </w:rPr>
          <w:t>195</w:t>
        </w:r>
        <w:r>
          <w:rPr>
            <w:noProof/>
            <w:webHidden/>
          </w:rPr>
          <w:fldChar w:fldCharType="end"/>
        </w:r>
      </w:hyperlink>
    </w:p>
    <w:p w14:paraId="1A3869EA" w14:textId="3363B36C">
      <w:pPr>
        <w:pStyle w:val="TJ2"/>
        <w:rPr>
          <w:rFonts w:asciiTheme="minorHAnsi" w:hAnsiTheme="minorHAnsi" w:cstheme="minorBidi"/>
          <w:noProof/>
          <w:sz w:val="24"/>
          <w:szCs w:val="21"/>
          <w:lang w:eastAsia="en-GB" w:bidi="sa-IN"/>
        </w:rPr>
      </w:pPr>
      <w:hyperlink w:anchor="_Toc243900478" w:history="1">
        <w:r>
          <w:rPr>
            <w:rStyle w:val="Hiperhivatkozs"/>
            <w:noProof/>
            <w:lang w:bidi="ar-SA"/>
          </w:rPr>
          <w:t>16.3. Graphemes and the granularity of encoding</w:t>
        </w:r>
        <w:r>
          <w:rPr>
            <w:noProof/>
            <w:webHidden/>
          </w:rPr>
          <w:tab/>
        </w:r>
        <w:r>
          <w:rPr>
            <w:noProof/>
            <w:webHidden/>
          </w:rPr>
          <w:fldChar w:fldCharType="begin"/>
        </w:r>
        <w:r>
          <w:rPr>
            <w:noProof/>
            <w:webHidden/>
          </w:rPr>
          <w:instrText xml:space="preserve"> PAGEREF _Toc243900478 \h </w:instrText>
        </w:r>
        <w:r>
          <w:rPr>
            <w:noProof/>
            <w:webHidden/>
          </w:rPr>
        </w:r>
        <w:r>
          <w:rPr>
            <w:noProof/>
            <w:webHidden/>
          </w:rPr>
          <w:fldChar w:fldCharType="separate"/>
        </w:r>
        <w:r>
          <w:rPr>
            <w:noProof/>
            <w:webHidden/>
          </w:rPr>
          <w:t>195</w:t>
        </w:r>
        <w:r>
          <w:rPr>
            <w:noProof/>
            <w:webHidden/>
          </w:rPr>
          <w:fldChar w:fldCharType="end"/>
        </w:r>
      </w:hyperlink>
    </w:p>
    <w:p w14:paraId="0143F0C1" w14:textId="4618724C">
      <w:pPr>
        <w:pStyle w:val="TJ3"/>
        <w:rPr>
          <w:rFonts w:asciiTheme="minorHAnsi" w:hAnsiTheme="minorHAnsi" w:cstheme="minorBidi"/>
          <w:noProof/>
          <w:sz w:val="24"/>
          <w:szCs w:val="21"/>
          <w:lang w:eastAsia="en-GB" w:bidi="sa-IN"/>
        </w:rPr>
      </w:pPr>
      <w:hyperlink w:anchor="_Toc243900479" w:history="1">
        <w:r>
          <w:rPr>
            <w:rStyle w:val="Hiperhivatkozs"/>
            <w:noProof/>
            <w:lang w:bidi="ar-SA"/>
          </w:rPr>
          <w:t>16.3.1. Grapholinguistic recap</w:t>
        </w:r>
        <w:r>
          <w:rPr>
            <w:noProof/>
            <w:webHidden/>
          </w:rPr>
          <w:tab/>
        </w:r>
        <w:r>
          <w:rPr>
            <w:noProof/>
            <w:webHidden/>
          </w:rPr>
          <w:fldChar w:fldCharType="begin"/>
        </w:r>
        <w:r>
          <w:rPr>
            <w:noProof/>
            <w:webHidden/>
          </w:rPr>
          <w:instrText xml:space="preserve"> PAGEREF _Toc243900479 \h </w:instrText>
        </w:r>
        <w:r>
          <w:rPr>
            <w:noProof/>
            <w:webHidden/>
          </w:rPr>
        </w:r>
        <w:r>
          <w:rPr>
            <w:noProof/>
            <w:webHidden/>
          </w:rPr>
          <w:fldChar w:fldCharType="separate"/>
        </w:r>
        <w:r>
          <w:rPr>
            <w:noProof/>
            <w:webHidden/>
          </w:rPr>
          <w:t>195</w:t>
        </w:r>
        <w:r>
          <w:rPr>
            <w:noProof/>
            <w:webHidden/>
          </w:rPr>
          <w:fldChar w:fldCharType="end"/>
        </w:r>
      </w:hyperlink>
    </w:p>
    <w:p w14:paraId="2677DF2D" w14:textId="2FFC70F3">
      <w:pPr>
        <w:pStyle w:val="TJ3"/>
        <w:rPr>
          <w:rFonts w:asciiTheme="minorHAnsi" w:hAnsiTheme="minorHAnsi" w:cstheme="minorBidi"/>
          <w:noProof/>
          <w:sz w:val="24"/>
          <w:szCs w:val="21"/>
          <w:lang w:eastAsia="en-GB" w:bidi="sa-IN"/>
        </w:rPr>
      </w:pPr>
      <w:hyperlink w:anchor="_Toc243900480" w:history="1">
        <w:r>
          <w:rPr>
            <w:rStyle w:val="Hiperhivatkozs"/>
            <w:noProof/>
            <w:lang w:bidi="ar-SA"/>
          </w:rPr>
          <w:t>16.3.2. Encoding Indic documents in Romanised transliteration</w:t>
        </w:r>
        <w:r>
          <w:rPr>
            <w:noProof/>
            <w:webHidden/>
          </w:rPr>
          <w:tab/>
        </w:r>
        <w:r>
          <w:rPr>
            <w:noProof/>
            <w:webHidden/>
          </w:rPr>
          <w:fldChar w:fldCharType="begin"/>
        </w:r>
        <w:r>
          <w:rPr>
            <w:noProof/>
            <w:webHidden/>
          </w:rPr>
          <w:instrText xml:space="preserve"> PAGEREF _Toc243900480 \h </w:instrText>
        </w:r>
        <w:r>
          <w:rPr>
            <w:noProof/>
            <w:webHidden/>
          </w:rPr>
        </w:r>
        <w:r>
          <w:rPr>
            <w:noProof/>
            <w:webHidden/>
          </w:rPr>
          <w:fldChar w:fldCharType="separate"/>
        </w:r>
        <w:r>
          <w:rPr>
            <w:noProof/>
            <w:webHidden/>
          </w:rPr>
          <w:t>196</w:t>
        </w:r>
        <w:r>
          <w:rPr>
            <w:noProof/>
            <w:webHidden/>
          </w:rPr>
          <w:fldChar w:fldCharType="end"/>
        </w:r>
      </w:hyperlink>
    </w:p>
    <w:p w14:paraId="5FB98AA1" w14:textId="668E849B">
      <w:pPr>
        <w:pStyle w:val="TJ1"/>
        <w:rPr>
          <w:rFonts w:asciiTheme="minorHAnsi" w:hAnsiTheme="minorHAnsi" w:cstheme="minorBidi"/>
          <w:b w:val="0"/>
          <w:noProof/>
          <w:sz w:val="24"/>
          <w:szCs w:val="21"/>
          <w:lang w:eastAsia="en-GB" w:bidi="sa-IN"/>
        </w:rPr>
      </w:pPr>
      <w:hyperlink w:anchor="_Toc243900481" w:history="1">
        <w:r>
          <w:rPr>
            <w:rStyle w:val="Hiperhivatkozs"/>
            <w:noProof/>
            <w:lang w:bidi="ar-SA"/>
          </w:rPr>
          <w:t>Appendix A. Case Studies in encoding complex layout</w:t>
        </w:r>
        <w:r>
          <w:rPr>
            <w:noProof/>
            <w:webHidden/>
          </w:rPr>
          <w:tab/>
        </w:r>
        <w:r>
          <w:rPr>
            <w:noProof/>
            <w:webHidden/>
          </w:rPr>
          <w:fldChar w:fldCharType="begin"/>
        </w:r>
        <w:r>
          <w:rPr>
            <w:noProof/>
            <w:webHidden/>
          </w:rPr>
          <w:instrText xml:space="preserve"> PAGEREF _Toc243900481 \h </w:instrText>
        </w:r>
        <w:r>
          <w:rPr>
            <w:noProof/>
            <w:webHidden/>
          </w:rPr>
        </w:r>
        <w:r>
          <w:rPr>
            <w:noProof/>
            <w:webHidden/>
          </w:rPr>
          <w:fldChar w:fldCharType="separate"/>
        </w:r>
        <w:r>
          <w:rPr>
            <w:noProof/>
            <w:webHidden/>
          </w:rPr>
          <w:t>199</w:t>
        </w:r>
        <w:r>
          <w:rPr>
            <w:noProof/>
            <w:webHidden/>
          </w:rPr>
          <w:fldChar w:fldCharType="end"/>
        </w:r>
      </w:hyperlink>
    </w:p>
    <w:p w14:paraId="6C081A31" w14:textId="0D45AE0D">
      <w:pPr>
        <w:pStyle w:val="TJ2"/>
        <w:rPr>
          <w:rFonts w:asciiTheme="minorHAnsi" w:hAnsiTheme="minorHAnsi" w:cstheme="minorBidi"/>
          <w:noProof/>
          <w:sz w:val="24"/>
          <w:szCs w:val="21"/>
          <w:lang w:eastAsia="en-GB" w:bidi="sa-IN"/>
        </w:rPr>
      </w:pPr>
      <w:hyperlink w:anchor="_Toc243900482" w:history="1">
        <w:r>
          <w:rPr>
            <w:rStyle w:val="Hiperhivatkozs"/>
            <w:noProof/>
            <w:lang w:bidi="ar-SA"/>
          </w:rPr>
          <w:t>Appendix A.1. Slab in two non-contiguous fragments</w:t>
        </w:r>
        <w:r>
          <w:rPr>
            <w:noProof/>
            <w:webHidden/>
          </w:rPr>
          <w:tab/>
        </w:r>
        <w:r>
          <w:rPr>
            <w:noProof/>
            <w:webHidden/>
          </w:rPr>
          <w:fldChar w:fldCharType="begin"/>
        </w:r>
        <w:r>
          <w:rPr>
            <w:noProof/>
            <w:webHidden/>
          </w:rPr>
          <w:instrText xml:space="preserve"> PAGEREF _Toc243900482 \h </w:instrText>
        </w:r>
        <w:r>
          <w:rPr>
            <w:noProof/>
            <w:webHidden/>
          </w:rPr>
        </w:r>
        <w:r>
          <w:rPr>
            <w:noProof/>
            <w:webHidden/>
          </w:rPr>
          <w:fldChar w:fldCharType="separate"/>
        </w:r>
        <w:r>
          <w:rPr>
            <w:noProof/>
            <w:webHidden/>
          </w:rPr>
          <w:t>199</w:t>
        </w:r>
        <w:r>
          <w:rPr>
            <w:noProof/>
            <w:webHidden/>
          </w:rPr>
          <w:fldChar w:fldCharType="end"/>
        </w:r>
      </w:hyperlink>
    </w:p>
    <w:p w14:paraId="0DE1A7EA" w14:textId="49F190D0">
      <w:pPr>
        <w:pStyle w:val="TJ2"/>
        <w:rPr>
          <w:rFonts w:asciiTheme="minorHAnsi" w:hAnsiTheme="minorHAnsi" w:cstheme="minorBidi"/>
          <w:noProof/>
          <w:sz w:val="24"/>
          <w:szCs w:val="21"/>
          <w:lang w:eastAsia="en-GB" w:bidi="sa-IN"/>
        </w:rPr>
      </w:pPr>
      <w:hyperlink w:anchor="_Toc243900483" w:history="1">
        <w:r>
          <w:rPr>
            <w:rStyle w:val="Hiperhivatkozs"/>
            <w:noProof/>
            <w:lang w:bidi="ar-SA"/>
          </w:rPr>
          <w:t>Appendix A.2. Copperplate charter with seal and other goodies</w:t>
        </w:r>
        <w:r>
          <w:rPr>
            <w:noProof/>
            <w:webHidden/>
          </w:rPr>
          <w:tab/>
        </w:r>
        <w:r>
          <w:rPr>
            <w:noProof/>
            <w:webHidden/>
          </w:rPr>
          <w:fldChar w:fldCharType="begin"/>
        </w:r>
        <w:r>
          <w:rPr>
            <w:noProof/>
            <w:webHidden/>
          </w:rPr>
          <w:instrText xml:space="preserve"> PAGEREF _Toc243900483 \h </w:instrText>
        </w:r>
        <w:r>
          <w:rPr>
            <w:noProof/>
            <w:webHidden/>
          </w:rPr>
        </w:r>
        <w:r>
          <w:rPr>
            <w:noProof/>
            <w:webHidden/>
          </w:rPr>
          <w:fldChar w:fldCharType="separate"/>
        </w:r>
        <w:r>
          <w:rPr>
            <w:noProof/>
            <w:webHidden/>
          </w:rPr>
          <w:t>200</w:t>
        </w:r>
        <w:r>
          <w:rPr>
            <w:noProof/>
            <w:webHidden/>
          </w:rPr>
          <w:fldChar w:fldCharType="end"/>
        </w:r>
      </w:hyperlink>
    </w:p>
    <w:p w14:paraId="24F374E1" w14:textId="598CF9AF">
      <w:pPr>
        <w:pStyle w:val="TJ2"/>
        <w:rPr>
          <w:rFonts w:asciiTheme="minorHAnsi" w:hAnsiTheme="minorHAnsi" w:cstheme="minorBidi"/>
          <w:noProof/>
          <w:sz w:val="24"/>
          <w:szCs w:val="21"/>
          <w:lang w:eastAsia="en-GB" w:bidi="sa-IN"/>
        </w:rPr>
      </w:pPr>
      <w:hyperlink w:anchor="_Toc243900484" w:history="1">
        <w:r>
          <w:rPr>
            <w:rStyle w:val="Hiperhivatkozs"/>
            <w:noProof/>
            <w:lang w:bidi="ar-SA"/>
          </w:rPr>
          <w:t>Appendix A.3. Copperplate charter with a lost plate reconstructed</w:t>
        </w:r>
        <w:r>
          <w:rPr>
            <w:noProof/>
            <w:webHidden/>
          </w:rPr>
          <w:tab/>
        </w:r>
        <w:r>
          <w:rPr>
            <w:noProof/>
            <w:webHidden/>
          </w:rPr>
          <w:fldChar w:fldCharType="begin"/>
        </w:r>
        <w:r>
          <w:rPr>
            <w:noProof/>
            <w:webHidden/>
          </w:rPr>
          <w:instrText xml:space="preserve"> PAGEREF _Toc243900484 \h </w:instrText>
        </w:r>
        <w:r>
          <w:rPr>
            <w:noProof/>
            <w:webHidden/>
          </w:rPr>
        </w:r>
        <w:r>
          <w:rPr>
            <w:noProof/>
            <w:webHidden/>
          </w:rPr>
          <w:fldChar w:fldCharType="separate"/>
        </w:r>
        <w:r>
          <w:rPr>
            <w:noProof/>
            <w:webHidden/>
          </w:rPr>
          <w:t>202</w:t>
        </w:r>
        <w:r>
          <w:rPr>
            <w:noProof/>
            <w:webHidden/>
          </w:rPr>
          <w:fldChar w:fldCharType="end"/>
        </w:r>
      </w:hyperlink>
    </w:p>
    <w:p w14:paraId="2AD7B069" w14:textId="6FADBBCA">
      <w:pPr>
        <w:pStyle w:val="TJ2"/>
        <w:rPr>
          <w:rFonts w:asciiTheme="minorHAnsi" w:hAnsiTheme="minorHAnsi" w:cstheme="minorBidi"/>
          <w:noProof/>
          <w:sz w:val="24"/>
          <w:szCs w:val="21"/>
          <w:lang w:eastAsia="en-GB" w:bidi="sa-IN"/>
        </w:rPr>
      </w:pPr>
      <w:hyperlink w:anchor="_Toc243900485" w:history="1">
        <w:r>
          <w:rPr>
            <w:rStyle w:val="Hiperhivatkozs"/>
            <w:noProof/>
            <w:lang w:bidi="ar-SA"/>
          </w:rPr>
          <w:t>Appendix A.4. Copperplate charter with a lost plate not reconstructed</w:t>
        </w:r>
        <w:r>
          <w:rPr>
            <w:noProof/>
            <w:webHidden/>
          </w:rPr>
          <w:tab/>
        </w:r>
        <w:r>
          <w:rPr>
            <w:noProof/>
            <w:webHidden/>
          </w:rPr>
          <w:fldChar w:fldCharType="begin"/>
        </w:r>
        <w:r>
          <w:rPr>
            <w:noProof/>
            <w:webHidden/>
          </w:rPr>
          <w:instrText xml:space="preserve"> PAGEREF _Toc243900485 \h </w:instrText>
        </w:r>
        <w:r>
          <w:rPr>
            <w:noProof/>
            <w:webHidden/>
          </w:rPr>
        </w:r>
        <w:r>
          <w:rPr>
            <w:noProof/>
            <w:webHidden/>
          </w:rPr>
          <w:fldChar w:fldCharType="separate"/>
        </w:r>
        <w:r>
          <w:rPr>
            <w:noProof/>
            <w:webHidden/>
          </w:rPr>
          <w:t>203</w:t>
        </w:r>
        <w:r>
          <w:rPr>
            <w:noProof/>
            <w:webHidden/>
          </w:rPr>
          <w:fldChar w:fldCharType="end"/>
        </w:r>
      </w:hyperlink>
    </w:p>
    <w:p w14:paraId="2F97695D" w14:textId="5BA4A647">
      <w:pPr>
        <w:pStyle w:val="TJ2"/>
        <w:rPr>
          <w:rFonts w:asciiTheme="minorHAnsi" w:hAnsiTheme="minorHAnsi" w:cstheme="minorBidi"/>
          <w:noProof/>
          <w:sz w:val="24"/>
          <w:szCs w:val="21"/>
          <w:lang w:eastAsia="en-GB" w:bidi="sa-IN"/>
        </w:rPr>
      </w:pPr>
      <w:hyperlink w:anchor="_Toc243900486" w:history="1">
        <w:r>
          <w:rPr>
            <w:rStyle w:val="Hiperhivatkozs"/>
            <w:noProof/>
            <w:lang w:bidi="ar-SA"/>
          </w:rPr>
          <w:t>Appendix A.5. Four-faced stele</w:t>
        </w:r>
        <w:r>
          <w:rPr>
            <w:noProof/>
            <w:webHidden/>
          </w:rPr>
          <w:tab/>
        </w:r>
        <w:r>
          <w:rPr>
            <w:noProof/>
            <w:webHidden/>
          </w:rPr>
          <w:fldChar w:fldCharType="begin"/>
        </w:r>
        <w:r>
          <w:rPr>
            <w:noProof/>
            <w:webHidden/>
          </w:rPr>
          <w:instrText xml:space="preserve"> PAGEREF _Toc243900486 \h </w:instrText>
        </w:r>
        <w:r>
          <w:rPr>
            <w:noProof/>
            <w:webHidden/>
          </w:rPr>
        </w:r>
        <w:r>
          <w:rPr>
            <w:noProof/>
            <w:webHidden/>
          </w:rPr>
          <w:fldChar w:fldCharType="separate"/>
        </w:r>
        <w:r>
          <w:rPr>
            <w:noProof/>
            <w:webHidden/>
          </w:rPr>
          <w:t>204</w:t>
        </w:r>
        <w:r>
          <w:rPr>
            <w:noProof/>
            <w:webHidden/>
          </w:rPr>
          <w:fldChar w:fldCharType="end"/>
        </w:r>
      </w:hyperlink>
    </w:p>
    <w:p w14:paraId="5EB1D79F" w14:textId="4E20BFBA">
      <w:pPr>
        <w:pStyle w:val="TJ2"/>
        <w:rPr>
          <w:rFonts w:asciiTheme="minorHAnsi" w:hAnsiTheme="minorHAnsi" w:cstheme="minorBidi"/>
          <w:noProof/>
          <w:sz w:val="24"/>
          <w:szCs w:val="21"/>
          <w:lang w:eastAsia="en-GB" w:bidi="sa-IN"/>
        </w:rPr>
      </w:pPr>
      <w:hyperlink w:anchor="_Toc243900487" w:history="1">
        <w:r>
          <w:rPr>
            <w:rStyle w:val="Hiperhivatkozs"/>
            <w:noProof/>
            <w:lang w:bidi="ar-SA"/>
          </w:rPr>
          <w:t>Appendix A.6. Stele with two inscribed faces, an incipit and quasi-columns</w:t>
        </w:r>
        <w:r>
          <w:rPr>
            <w:noProof/>
            <w:webHidden/>
          </w:rPr>
          <w:tab/>
        </w:r>
        <w:r>
          <w:rPr>
            <w:noProof/>
            <w:webHidden/>
          </w:rPr>
          <w:fldChar w:fldCharType="begin"/>
        </w:r>
        <w:r>
          <w:rPr>
            <w:noProof/>
            <w:webHidden/>
          </w:rPr>
          <w:instrText xml:space="preserve"> PAGEREF _Toc243900487 \h </w:instrText>
        </w:r>
        <w:r>
          <w:rPr>
            <w:noProof/>
            <w:webHidden/>
          </w:rPr>
        </w:r>
        <w:r>
          <w:rPr>
            <w:noProof/>
            <w:webHidden/>
          </w:rPr>
          <w:fldChar w:fldCharType="separate"/>
        </w:r>
        <w:r>
          <w:rPr>
            <w:noProof/>
            <w:webHidden/>
          </w:rPr>
          <w:t>205</w:t>
        </w:r>
        <w:r>
          <w:rPr>
            <w:noProof/>
            <w:webHidden/>
          </w:rPr>
          <w:fldChar w:fldCharType="end"/>
        </w:r>
      </w:hyperlink>
    </w:p>
    <w:p w14:paraId="67A9C97F" w14:textId="0B5E6B14">
      <w:pPr>
        <w:pStyle w:val="TJ1"/>
        <w:rPr>
          <w:rFonts w:asciiTheme="minorHAnsi" w:hAnsiTheme="minorHAnsi" w:cstheme="minorBidi"/>
          <w:b w:val="0"/>
          <w:noProof/>
          <w:sz w:val="24"/>
          <w:szCs w:val="21"/>
          <w:lang w:eastAsia="en-GB" w:bidi="sa-IN"/>
        </w:rPr>
      </w:pPr>
      <w:hyperlink w:anchor="_Toc243900488" w:history="1">
        <w:r>
          <w:rPr>
            <w:rStyle w:val="Hiperhivatkozs"/>
            <w:noProof/>
            <w:lang w:bidi="ar-SA"/>
          </w:rPr>
          <w:t>Appendix B. Titling conventions</w:t>
        </w:r>
        <w:r>
          <w:rPr>
            <w:noProof/>
            <w:webHidden/>
          </w:rPr>
          <w:tab/>
        </w:r>
        <w:r>
          <w:rPr>
            <w:noProof/>
            <w:webHidden/>
          </w:rPr>
          <w:fldChar w:fldCharType="begin"/>
        </w:r>
        <w:r>
          <w:rPr>
            <w:noProof/>
            <w:webHidden/>
          </w:rPr>
          <w:instrText xml:space="preserve"> PAGEREF _Toc243900488 \h </w:instrText>
        </w:r>
        <w:r>
          <w:rPr>
            <w:noProof/>
            <w:webHidden/>
          </w:rPr>
        </w:r>
        <w:r>
          <w:rPr>
            <w:noProof/>
            <w:webHidden/>
          </w:rPr>
          <w:fldChar w:fldCharType="separate"/>
        </w:r>
        <w:r>
          <w:rPr>
            <w:noProof/>
            <w:webHidden/>
          </w:rPr>
          <w:t>208</w:t>
        </w:r>
        <w:r>
          <w:rPr>
            <w:noProof/>
            <w:webHidden/>
          </w:rPr>
          <w:fldChar w:fldCharType="end"/>
        </w:r>
      </w:hyperlink>
    </w:p>
    <w:p w14:paraId="77A40C10" w14:textId="39EE88C4">
      <w:pPr>
        <w:pStyle w:val="TJ1"/>
        <w:rPr>
          <w:rFonts w:asciiTheme="minorHAnsi" w:hAnsiTheme="minorHAnsi" w:cstheme="minorBidi"/>
          <w:b w:val="0"/>
          <w:noProof/>
          <w:sz w:val="24"/>
          <w:szCs w:val="21"/>
          <w:lang w:eastAsia="en-GB" w:bidi="sa-IN"/>
        </w:rPr>
      </w:pPr>
      <w:hyperlink w:anchor="_Toc243900489" w:history="1">
        <w:r>
          <w:rPr>
            <w:rStyle w:val="Hiperhivatkozs"/>
            <w:noProof/>
            <w:lang w:bidi="ar-SA"/>
          </w:rPr>
          <w:t>Appendix C. Creating DHARMA editions from other editions</w:t>
        </w:r>
        <w:r>
          <w:rPr>
            <w:noProof/>
            <w:webHidden/>
          </w:rPr>
          <w:tab/>
        </w:r>
        <w:r>
          <w:rPr>
            <w:noProof/>
            <w:webHidden/>
          </w:rPr>
          <w:fldChar w:fldCharType="begin"/>
        </w:r>
        <w:r>
          <w:rPr>
            <w:noProof/>
            <w:webHidden/>
          </w:rPr>
          <w:instrText xml:space="preserve"> PAGEREF _Toc243900489 \h </w:instrText>
        </w:r>
        <w:r>
          <w:rPr>
            <w:noProof/>
            <w:webHidden/>
          </w:rPr>
        </w:r>
        <w:r>
          <w:rPr>
            <w:noProof/>
            <w:webHidden/>
          </w:rPr>
          <w:fldChar w:fldCharType="separate"/>
        </w:r>
        <w:r>
          <w:rPr>
            <w:noProof/>
            <w:webHidden/>
          </w:rPr>
          <w:t>210</w:t>
        </w:r>
        <w:r>
          <w:rPr>
            <w:noProof/>
            <w:webHidden/>
          </w:rPr>
          <w:fldChar w:fldCharType="end"/>
        </w:r>
      </w:hyperlink>
    </w:p>
    <w:p w14:paraId="6B6FB679" w14:textId="4D83298C">
      <w:pPr>
        <w:pStyle w:val="TJ2"/>
        <w:rPr>
          <w:rFonts w:asciiTheme="minorHAnsi" w:hAnsiTheme="minorHAnsi" w:cstheme="minorBidi"/>
          <w:noProof/>
          <w:sz w:val="24"/>
          <w:szCs w:val="21"/>
          <w:lang w:eastAsia="en-GB" w:bidi="sa-IN"/>
        </w:rPr>
      </w:pPr>
      <w:hyperlink w:anchor="_Toc243900490" w:history="1">
        <w:r>
          <w:rPr>
            <w:rStyle w:val="Hiperhivatkozs"/>
            <w:noProof/>
            <w:lang w:bidi="ar-SA"/>
          </w:rPr>
          <w:t>Appendix C.1. Converting CII/EI markup conventions to EpiDoc</w:t>
        </w:r>
        <w:r>
          <w:rPr>
            <w:noProof/>
            <w:webHidden/>
          </w:rPr>
          <w:tab/>
        </w:r>
        <w:r>
          <w:rPr>
            <w:noProof/>
            <w:webHidden/>
          </w:rPr>
          <w:fldChar w:fldCharType="begin"/>
        </w:r>
        <w:r>
          <w:rPr>
            <w:noProof/>
            <w:webHidden/>
          </w:rPr>
          <w:instrText xml:space="preserve"> PAGEREF _Toc243900490 \h </w:instrText>
        </w:r>
        <w:r>
          <w:rPr>
            <w:noProof/>
            <w:webHidden/>
          </w:rPr>
        </w:r>
        <w:r>
          <w:rPr>
            <w:noProof/>
            <w:webHidden/>
          </w:rPr>
          <w:fldChar w:fldCharType="separate"/>
        </w:r>
        <w:r>
          <w:rPr>
            <w:noProof/>
            <w:webHidden/>
          </w:rPr>
          <w:t>210</w:t>
        </w:r>
        <w:r>
          <w:rPr>
            <w:noProof/>
            <w:webHidden/>
          </w:rPr>
          <w:fldChar w:fldCharType="end"/>
        </w:r>
      </w:hyperlink>
    </w:p>
    <w:p w14:paraId="37B8391E" w14:textId="42B9EA41">
      <w:pPr>
        <w:pStyle w:val="TJ2"/>
        <w:rPr>
          <w:rFonts w:asciiTheme="minorHAnsi" w:hAnsiTheme="minorHAnsi" w:cstheme="minorBidi"/>
          <w:noProof/>
          <w:sz w:val="24"/>
          <w:szCs w:val="21"/>
          <w:lang w:eastAsia="en-GB" w:bidi="sa-IN"/>
        </w:rPr>
      </w:pPr>
      <w:hyperlink w:anchor="_Toc243900491" w:history="1">
        <w:r>
          <w:rPr>
            <w:rStyle w:val="Hiperhivatkozs"/>
            <w:noProof/>
            <w:lang w:bidi="ar-SA"/>
          </w:rPr>
          <w:t>Appendix C.2. Assimilating Pre-existing Corpora into DHARMA</w:t>
        </w:r>
        <w:r>
          <w:rPr>
            <w:noProof/>
            <w:webHidden/>
          </w:rPr>
          <w:tab/>
        </w:r>
        <w:r>
          <w:rPr>
            <w:noProof/>
            <w:webHidden/>
          </w:rPr>
          <w:fldChar w:fldCharType="begin"/>
        </w:r>
        <w:r>
          <w:rPr>
            <w:noProof/>
            <w:webHidden/>
          </w:rPr>
          <w:instrText xml:space="preserve"> PAGEREF _Toc243900491 \h </w:instrText>
        </w:r>
        <w:r>
          <w:rPr>
            <w:noProof/>
            <w:webHidden/>
          </w:rPr>
        </w:r>
        <w:r>
          <w:rPr>
            <w:noProof/>
            <w:webHidden/>
          </w:rPr>
          <w:fldChar w:fldCharType="separate"/>
        </w:r>
        <w:r>
          <w:rPr>
            <w:noProof/>
            <w:webHidden/>
          </w:rPr>
          <w:t>211</w:t>
        </w:r>
        <w:r>
          <w:rPr>
            <w:noProof/>
            <w:webHidden/>
          </w:rPr>
          <w:fldChar w:fldCharType="end"/>
        </w:r>
      </w:hyperlink>
    </w:p>
    <w:p w14:paraId="317402CD" w14:textId="06F69A25">
      <w:pPr>
        <w:pStyle w:val="TJ3"/>
        <w:rPr>
          <w:rFonts w:asciiTheme="minorHAnsi" w:hAnsiTheme="minorHAnsi" w:cstheme="minorBidi"/>
          <w:noProof/>
          <w:sz w:val="24"/>
          <w:szCs w:val="21"/>
          <w:lang w:eastAsia="en-GB" w:bidi="sa-IN"/>
        </w:rPr>
      </w:pPr>
      <w:hyperlink w:anchor="_Toc243900492" w:history="1">
        <w:r>
          <w:rPr>
            <w:rStyle w:val="Hiperhivatkozs"/>
            <w:noProof/>
            <w:lang w:bidi="ar-SA"/>
          </w:rPr>
          <w:t>Appendix C.2.1. Crediting the previous digital editor(s)</w:t>
        </w:r>
        <w:r>
          <w:rPr>
            <w:noProof/>
            <w:webHidden/>
          </w:rPr>
          <w:tab/>
        </w:r>
        <w:r>
          <w:rPr>
            <w:noProof/>
            <w:webHidden/>
          </w:rPr>
          <w:fldChar w:fldCharType="begin"/>
        </w:r>
        <w:r>
          <w:rPr>
            <w:noProof/>
            <w:webHidden/>
          </w:rPr>
          <w:instrText xml:space="preserve"> PAGEREF _Toc243900492 \h </w:instrText>
        </w:r>
        <w:r>
          <w:rPr>
            <w:noProof/>
            <w:webHidden/>
          </w:rPr>
        </w:r>
        <w:r>
          <w:rPr>
            <w:noProof/>
            <w:webHidden/>
          </w:rPr>
          <w:fldChar w:fldCharType="separate"/>
        </w:r>
        <w:r>
          <w:rPr>
            <w:noProof/>
            <w:webHidden/>
          </w:rPr>
          <w:t>211</w:t>
        </w:r>
        <w:r>
          <w:rPr>
            <w:noProof/>
            <w:webHidden/>
          </w:rPr>
          <w:fldChar w:fldCharType="end"/>
        </w:r>
      </w:hyperlink>
    </w:p>
    <w:p w14:paraId="4A9C3037" w14:textId="1588DFB3">
      <w:pPr>
        <w:pStyle w:val="TJ3"/>
        <w:rPr>
          <w:rFonts w:asciiTheme="minorHAnsi" w:hAnsiTheme="minorHAnsi" w:cstheme="minorBidi"/>
          <w:noProof/>
          <w:sz w:val="24"/>
          <w:szCs w:val="21"/>
          <w:lang w:eastAsia="en-GB" w:bidi="sa-IN"/>
        </w:rPr>
      </w:pPr>
      <w:hyperlink w:anchor="_Toc243900493" w:history="1">
        <w:r>
          <w:rPr>
            <w:rStyle w:val="Hiperhivatkozs"/>
            <w:noProof/>
            <w:lang w:bidi="ar-SA"/>
          </w:rPr>
          <w:t>Appendix C.2.2. Referring to the ingested digital edition</w:t>
        </w:r>
        <w:r>
          <w:rPr>
            <w:noProof/>
            <w:webHidden/>
          </w:rPr>
          <w:tab/>
        </w:r>
        <w:r>
          <w:rPr>
            <w:noProof/>
            <w:webHidden/>
          </w:rPr>
          <w:fldChar w:fldCharType="begin"/>
        </w:r>
        <w:r>
          <w:rPr>
            <w:noProof/>
            <w:webHidden/>
          </w:rPr>
          <w:instrText xml:space="preserve"> PAGEREF _Toc243900493 \h </w:instrText>
        </w:r>
        <w:r>
          <w:rPr>
            <w:noProof/>
            <w:webHidden/>
          </w:rPr>
        </w:r>
        <w:r>
          <w:rPr>
            <w:noProof/>
            <w:webHidden/>
          </w:rPr>
          <w:fldChar w:fldCharType="separate"/>
        </w:r>
        <w:r>
          <w:rPr>
            <w:noProof/>
            <w:webHidden/>
          </w:rPr>
          <w:t>211</w:t>
        </w:r>
        <w:r>
          <w:rPr>
            <w:noProof/>
            <w:webHidden/>
          </w:rPr>
          <w:fldChar w:fldCharType="end"/>
        </w:r>
      </w:hyperlink>
    </w:p>
    <w:p w14:paraId="64F27B3B" w14:textId="2C182FEF">
      <w:pPr>
        <w:pStyle w:val="TJ3"/>
        <w:rPr>
          <w:rFonts w:asciiTheme="minorHAnsi" w:hAnsiTheme="minorHAnsi" w:cstheme="minorBidi"/>
          <w:noProof/>
          <w:sz w:val="24"/>
          <w:szCs w:val="21"/>
          <w:lang w:eastAsia="en-GB" w:bidi="sa-IN"/>
        </w:rPr>
      </w:pPr>
      <w:hyperlink w:anchor="_Toc243900494" w:history="1">
        <w:r>
          <w:rPr>
            <w:rStyle w:val="Hiperhivatkozs"/>
            <w:noProof/>
            <w:lang w:bidi="ar-SA"/>
          </w:rPr>
          <w:t>Appendix C.2.3. Manual revision of the encoding</w:t>
        </w:r>
        <w:r>
          <w:rPr>
            <w:noProof/>
            <w:webHidden/>
          </w:rPr>
          <w:tab/>
        </w:r>
        <w:r>
          <w:rPr>
            <w:noProof/>
            <w:webHidden/>
          </w:rPr>
          <w:fldChar w:fldCharType="begin"/>
        </w:r>
        <w:r>
          <w:rPr>
            <w:noProof/>
            <w:webHidden/>
          </w:rPr>
          <w:instrText xml:space="preserve"> PAGEREF _Toc243900494 \h </w:instrText>
        </w:r>
        <w:r>
          <w:rPr>
            <w:noProof/>
            <w:webHidden/>
          </w:rPr>
        </w:r>
        <w:r>
          <w:rPr>
            <w:noProof/>
            <w:webHidden/>
          </w:rPr>
          <w:fldChar w:fldCharType="separate"/>
        </w:r>
        <w:r>
          <w:rPr>
            <w:noProof/>
            <w:webHidden/>
          </w:rPr>
          <w:t>212</w:t>
        </w:r>
        <w:r>
          <w:rPr>
            <w:noProof/>
            <w:webHidden/>
          </w:rPr>
          <w:fldChar w:fldCharType="end"/>
        </w:r>
      </w:hyperlink>
    </w:p>
    <w:p w14:paraId="456E6AB0" w14:textId="3DAF0C3A">
      <w:pPr>
        <w:pStyle w:val="TJ1"/>
        <w:rPr>
          <w:rFonts w:asciiTheme="minorHAnsi" w:hAnsiTheme="minorHAnsi" w:cstheme="minorBidi"/>
          <w:b w:val="0"/>
          <w:noProof/>
          <w:sz w:val="24"/>
          <w:szCs w:val="21"/>
          <w:lang w:eastAsia="en-GB" w:bidi="sa-IN"/>
        </w:rPr>
      </w:pPr>
      <w:hyperlink w:anchor="_Toc243900495" w:history="1">
        <w:r>
          <w:rPr>
            <w:rStyle w:val="Hiperhivatkozs"/>
            <w:noProof/>
            <w:lang w:bidi="ar-SA"/>
          </w:rPr>
          <w:t>References</w:t>
        </w:r>
        <w:r>
          <w:rPr>
            <w:noProof/>
            <w:webHidden/>
          </w:rPr>
          <w:tab/>
        </w:r>
        <w:r>
          <w:rPr>
            <w:noProof/>
            <w:webHidden/>
          </w:rPr>
          <w:fldChar w:fldCharType="begin"/>
        </w:r>
        <w:r>
          <w:rPr>
            <w:noProof/>
            <w:webHidden/>
          </w:rPr>
          <w:instrText xml:space="preserve"> PAGEREF _Toc243900495 \h </w:instrText>
        </w:r>
        <w:r>
          <w:rPr>
            <w:noProof/>
            <w:webHidden/>
          </w:rPr>
        </w:r>
        <w:r>
          <w:rPr>
            <w:noProof/>
            <w:webHidden/>
          </w:rPr>
          <w:fldChar w:fldCharType="separate"/>
        </w:r>
        <w:r>
          <w:rPr>
            <w:noProof/>
            <w:webHidden/>
          </w:rPr>
          <w:t>213</w:t>
        </w:r>
        <w:r>
          <w:rPr>
            <w:noProof/>
            <w:webHidden/>
          </w:rPr>
          <w:fldChar w:fldCharType="end"/>
        </w:r>
      </w:hyperlink>
    </w:p>
    <w:p w14:paraId="64BEF042" w14:textId="37FFBD20">
      <w:r>
        <w:rPr>
          <w:rFonts w:ascii="Calibri" w:hAnsi="Calibri"/>
          <w:b/>
        </w:rPr>
        <w:fldChar w:fldCharType="end"/>
      </w:r>
    </w:p>
    <w:p w14:paraId="0C1405DF" w14:textId="77777777">
      <w:pPr>
        <w:pStyle w:val="Cmsor1"/>
      </w:pPr>
      <w:bookmarkStart w:id="6" w:name="_Toc243900224"/>
      <w:r>
        <w:lastRenderedPageBreak/>
        <w:t>Introduction</w:t>
      </w:r>
      <w:bookmarkEnd w:id="6"/>
    </w:p>
    <w:p w14:paraId="7731F315" w14:textId="77777777">
      <w:pPr>
        <w:pStyle w:val="Cmsor2"/>
      </w:pPr>
      <w:bookmarkStart w:id="7" w:name="_ta3bzfnw5348" w:colFirst="0" w:colLast="0"/>
      <w:bookmarkStart w:id="8" w:name="_Toc243900225"/>
      <w:bookmarkEnd w:id="7"/>
      <w:r>
        <w:t>Version history</w:t>
      </w:r>
      <w:bookmarkEnd w:id="8"/>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24"/>
        <w:gridCol w:w="3487"/>
        <w:gridCol w:w="3487"/>
        <w:gridCol w:w="1420"/>
      </w:tblGrid>
      <w:tr w14:paraId="0031A3A5" w14:textId="77777777">
        <w:trPr>
          <w:trHeight w:val="480"/>
        </w:trPr>
        <w:tc>
          <w:tcPr>
            <w:tcW w:w="636" w:type="pct"/>
            <w:shd w:val="clear" w:color="auto" w:fill="EAF1DD"/>
            <w:tcMar>
              <w:top w:w="100" w:type="dxa"/>
              <w:left w:w="100" w:type="dxa"/>
              <w:bottom w:w="100" w:type="dxa"/>
              <w:right w:w="100" w:type="dxa"/>
            </w:tcMar>
          </w:tcPr>
          <w:p w14:paraId="524759E0" w14:textId="77777777">
            <w:pPr>
              <w:pStyle w:val="Tabletext"/>
            </w:pPr>
            <w:r>
              <w:t>Version</w:t>
            </w:r>
          </w:p>
        </w:tc>
        <w:tc>
          <w:tcPr>
            <w:tcW w:w="1812" w:type="pct"/>
            <w:shd w:val="clear" w:color="auto" w:fill="EAF1DD"/>
          </w:tcPr>
          <w:p w14:paraId="164FB9EC" w14:textId="77777777">
            <w:pPr>
              <w:pStyle w:val="Tabletext"/>
            </w:pPr>
            <w:r>
              <w:t>Authors</w:t>
            </w:r>
          </w:p>
        </w:tc>
        <w:tc>
          <w:tcPr>
            <w:tcW w:w="1813" w:type="pct"/>
            <w:shd w:val="clear" w:color="auto" w:fill="EAF1DD"/>
            <w:tcMar>
              <w:top w:w="100" w:type="dxa"/>
              <w:left w:w="100" w:type="dxa"/>
              <w:bottom w:w="100" w:type="dxa"/>
              <w:right w:w="100" w:type="dxa"/>
            </w:tcMar>
          </w:tcPr>
          <w:p w14:paraId="0B9C5A85" w14:textId="77777777">
            <w:pPr>
              <w:pStyle w:val="Tabletext"/>
            </w:pPr>
            <w:r>
              <w:t>Changes</w:t>
            </w:r>
          </w:p>
        </w:tc>
        <w:tc>
          <w:tcPr>
            <w:tcW w:w="738" w:type="pct"/>
            <w:shd w:val="clear" w:color="auto" w:fill="EAF1DD"/>
            <w:tcMar>
              <w:top w:w="100" w:type="dxa"/>
              <w:left w:w="100" w:type="dxa"/>
              <w:bottom w:w="100" w:type="dxa"/>
              <w:right w:w="100" w:type="dxa"/>
            </w:tcMar>
          </w:tcPr>
          <w:p w14:paraId="0849543F" w14:textId="77777777">
            <w:pPr>
              <w:pStyle w:val="Tabletext"/>
            </w:pPr>
            <w:r>
              <w:t>Date</w:t>
            </w:r>
          </w:p>
        </w:tc>
      </w:tr>
      <w:tr w14:paraId="650D11C2" w14:textId="77777777">
        <w:tc>
          <w:tcPr>
            <w:tcW w:w="636" w:type="pct"/>
            <w:tcMar>
              <w:top w:w="100" w:type="dxa"/>
              <w:left w:w="100" w:type="dxa"/>
              <w:bottom w:w="100" w:type="dxa"/>
              <w:right w:w="100" w:type="dxa"/>
            </w:tcMar>
          </w:tcPr>
          <w:p w14:paraId="0B5FB19C" w14:textId="77777777">
            <w:pPr>
              <w:pStyle w:val="Tabletext"/>
            </w:pPr>
            <w:r>
              <w:t>0.1</w:t>
            </w:r>
          </w:p>
        </w:tc>
        <w:tc>
          <w:tcPr>
            <w:tcW w:w="1812" w:type="pct"/>
          </w:tcPr>
          <w:p w14:paraId="712D57C8" w14:textId="77777777">
            <w:pPr>
              <w:pStyle w:val="Tabletext"/>
            </w:pPr>
            <w:r>
              <w:t>Balogh</w:t>
            </w:r>
          </w:p>
        </w:tc>
        <w:tc>
          <w:tcPr>
            <w:tcW w:w="1813" w:type="pct"/>
            <w:tcMar>
              <w:top w:w="100" w:type="dxa"/>
              <w:left w:w="100" w:type="dxa"/>
              <w:bottom w:w="100" w:type="dxa"/>
              <w:right w:w="100" w:type="dxa"/>
            </w:tcMar>
          </w:tcPr>
          <w:p w14:paraId="738D7F04" w14:textId="77777777">
            <w:pPr>
              <w:pStyle w:val="Tabletext"/>
            </w:pPr>
            <w:r>
              <w:t>Redaction of the first draft</w:t>
            </w:r>
          </w:p>
        </w:tc>
        <w:tc>
          <w:tcPr>
            <w:tcW w:w="738" w:type="pct"/>
            <w:tcMar>
              <w:top w:w="100" w:type="dxa"/>
              <w:left w:w="100" w:type="dxa"/>
              <w:bottom w:w="100" w:type="dxa"/>
              <w:right w:w="100" w:type="dxa"/>
            </w:tcMar>
          </w:tcPr>
          <w:p w14:paraId="164EB89D" w14:textId="77777777">
            <w:pPr>
              <w:pStyle w:val="Tabletext"/>
            </w:pPr>
            <w:r>
              <w:t>2019-07</w:t>
            </w:r>
          </w:p>
        </w:tc>
      </w:tr>
      <w:tr w14:paraId="0819AF39" w14:textId="77777777">
        <w:tc>
          <w:tcPr>
            <w:tcW w:w="636" w:type="pct"/>
            <w:tcMar>
              <w:top w:w="100" w:type="dxa"/>
              <w:left w:w="100" w:type="dxa"/>
              <w:bottom w:w="100" w:type="dxa"/>
              <w:right w:w="100" w:type="dxa"/>
            </w:tcMar>
          </w:tcPr>
          <w:p w14:paraId="416F3E8E" w14:textId="77777777">
            <w:pPr>
              <w:pStyle w:val="Tabletext"/>
            </w:pPr>
            <w:r>
              <w:t>0.8</w:t>
            </w:r>
          </w:p>
        </w:tc>
        <w:tc>
          <w:tcPr>
            <w:tcW w:w="1812" w:type="pct"/>
          </w:tcPr>
          <w:p w14:paraId="63BFA9D2" w14:textId="77777777">
            <w:pPr>
              <w:pStyle w:val="Tabletext"/>
            </w:pPr>
            <w:r>
              <w:t>Balogh, Griffiths, with Janiak &amp; Francis</w:t>
            </w:r>
          </w:p>
        </w:tc>
        <w:tc>
          <w:tcPr>
            <w:tcW w:w="1813" w:type="pct"/>
            <w:tcMar>
              <w:top w:w="100" w:type="dxa"/>
              <w:left w:w="100" w:type="dxa"/>
              <w:bottom w:w="100" w:type="dxa"/>
              <w:right w:w="100" w:type="dxa"/>
            </w:tcMar>
          </w:tcPr>
          <w:p w14:paraId="4AE2CE21" w14:textId="77777777">
            <w:pPr>
              <w:pStyle w:val="Tabletext"/>
            </w:pPr>
            <w:r>
              <w:t>Expansion and revision for release</w:t>
            </w:r>
          </w:p>
        </w:tc>
        <w:tc>
          <w:tcPr>
            <w:tcW w:w="738" w:type="pct"/>
            <w:tcMar>
              <w:top w:w="100" w:type="dxa"/>
              <w:left w:w="100" w:type="dxa"/>
              <w:bottom w:w="100" w:type="dxa"/>
              <w:right w:w="100" w:type="dxa"/>
            </w:tcMar>
          </w:tcPr>
          <w:p w14:paraId="7A0AB6F4" w14:textId="77777777">
            <w:pPr>
              <w:pStyle w:val="Tabletext"/>
            </w:pPr>
            <w:r>
              <w:t>to 2019-12</w:t>
            </w:r>
          </w:p>
        </w:tc>
      </w:tr>
      <w:tr w14:paraId="525BA160" w14:textId="77777777">
        <w:tc>
          <w:tcPr>
            <w:tcW w:w="636" w:type="pct"/>
            <w:tcMar>
              <w:top w:w="100" w:type="dxa"/>
              <w:left w:w="100" w:type="dxa"/>
              <w:bottom w:w="100" w:type="dxa"/>
              <w:right w:w="100" w:type="dxa"/>
            </w:tcMar>
          </w:tcPr>
          <w:p w14:paraId="5C63C57E" w14:textId="77777777">
            <w:pPr>
              <w:pStyle w:val="Tabletext"/>
            </w:pPr>
            <w:r>
              <w:t>0.9</w:t>
            </w:r>
          </w:p>
        </w:tc>
        <w:tc>
          <w:tcPr>
            <w:tcW w:w="1812" w:type="pct"/>
          </w:tcPr>
          <w:p w14:paraId="7A9C5DEB" w14:textId="77777777">
            <w:pPr>
              <w:pStyle w:val="Tabletext"/>
            </w:pPr>
            <w:r>
              <w:t>Balogh, Griffiths</w:t>
            </w:r>
          </w:p>
        </w:tc>
        <w:tc>
          <w:tcPr>
            <w:tcW w:w="1813" w:type="pct"/>
            <w:tcMar>
              <w:top w:w="100" w:type="dxa"/>
              <w:left w:w="100" w:type="dxa"/>
              <w:bottom w:w="100" w:type="dxa"/>
              <w:right w:w="100" w:type="dxa"/>
            </w:tcMar>
          </w:tcPr>
          <w:p w14:paraId="5BCBF6D5" w14:textId="77777777">
            <w:pPr>
              <w:pStyle w:val="Tabletext"/>
            </w:pPr>
            <w:r>
              <w:t>Redaction for release</w:t>
            </w:r>
          </w:p>
        </w:tc>
        <w:tc>
          <w:tcPr>
            <w:tcW w:w="738" w:type="pct"/>
            <w:tcMar>
              <w:top w:w="100" w:type="dxa"/>
              <w:left w:w="100" w:type="dxa"/>
              <w:bottom w:w="100" w:type="dxa"/>
              <w:right w:w="100" w:type="dxa"/>
            </w:tcMar>
          </w:tcPr>
          <w:p w14:paraId="3AC929F6" w14:textId="77777777">
            <w:pPr>
              <w:pStyle w:val="Tabletext"/>
            </w:pPr>
            <w:r>
              <w:t>to 2020-03-17</w:t>
            </w:r>
          </w:p>
        </w:tc>
      </w:tr>
      <w:tr w14:paraId="077B667D" w14:textId="77777777">
        <w:tc>
          <w:tcPr>
            <w:tcW w:w="636" w:type="pct"/>
            <w:tcMar>
              <w:top w:w="100" w:type="dxa"/>
              <w:left w:w="100" w:type="dxa"/>
              <w:bottom w:w="100" w:type="dxa"/>
              <w:right w:w="100" w:type="dxa"/>
            </w:tcMar>
          </w:tcPr>
          <w:p w14:paraId="204AC601" w14:textId="77777777">
            <w:pPr>
              <w:pStyle w:val="Tabletext"/>
            </w:pPr>
            <w:r>
              <w:t>1.0</w:t>
            </w:r>
          </w:p>
        </w:tc>
        <w:tc>
          <w:tcPr>
            <w:tcW w:w="1812" w:type="pct"/>
          </w:tcPr>
          <w:p w14:paraId="6F9ADDF1" w14:textId="77777777">
            <w:pPr>
              <w:pStyle w:val="Tabletext"/>
            </w:pPr>
            <w:r>
              <w:t>Balogh, Griffiths</w:t>
            </w:r>
          </w:p>
        </w:tc>
        <w:tc>
          <w:tcPr>
            <w:tcW w:w="1813" w:type="pct"/>
            <w:tcMar>
              <w:top w:w="100" w:type="dxa"/>
              <w:left w:w="100" w:type="dxa"/>
              <w:bottom w:w="100" w:type="dxa"/>
              <w:right w:w="100" w:type="dxa"/>
            </w:tcMar>
          </w:tcPr>
          <w:p w14:paraId="23414EA1" w14:textId="77777777">
            <w:pPr>
              <w:pStyle w:val="Tabletext"/>
            </w:pPr>
            <w:r>
              <w:t>Revision after feedback and discussion</w:t>
            </w:r>
          </w:p>
        </w:tc>
        <w:tc>
          <w:tcPr>
            <w:tcW w:w="738" w:type="pct"/>
            <w:tcMar>
              <w:top w:w="100" w:type="dxa"/>
              <w:left w:w="100" w:type="dxa"/>
              <w:bottom w:w="100" w:type="dxa"/>
              <w:right w:w="100" w:type="dxa"/>
            </w:tcMar>
          </w:tcPr>
          <w:p w14:paraId="1B723581" w14:textId="77777777">
            <w:pPr>
              <w:pStyle w:val="Tabletext"/>
            </w:pPr>
            <w:r>
              <w:t>2020-07-05</w:t>
            </w:r>
          </w:p>
        </w:tc>
      </w:tr>
      <w:tr w14:paraId="47E06927" w14:textId="77777777">
        <w:tc>
          <w:tcPr>
            <w:tcW w:w="636" w:type="pct"/>
            <w:tcMar>
              <w:top w:w="100" w:type="dxa"/>
              <w:left w:w="100" w:type="dxa"/>
              <w:bottom w:w="100" w:type="dxa"/>
              <w:right w:w="100" w:type="dxa"/>
            </w:tcMar>
          </w:tcPr>
          <w:p w14:paraId="24178DF9" w14:textId="77777777">
            <w:pPr>
              <w:pStyle w:val="Tabletext"/>
            </w:pPr>
            <w:r>
              <w:t>(no release)</w:t>
            </w:r>
          </w:p>
        </w:tc>
        <w:tc>
          <w:tcPr>
            <w:tcW w:w="1812" w:type="pct"/>
          </w:tcPr>
          <w:p w14:paraId="36AE44A7" w14:textId="77777777">
            <w:pPr>
              <w:pStyle w:val="Tabletext"/>
            </w:pPr>
            <w:r>
              <w:t>Balogh</w:t>
            </w:r>
          </w:p>
        </w:tc>
        <w:tc>
          <w:tcPr>
            <w:tcW w:w="1813" w:type="pct"/>
            <w:tcMar>
              <w:top w:w="100" w:type="dxa"/>
              <w:left w:w="100" w:type="dxa"/>
              <w:bottom w:w="100" w:type="dxa"/>
              <w:right w:w="100" w:type="dxa"/>
            </w:tcMar>
          </w:tcPr>
          <w:p w14:paraId="568C812D" w14:textId="77777777">
            <w:pPr>
              <w:pStyle w:val="Tabletext"/>
            </w:pPr>
            <w:r>
              <w:t>ongoing revision of online copy</w:t>
            </w:r>
          </w:p>
        </w:tc>
        <w:tc>
          <w:tcPr>
            <w:tcW w:w="738" w:type="pct"/>
            <w:tcMar>
              <w:top w:w="100" w:type="dxa"/>
              <w:left w:w="100" w:type="dxa"/>
              <w:bottom w:w="100" w:type="dxa"/>
              <w:right w:w="100" w:type="dxa"/>
            </w:tcMar>
          </w:tcPr>
          <w:p w14:paraId="67447243" w14:textId="77777777">
            <w:pPr>
              <w:pStyle w:val="Tabletext"/>
            </w:pPr>
            <w:r>
              <w:t>to 2024-07</w:t>
            </w:r>
          </w:p>
        </w:tc>
      </w:tr>
      <w:tr w14:paraId="428033E9" w14:textId="77777777">
        <w:tc>
          <w:tcPr>
            <w:tcW w:w="636" w:type="pct"/>
            <w:tcMar>
              <w:top w:w="100" w:type="dxa"/>
              <w:left w:w="100" w:type="dxa"/>
              <w:bottom w:w="100" w:type="dxa"/>
              <w:right w:w="100" w:type="dxa"/>
            </w:tcMar>
          </w:tcPr>
          <w:p w14:paraId="072EDDD4" w14:textId="77777777">
            <w:pPr>
              <w:pStyle w:val="Tabletext"/>
            </w:pPr>
            <w:r>
              <w:t>2.0</w:t>
            </w:r>
          </w:p>
        </w:tc>
        <w:tc>
          <w:tcPr>
            <w:tcW w:w="1812" w:type="pct"/>
          </w:tcPr>
          <w:p w14:paraId="2C00CDA2" w14:textId="77777777">
            <w:pPr>
              <w:pStyle w:val="Tabletext"/>
            </w:pPr>
            <w:r>
              <w:t>Balogh, with Griffiths, Francis &amp; Meyer</w:t>
            </w:r>
          </w:p>
        </w:tc>
        <w:tc>
          <w:tcPr>
            <w:tcW w:w="1813" w:type="pct"/>
            <w:tcMar>
              <w:top w:w="100" w:type="dxa"/>
              <w:left w:w="100" w:type="dxa"/>
              <w:bottom w:w="100" w:type="dxa"/>
              <w:right w:w="100" w:type="dxa"/>
            </w:tcMar>
          </w:tcPr>
          <w:p w14:paraId="35DD7B7F" w14:textId="77777777">
            <w:pPr>
              <w:pStyle w:val="Tabletext"/>
            </w:pPr>
            <w:r>
              <w:t>major overhaul and finalisation</w:t>
            </w:r>
          </w:p>
        </w:tc>
        <w:tc>
          <w:tcPr>
            <w:tcW w:w="738" w:type="pct"/>
            <w:tcMar>
              <w:top w:w="100" w:type="dxa"/>
              <w:left w:w="100" w:type="dxa"/>
              <w:bottom w:w="100" w:type="dxa"/>
              <w:right w:w="100" w:type="dxa"/>
            </w:tcMar>
          </w:tcPr>
          <w:p w14:paraId="0CD78118" w14:textId="77777777">
            <w:pPr>
              <w:pStyle w:val="Tabletext"/>
            </w:pPr>
            <w:r>
              <w:t>2026-09</w:t>
            </w:r>
          </w:p>
        </w:tc>
      </w:tr>
    </w:tbl>
    <w:p w14:paraId="4B544258" w14:textId="77777777">
      <w:pPr>
        <w:pStyle w:val="Cmsor3"/>
      </w:pPr>
      <w:bookmarkStart w:id="9" w:name="_ss0fr01ijjvr" w:colFirst="0" w:colLast="0"/>
      <w:bookmarkStart w:id="10" w:name="_Ref149662927"/>
      <w:bookmarkStart w:id="11" w:name="_Toc243900226"/>
      <w:bookmarkEnd w:id="9"/>
      <w:r>
        <w:t>About this version and how it relates to other versions</w:t>
      </w:r>
      <w:bookmarkEnd w:id="10"/>
      <w:bookmarkEnd w:id="11"/>
    </w:p>
    <w:p w14:paraId="7A81F57E" w14:textId="77777777">
      <w:r>
        <w:t xml:space="preserve">This is the </w:t>
      </w:r>
      <w:r>
        <w:rPr>
          <w:b/>
          <w:bCs/>
        </w:rPr>
        <w:t>final and definitive public release</w:t>
      </w:r>
      <w:r>
        <w:t xml:space="preserve"> version of the DHARMA Encoding Guide for Documentary Editions, which supersedes the first release version (Balogh and Griffiths 2020b, then called Encoding Guide for Diplomatic Editions).</w:t>
      </w:r>
    </w:p>
    <w:p w14:paraId="66B3E692" w14:textId="77777777">
      <w:pPr>
        <w:pStyle w:val="Normlbehzs"/>
      </w:pPr>
      <w:r>
        <w:t>Practical experience since the first release has shown that project members primarily consult the online soft copy of the Guide.</w:t>
      </w:r>
      <w:r>
        <w:rPr>
          <w:rStyle w:val="Lbjegyzet-hivatkozs"/>
        </w:rPr>
        <w:footnoteReference w:id="1"/>
      </w:r>
      <w:r>
        <w:t xml:space="preserve"> This was useful because ongoing revisions have been discussed and introduced in that copy. With the release of this final version, no further revision is planned, so the online copy shall serve only for quick access. Moreover, the online copy’s layout is sub-par and its cross-references may be occasionally incorrect, so only this archived release can be considered definitive. When citing the Guide in a publication, please refer only to the release version.</w:t>
      </w:r>
    </w:p>
    <w:p w14:paraId="1EA15C5D" w14:textId="77777777">
      <w:pPr>
        <w:pStyle w:val="Normlbehzs"/>
      </w:pPr>
      <w:r>
        <w:t>No detailed changelog is included here, because this version incorporates all changes accumulated over the years since the last public release.</w:t>
      </w:r>
    </w:p>
    <w:p w14:paraId="2F610FC9" w14:textId="77777777">
      <w:pPr>
        <w:pStyle w:val="Cmsor2"/>
      </w:pPr>
      <w:bookmarkStart w:id="12" w:name="_7wlxzerj2b6e" w:colFirst="0" w:colLast="0"/>
      <w:bookmarkStart w:id="13" w:name="_mnn7i9yp8l0l" w:colFirst="0" w:colLast="0"/>
      <w:bookmarkStart w:id="14" w:name="_pxxk68dqnvkk" w:colFirst="0" w:colLast="0"/>
      <w:bookmarkStart w:id="15" w:name="_Toc243900227"/>
      <w:bookmarkEnd w:id="12"/>
      <w:bookmarkEnd w:id="13"/>
      <w:bookmarkEnd w:id="14"/>
      <w:r>
        <w:t>Acknowledgements</w:t>
      </w:r>
      <w:bookmarkEnd w:id="15"/>
    </w:p>
    <w:p w14:paraId="39A76E1B" w14:textId="77777777">
      <w:r>
        <w:t>Many people in addition to the authors noted above have helped in the creation of this guide; the most significant contributors have been Axelle Janiak, Emmanuel Francis, Michaël Meyer and Annette Schmiedchen.</w:t>
      </w:r>
    </w:p>
    <w:p w14:paraId="6737E4B6" w14:textId="77777777">
      <w:pPr>
        <w:pStyle w:val="Cmsor2"/>
      </w:pPr>
      <w:bookmarkStart w:id="16" w:name="_Toc243900228"/>
      <w:r>
        <w:t>Scope</w:t>
      </w:r>
      <w:bookmarkEnd w:id="16"/>
    </w:p>
    <w:p w14:paraId="664E1153" w14:textId="77777777">
      <w:r>
        <w:t>This Guide is for the EpiDoc compliant encoding of original sources for the DHARMA project. The Guide has been composed primarily with epigraphic texts in mind, but is also applicable to the encoding of texts transmitted as manuscripts, when these are edited “as documents” (rather than “as works” in the form of a critical edition). We also hope that the solutions recommended here gain currency beyond the scope of the DHARMA project. All encoders are strongly encouraged at least to skim it from cover to cover, to obtain a general idea of the topics covered in it. This guide presupposes that you are already familiar with version 4 of the DHARMA Transliteration Guide, released together with the present guide.</w:t>
      </w:r>
    </w:p>
    <w:p w14:paraId="5BFB9CFB" w14:textId="77777777">
      <w:pPr>
        <w:pStyle w:val="Cmsor2"/>
      </w:pPr>
      <w:bookmarkStart w:id="17" w:name="_10lqdugq9c0g" w:colFirst="0" w:colLast="0"/>
      <w:bookmarkStart w:id="18" w:name="_Toc243900229"/>
      <w:bookmarkEnd w:id="17"/>
      <w:r>
        <w:lastRenderedPageBreak/>
        <w:t>Further reading</w:t>
      </w:r>
      <w:bookmarkEnd w:id="18"/>
    </w:p>
    <w:p w14:paraId="5EC21E60" w14:textId="77777777">
      <w:r>
        <w:t>This Guide is a constrained and detailed adaptation of the EpiDoc guidelines,</w:t>
      </w:r>
      <w:r>
        <w:rPr>
          <w:rStyle w:val="Lbjegyzet-hivatkozs"/>
        </w:rPr>
        <w:footnoteReference w:id="2"/>
      </w:r>
      <w:r>
        <w:t xml:space="preserve"> which are themselves a constrained and detailed adaptation of the TEI guidelines.</w:t>
      </w:r>
      <w:r>
        <w:rPr>
          <w:rStyle w:val="Lbjegyzet-hivatkozs"/>
        </w:rPr>
        <w:footnoteReference w:id="3"/>
      </w:r>
      <w:r>
        <w:t xml:space="preserve"> A good general introduction to EpiDoc can be found in Bodard 2010. If you are entirely new to XML or the idea of computer markup, we recommend </w:t>
      </w:r>
      <w:r>
        <w:rPr>
          <w:noProof/>
        </w:rPr>
        <w:t>Roueché</w:t>
      </w:r>
      <w:r>
        <w:t xml:space="preserve"> and Flanders (n. d.) and Birnbaum (2015) for an introduction. </w:t>
      </w:r>
    </w:p>
    <w:p w14:paraId="581436DE" w14:textId="77777777">
      <w:pPr>
        <w:pStyle w:val="Cmsor2"/>
      </w:pPr>
      <w:bookmarkStart w:id="19" w:name="_tm2h1v9vrjxa" w:colFirst="0" w:colLast="0"/>
      <w:bookmarkStart w:id="20" w:name="_Toc243900230"/>
      <w:bookmarkEnd w:id="19"/>
      <w:r>
        <w:t>Software</w:t>
      </w:r>
      <w:bookmarkEnd w:id="20"/>
    </w:p>
    <w:p w14:paraId="1A89D55E" w14:textId="77777777">
      <w:r>
        <w:t>The XML editor recommended throughout the project is Oxygen, but you are free to use any editor to produce your marked-up texts. Visual Studio Code is in particular recommended as a powerful free alternative to Oxygen. Editing software will usually be able to colour-code XML and may also be able to check the well-formedness of the markup or even to validate against a schema.</w:t>
      </w:r>
    </w:p>
    <w:p w14:paraId="71B627B7" w14:textId="77777777">
      <w:r>
        <w:t>Working in Oxygen, you will need to set a suitable font for the Editor.</w:t>
      </w:r>
    </w:p>
    <w:p w14:paraId="741E955B" w14:textId="77777777">
      <w:pPr>
        <w:pStyle w:val="Lista"/>
      </w:pPr>
      <w:r>
        <w:t>the setting is found at Options/Preferences/Appearance/Fonts</w:t>
      </w:r>
    </w:p>
    <w:p w14:paraId="5454CA41" w14:textId="77777777">
      <w:pPr>
        <w:pStyle w:val="Lista"/>
      </w:pPr>
      <w:r>
        <w:t>what makes a font suitable?</w:t>
      </w:r>
    </w:p>
    <w:p w14:paraId="53E005BD" w14:textId="77777777">
      <w:pPr>
        <w:pStyle w:val="Lista2"/>
      </w:pPr>
      <w:r>
        <w:t>it can correctly display all the diacritical characters you work with</w:t>
      </w:r>
    </w:p>
    <w:p w14:paraId="5449139A" w14:textId="77777777">
      <w:pPr>
        <w:pStyle w:val="Lista2"/>
      </w:pPr>
      <w:r>
        <w:t>it is easy on the eye</w:t>
      </w:r>
    </w:p>
    <w:p w14:paraId="1281E306" w14:textId="77777777">
      <w:pPr>
        <w:pStyle w:val="Lista2"/>
      </w:pPr>
      <w:r>
        <w:t xml:space="preserve">it is preferably one in which the characters | </w:t>
      </w:r>
      <w:r>
        <w:rPr>
          <w:noProof/>
        </w:rPr>
        <w:t>(</w:t>
      </w:r>
      <w:r>
        <w:t xml:space="preserve">vertical bar), l </w:t>
      </w:r>
      <w:r>
        <w:rPr>
          <w:noProof/>
        </w:rPr>
        <w:t>(</w:t>
      </w:r>
      <w:r>
        <w:t xml:space="preserve">lowercase L) and I </w:t>
      </w:r>
      <w:r>
        <w:rPr>
          <w:noProof/>
        </w:rPr>
        <w:t>(</w:t>
      </w:r>
      <w:r>
        <w:t xml:space="preserve">uppercase </w:t>
      </w:r>
      <w:proofErr w:type="spellStart"/>
      <w:r>
        <w:t>i</w:t>
      </w:r>
      <w:proofErr w:type="spellEnd"/>
      <w:r>
        <w:t>) are all easily distinguishable</w:t>
      </w:r>
    </w:p>
    <w:p w14:paraId="1BEF1C1F" w14:textId="77777777">
      <w:pPr>
        <w:pStyle w:val="Lista2"/>
      </w:pPr>
      <w:r>
        <w:t>it is preferably not too wide, so that you can see plenty of text even when not working on a full screen</w:t>
      </w:r>
    </w:p>
    <w:p w14:paraId="3F169AEB" w14:textId="77777777">
      <w:pPr>
        <w:pStyle w:val="Lista"/>
      </w:pPr>
      <w:r>
        <w:t>some fonts we have tested and liked include:</w:t>
      </w:r>
    </w:p>
    <w:p w14:paraId="6141F20D" w14:textId="77777777">
      <w:pPr>
        <w:pStyle w:val="Lista2"/>
      </w:pPr>
      <w:r>
        <w:t xml:space="preserve">Google’s free </w:t>
      </w:r>
      <w:r>
        <w:rPr>
          <w:rFonts w:cs="Noto Serif"/>
        </w:rPr>
        <w:t>Noto Serif</w:t>
      </w:r>
      <w:r>
        <w:t xml:space="preserve"> and </w:t>
      </w:r>
      <w:r>
        <w:rPr>
          <w:rFonts w:cs="Noto Sans"/>
        </w:rPr>
        <w:t>Noto Sans</w:t>
      </w:r>
    </w:p>
    <w:p w14:paraId="39EFBDE8" w14:textId="77777777">
      <w:pPr>
        <w:pStyle w:val="Lista2"/>
      </w:pPr>
      <w:r>
        <w:t xml:space="preserve">Microsoft’s </w:t>
      </w:r>
      <w:r>
        <w:rPr>
          <w:rFonts w:asciiTheme="minorHAnsi" w:hAnsiTheme="minorHAnsi"/>
        </w:rPr>
        <w:t>Cambria</w:t>
      </w:r>
      <w:r>
        <w:t xml:space="preserve"> and </w:t>
      </w:r>
      <w:r>
        <w:rPr>
          <w:rFonts w:ascii="Consolas" w:hAnsi="Consolas"/>
        </w:rPr>
        <w:t>Consolas</w:t>
      </w:r>
    </w:p>
    <w:p w14:paraId="3D553750" w14:textId="77777777">
      <w:pPr>
        <w:pStyle w:val="Lista"/>
      </w:pPr>
      <w:r>
        <w:t>note that fonts continue to develop</w:t>
      </w:r>
    </w:p>
    <w:p w14:paraId="0937BD3A" w14:textId="77777777">
      <w:pPr>
        <w:pStyle w:val="Lista2"/>
      </w:pPr>
      <w:r>
        <w:t>if a font is attractive but causes display problems, check whether you have the latest version and if not, replace your version with that to see if the problems go away</w:t>
      </w:r>
    </w:p>
    <w:p w14:paraId="030EBC6D" w14:textId="77777777">
      <w:r>
        <w:t>Further instructions for XML editing software in the project:</w:t>
      </w:r>
    </w:p>
    <w:p w14:paraId="675F5525" w14:textId="77777777">
      <w:pPr>
        <w:pStyle w:val="Lista"/>
      </w:pPr>
      <w:r>
        <w:t xml:space="preserve">for using Oxygen with the DHARMA XML schema: </w:t>
      </w:r>
      <w:hyperlink r:id="rId10" w:history="1">
        <w:r>
          <w:rPr>
            <w:rStyle w:val="Hiperhivatkozs"/>
          </w:rPr>
          <w:t>https://github.com/erc-dharma/project-documentation/blob/66167c20f4be621256460be1640cb7a727104854/schema/README.md</w:t>
        </w:r>
      </w:hyperlink>
    </w:p>
    <w:p w14:paraId="4F526B72" w14:textId="77777777">
      <w:pPr>
        <w:pStyle w:val="Lista"/>
      </w:pPr>
      <w:r>
        <w:t xml:space="preserve">for setting up Oxygen to create human-readable HTML from an XML edition: </w:t>
      </w:r>
      <w:hyperlink r:id="rId11" w:history="1">
        <w:r>
          <w:rPr>
            <w:rStyle w:val="Hiperhivatkozs"/>
          </w:rPr>
          <w:t>https://github.com/erc-dharma/project-documentation/blob/master/stylesheets/README.md</w:t>
        </w:r>
      </w:hyperlink>
    </w:p>
    <w:p w14:paraId="27F0E0B0" w14:textId="77777777">
      <w:pPr>
        <w:pStyle w:val="Lista"/>
      </w:pPr>
      <w:r>
        <w:t xml:space="preserve">for using Visual Studio Code: </w:t>
      </w:r>
      <w:hyperlink r:id="rId12" w:history="1">
        <w:r>
          <w:rPr>
            <w:rStyle w:val="Hiperhivatkozs"/>
          </w:rPr>
          <w:t>https://erc-dharma.github.io/project-documentation/visual-code/UsingVS_v01</w:t>
        </w:r>
      </w:hyperlink>
    </w:p>
    <w:p w14:paraId="5EE88578" w14:textId="77777777">
      <w:pPr>
        <w:pStyle w:val="Cmsor2"/>
      </w:pPr>
      <w:bookmarkStart w:id="21" w:name="_h6ld3i1yh73t" w:colFirst="0" w:colLast="0"/>
      <w:bookmarkStart w:id="22" w:name="_Toc243900231"/>
      <w:bookmarkEnd w:id="21"/>
      <w:r>
        <w:t>Note on the examples</w:t>
      </w:r>
      <w:bookmarkEnd w:id="22"/>
    </w:p>
    <w:p w14:paraId="19553C04" w14:textId="77777777">
      <w:r>
        <w:t>We use generic English text to illustrate layout and other details where the meaning of the text is not relevant. The text excerpts used for other examples are mostly Sanskrit from India. Many of the illustrations have been drawn from actual inscriptions, but to eliminate distractions, details irrelevant to the topic at hand are often silently normalised, restored, corrected or altered in such illustrations.</w:t>
      </w:r>
    </w:p>
    <w:p w14:paraId="75EC1CBF" w14:textId="77777777">
      <w:pPr>
        <w:pStyle w:val="Normlbehzs"/>
      </w:pPr>
      <w:r>
        <w:t xml:space="preserve">XML </w:t>
      </w:r>
      <w:r>
        <w:rPr>
          <w:rStyle w:val="Code"/>
        </w:rPr>
        <w:t>&lt;elements&gt;</w:t>
      </w:r>
      <w:r>
        <w:t xml:space="preserve"> mentioned in discussion or used in illustrations are set apart from regular text by typeface, text colour and a shaded background. XML </w:t>
      </w:r>
      <w:r>
        <w:rPr>
          <w:rStyle w:val="Codeattribute"/>
        </w:rPr>
        <w:t>@attributes</w:t>
      </w:r>
      <w:r>
        <w:t xml:space="preserve">, when mentioned on their own, are prefixed with an </w:t>
      </w:r>
      <w:r>
        <w:rPr>
          <w:rStyle w:val="Codeattribute"/>
        </w:rPr>
        <w:t>@</w:t>
      </w:r>
      <w:r>
        <w:t xml:space="preserve"> sign and highlighted with text colour and background shading. To eliminate distractions, encoding details irrelevant to the topic at hand </w:t>
      </w:r>
      <w:r>
        <w:rPr>
          <w:noProof/>
        </w:rPr>
        <w:t>(</w:t>
      </w:r>
      <w:r>
        <w:t xml:space="preserve">such as end-tags, attributes and text content) are often omitted in illustrations even though they may be mandatory in actual practice. </w:t>
      </w:r>
    </w:p>
    <w:p w14:paraId="7E17CD89" w14:textId="77777777">
      <w:pPr>
        <w:pStyle w:val="Cmsor2"/>
      </w:pPr>
      <w:bookmarkStart w:id="23" w:name="_66jpmlsjumit" w:colFirst="0" w:colLast="0"/>
      <w:bookmarkStart w:id="24" w:name="_Toc243900232"/>
      <w:bookmarkEnd w:id="23"/>
      <w:r>
        <w:lastRenderedPageBreak/>
        <w:t>Abbreviations</w:t>
      </w:r>
      <w:bookmarkEnd w:id="24"/>
    </w:p>
    <w:p w14:paraId="7234EE3D" w14:textId="3150A638">
      <w:r>
        <w:t>In addition to some straightforward abbreviations, this Guide uses the following acronyms to refer to other DHARMA guides, always in the version concurrent with this release.</w:t>
      </w:r>
    </w:p>
    <w:p w14:paraId="73A48288" w14:textId="77777777">
      <w:pPr>
        <w:pStyle w:val="Legend"/>
      </w:pPr>
      <w:r>
        <w:tab/>
        <w:t xml:space="preserve">EGC </w:t>
      </w:r>
      <w:r>
        <w:tab/>
        <w:t>the DHARMA Encoding Guide for Critical Editions</w:t>
      </w:r>
    </w:p>
    <w:p w14:paraId="09309CA9" w14:textId="77777777">
      <w:pPr>
        <w:pStyle w:val="Legend"/>
      </w:pPr>
      <w:r>
        <w:tab/>
        <w:t xml:space="preserve">EGD </w:t>
      </w:r>
      <w:r>
        <w:tab/>
        <w:t xml:space="preserve">the DHARMA Encoding Guide for Documentary Editions </w:t>
      </w:r>
      <w:r>
        <w:rPr>
          <w:noProof/>
        </w:rPr>
        <w:t>(</w:t>
      </w:r>
      <w:r>
        <w:t>the present document)</w:t>
      </w:r>
    </w:p>
    <w:p w14:paraId="28F6BF9C" w14:textId="0FC14805">
      <w:pPr>
        <w:pStyle w:val="Legend"/>
      </w:pPr>
      <w:r>
        <w:tab/>
        <w:t xml:space="preserve">TG </w:t>
      </w:r>
      <w:r>
        <w:tab/>
        <w:t>the DHARMA Transliteration Guide</w:t>
      </w:r>
    </w:p>
    <w:p w14:paraId="1D2190B3" w14:textId="77777777">
      <w:pPr>
        <w:pStyle w:val="Legend"/>
      </w:pPr>
      <w:r>
        <w:tab/>
        <w:t>VG</w:t>
      </w:r>
      <w:r>
        <w:tab/>
        <w:t>the DHARMA Versification Guide</w:t>
      </w:r>
    </w:p>
    <w:p w14:paraId="2BB8F261" w14:textId="77777777">
      <w:pPr>
        <w:pStyle w:val="Legend"/>
      </w:pPr>
      <w:r>
        <w:tab/>
        <w:t>ZG</w:t>
      </w:r>
      <w:r>
        <w:tab/>
        <w:t>the DHARMA Zotero Guide</w:t>
      </w:r>
    </w:p>
    <w:p w14:paraId="7137346C" w14:textId="77777777">
      <w:pPr>
        <w:pStyle w:val="Cmsor1"/>
      </w:pPr>
      <w:bookmarkStart w:id="25" w:name="_Toc243900233"/>
      <w:r>
        <w:lastRenderedPageBreak/>
        <w:t>Theoretical framework</w:t>
      </w:r>
      <w:bookmarkEnd w:id="25"/>
    </w:p>
    <w:p w14:paraId="6DE3147C" w14:textId="2B045388">
      <w:pPr>
        <w:rPr>
          <w:lang w:eastAsia="en-US" w:bidi="ar-SA"/>
        </w:rPr>
      </w:pPr>
      <w:r>
        <w:t>Familiarity with terminology pertaining to epigraphy and textual studies is generally taken for granted, but some definitions and explanations are given in the body of the Guide when deemed necessary. Terms and concepts relevant to versification are defined in VG §1.2.</w:t>
      </w:r>
    </w:p>
    <w:p w14:paraId="3B95BFA0" w14:textId="77777777">
      <w:pPr>
        <w:pStyle w:val="Cmsor2"/>
      </w:pPr>
      <w:bookmarkStart w:id="26" w:name="_ktq4gtyoojde" w:colFirst="0" w:colLast="0"/>
      <w:bookmarkStart w:id="27" w:name="_u31qo517lzme" w:colFirst="0" w:colLast="0"/>
      <w:bookmarkStart w:id="28" w:name="_2jkucuulj067" w:colFirst="0" w:colLast="0"/>
      <w:bookmarkStart w:id="29" w:name="_Ref242695968"/>
      <w:bookmarkStart w:id="30" w:name="_Toc243900234"/>
      <w:bookmarkEnd w:id="26"/>
      <w:bookmarkEnd w:id="27"/>
      <w:bookmarkEnd w:id="28"/>
      <w:r>
        <w:t>Terminology for the analysis of writing</w:t>
      </w:r>
      <w:bookmarkEnd w:id="29"/>
      <w:bookmarkEnd w:id="30"/>
    </w:p>
    <w:p w14:paraId="7AE52A39" w14:textId="77777777">
      <w:r>
        <w:rPr>
          <w:lang w:eastAsia="en-US" w:bidi="ar-SA"/>
        </w:rPr>
        <w:t xml:space="preserve">The grapholinguistic terms used in this section are </w:t>
      </w:r>
      <w:r>
        <w:t>defined more fully in TG §1.6 and elaborated in TG §2; the present document’s §</w:t>
      </w:r>
      <w:r>
        <w:fldChar w:fldCharType="begin"/>
      </w:r>
      <w:r>
        <w:instrText xml:space="preserve"> REF _Ref227844670 \r \h </w:instrText>
      </w:r>
      <w:r>
        <w:fldChar w:fldCharType="separate"/>
      </w:r>
      <w:r>
        <w:t>16.3</w:t>
      </w:r>
      <w:r>
        <w:fldChar w:fldCharType="end"/>
      </w:r>
      <w:r>
        <w:t xml:space="preserve"> summarises the implications of these definitions as regards work on Indic texts in Romanised transliteration.</w:t>
      </w:r>
    </w:p>
    <w:p w14:paraId="4491C963" w14:textId="77777777">
      <w:pPr>
        <w:pStyle w:val="Lista"/>
      </w:pPr>
      <w:r>
        <w:rPr>
          <w:b/>
          <w:bCs/>
        </w:rPr>
        <w:t>graphemes</w:t>
      </w:r>
      <w:r>
        <w:t xml:space="preserve"> are a finite set of signs belonging to a writing system, comprised of a signifier that is a graphic feature and a signified that is a minimal unit of abstract linguistic information pertinent to analytic interest</w:t>
      </w:r>
    </w:p>
    <w:p w14:paraId="27E7BE65" w14:textId="77777777">
      <w:pPr>
        <w:pStyle w:val="Lista"/>
      </w:pPr>
      <w:r>
        <w:rPr>
          <w:b/>
          <w:bCs/>
        </w:rPr>
        <w:t>graphs</w:t>
      </w:r>
      <w:r>
        <w:t xml:space="preserve"> are an infinite set of graphic signs belonging to a script, which are the concrete graphic instantiations of graphemes, such as |A|, |</w:t>
      </w:r>
      <w:r>
        <w:rPr>
          <w:rFonts w:ascii="Old English Text MT" w:hAnsi="Old English Text MT"/>
        </w:rPr>
        <w:t>A</w:t>
      </w:r>
      <w:r>
        <w:t>|, |</w:t>
      </w:r>
      <w:r>
        <w:rPr>
          <w:rStyle w:val="ForeignDevanagariScript0"/>
          <w:rFonts w:hint="cs"/>
          <w:cs/>
        </w:rPr>
        <w:t>अ</w:t>
      </w:r>
      <w:r>
        <w:t>|, |</w:t>
      </w:r>
      <w:r>
        <w:rPr>
          <w:rStyle w:val="ForeignDevanagariAlt"/>
          <w:cs/>
        </w:rPr>
        <w:t>अ</w:t>
      </w:r>
      <w:r>
        <w:t>|</w:t>
      </w:r>
    </w:p>
    <w:p w14:paraId="008003F5" w14:textId="77777777">
      <w:pPr>
        <w:pStyle w:val="Lista"/>
      </w:pPr>
      <w:r>
        <w:rPr>
          <w:b/>
          <w:bCs/>
        </w:rPr>
        <w:t>graphotactics</w:t>
      </w:r>
      <w:r>
        <w:t xml:space="preserve"> is </w:t>
      </w:r>
      <w:r>
        <w:rPr>
          <w:noProof/>
        </w:rPr>
        <w:t>(</w:t>
      </w:r>
      <w:r>
        <w:t>the study of) the ways in which graphemes and graphs combine into sequences</w:t>
      </w:r>
    </w:p>
    <w:p w14:paraId="4A248A9F" w14:textId="77777777">
      <w:pPr>
        <w:pStyle w:val="Lista"/>
      </w:pPr>
      <w:r>
        <w:rPr>
          <w:b/>
          <w:bCs/>
        </w:rPr>
        <w:t>allographs</w:t>
      </w:r>
      <w:r>
        <w:t xml:space="preserve"> are graphs which instantiate the same grapheme</w:t>
      </w:r>
    </w:p>
    <w:p w14:paraId="76E6CD93" w14:textId="77777777">
      <w:pPr>
        <w:pStyle w:val="Lista2"/>
      </w:pPr>
      <w:r>
        <w:rPr>
          <w:b/>
          <w:bCs/>
        </w:rPr>
        <w:t>graphetic allographs</w:t>
      </w:r>
      <w:r>
        <w:t xml:space="preserve"> are allographs which do not signify any linguistic information other than that contained in the grapheme, such as Devanagari |</w:t>
      </w:r>
      <w:r>
        <w:rPr>
          <w:rStyle w:val="ForeignDevanagariScript0"/>
          <w:cs/>
        </w:rPr>
        <w:t>अ</w:t>
      </w:r>
      <w:r>
        <w:t>|, |</w:t>
      </w:r>
      <w:r>
        <w:rPr>
          <w:rStyle w:val="ForeignDevanagariAlt"/>
          <w:rFonts w:asciiTheme="majorBidi" w:hAnsiTheme="majorBidi" w:cstheme="majorBidi"/>
          <w:cs/>
        </w:rPr>
        <w:t>अ</w:t>
      </w:r>
      <w:r>
        <w:t>| and |</w:t>
      </w:r>
      <w:r>
        <w:rPr>
          <w:rStyle w:val="ForeignDevanagariAlt"/>
          <w:cs/>
        </w:rPr>
        <w:t>अ</w:t>
      </w:r>
      <w:r>
        <w:t>|</w:t>
      </w:r>
    </w:p>
    <w:p w14:paraId="0F698794" w14:textId="77777777">
      <w:pPr>
        <w:pStyle w:val="Lista2"/>
      </w:pPr>
      <w:r>
        <w:rPr>
          <w:b/>
          <w:bCs/>
        </w:rPr>
        <w:t>graphotactic allographs</w:t>
      </w:r>
      <w:r>
        <w:t xml:space="preserve"> are allographs of which only one is permitted in a given graphotactic context </w:t>
      </w:r>
      <w:r>
        <w:rPr>
          <w:noProof/>
        </w:rPr>
        <w:t>(</w:t>
      </w:r>
      <w:r>
        <w:t xml:space="preserve">in a given sequence of graphemes), such as the graphs corresponding to the grapheme </w:t>
      </w:r>
      <w:r>
        <w:rPr>
          <w:rStyle w:val="ForeignIndic"/>
        </w:rPr>
        <w:t>&lt;r&gt;</w:t>
      </w:r>
      <w:r>
        <w:t xml:space="preserve"> in Devanagari </w:t>
      </w:r>
      <w:r>
        <w:rPr>
          <w:noProof/>
          <w:lang w:bidi="sa-IN"/>
        </w:rPr>
        <w:t>|</w:t>
      </w:r>
      <w:r>
        <w:rPr>
          <w:rStyle w:val="ForeignDevanagariScript0"/>
          <w:rFonts w:hint="cs"/>
          <w:cs/>
        </w:rPr>
        <w:t>र्क</w:t>
      </w:r>
      <w:r>
        <w:rPr>
          <w:noProof/>
          <w:lang w:bidi="sa-IN"/>
        </w:rPr>
        <w:t>|</w:t>
      </w:r>
      <w:r>
        <w:rPr>
          <w:rStyle w:val="ForeignIndic"/>
        </w:rPr>
        <w:t>=</w:t>
      </w:r>
      <w:r>
        <w:rPr>
          <w:noProof/>
          <w:lang w:bidi="sa-IN"/>
        </w:rPr>
        <w:t>|rka|</w:t>
      </w:r>
      <w:r>
        <w:rPr>
          <w:lang w:bidi="sa-IN"/>
        </w:rPr>
        <w:t xml:space="preserve"> and </w:t>
      </w:r>
      <w:r>
        <w:rPr>
          <w:noProof/>
          <w:lang w:bidi="sa-IN"/>
        </w:rPr>
        <w:t>|</w:t>
      </w:r>
      <w:r>
        <w:rPr>
          <w:rStyle w:val="ForeignDevanagariScript0"/>
          <w:rFonts w:hint="cs"/>
          <w:cs/>
        </w:rPr>
        <w:t>क्र</w:t>
      </w:r>
      <w:r>
        <w:rPr>
          <w:noProof/>
          <w:lang w:bidi="sa-IN"/>
        </w:rPr>
        <w:t>|</w:t>
      </w:r>
      <w:r>
        <w:rPr>
          <w:rStyle w:val="ForeignIndic"/>
        </w:rPr>
        <w:t>=|kra|</w:t>
      </w:r>
    </w:p>
    <w:p w14:paraId="5E82DFF4" w14:textId="77777777">
      <w:pPr>
        <w:pStyle w:val="Lista2"/>
      </w:pPr>
      <w:r>
        <w:rPr>
          <w:b/>
          <w:bCs/>
        </w:rPr>
        <w:t>graphemic allographs</w:t>
      </w:r>
      <w:r>
        <w:t xml:space="preserve"> are allographs which potentially signify linguistic information in addition to, and at a different level than, that inherent in the grapheme, such as Devanagari |</w:t>
      </w:r>
      <w:r>
        <w:rPr>
          <w:rStyle w:val="ForeignDevanagariScript0"/>
          <w:cs/>
        </w:rPr>
        <w:t>उ</w:t>
      </w:r>
      <w:r>
        <w:t>| | versus |</w:t>
      </w:r>
      <w:r>
        <w:rPr>
          <w:rStyle w:val="ForeignDevanagariScript0"/>
          <w:rFonts w:hint="cs"/>
          <w:cs/>
        </w:rPr>
        <w:t>ु</w:t>
      </w:r>
      <w:r>
        <w:t>|</w:t>
      </w:r>
    </w:p>
    <w:p w14:paraId="5DD66D67" w14:textId="77777777">
      <w:pPr>
        <w:pStyle w:val="Lista"/>
      </w:pPr>
      <w:r>
        <w:rPr>
          <w:b/>
          <w:bCs/>
        </w:rPr>
        <w:t>homographs</w:t>
      </w:r>
      <w:r>
        <w:t xml:space="preserve"> are identical or nearly identical graphs which instantiate different graphemes</w:t>
      </w:r>
    </w:p>
    <w:p w14:paraId="062FF97D" w14:textId="77777777">
      <w:pPr>
        <w:pStyle w:val="Lista"/>
      </w:pPr>
      <w:r>
        <w:t xml:space="preserve">a </w:t>
      </w:r>
      <w:r>
        <w:rPr>
          <w:b/>
          <w:bCs/>
        </w:rPr>
        <w:t>character</w:t>
      </w:r>
      <w:r>
        <w:t xml:space="preserve"> is the minimal graphetically autonomous unit of a writing system, for example, </w:t>
      </w:r>
      <w:r>
        <w:rPr>
          <w:rStyle w:val="ForeignIndic"/>
        </w:rPr>
        <w:t>&lt;A&gt;</w:t>
      </w:r>
      <w:r>
        <w:t xml:space="preserve">, </w:t>
      </w:r>
      <w:r>
        <w:rPr>
          <w:rStyle w:val="ForeignIndic"/>
        </w:rPr>
        <w:t>&lt;T&gt;</w:t>
      </w:r>
      <w:r>
        <w:t xml:space="preserve">, </w:t>
      </w:r>
      <w:r>
        <w:rPr>
          <w:rStyle w:val="ForeignIndic"/>
        </w:rPr>
        <w:t>&lt;t·&gt;</w:t>
      </w:r>
      <w:r>
        <w:t xml:space="preserve">, </w:t>
      </w:r>
      <w:r>
        <w:rPr>
          <w:rStyle w:val="ForeignIndic"/>
        </w:rPr>
        <w:t>&lt;ka&gt;</w:t>
      </w:r>
      <w:r>
        <w:t xml:space="preserve"> and </w:t>
      </w:r>
      <w:r>
        <w:rPr>
          <w:rStyle w:val="ForeignIndic"/>
        </w:rPr>
        <w:t>&lt;rtsnyai&gt;</w:t>
      </w:r>
      <w:r>
        <w:t xml:space="preserve"> are characters of the Indic writing system</w:t>
      </w:r>
    </w:p>
    <w:p w14:paraId="7982E78E" w14:textId="77777777">
      <w:pPr>
        <w:pStyle w:val="Lista"/>
      </w:pPr>
      <w:r>
        <w:t xml:space="preserve">a </w:t>
      </w:r>
      <w:r>
        <w:rPr>
          <w:b/>
          <w:bCs/>
        </w:rPr>
        <w:t>glyph</w:t>
      </w:r>
      <w:r>
        <w:t xml:space="preserve"> is the concrete manifestation of a character, for example, |</w:t>
      </w:r>
      <w:r>
        <w:rPr>
          <w:rStyle w:val="ForeignDevanagariScript0"/>
          <w:rFonts w:hint="cs"/>
          <w:cs/>
        </w:rPr>
        <w:t>अ</w:t>
      </w:r>
      <w:r>
        <w:t>|, |</w:t>
      </w:r>
      <w:r>
        <w:rPr>
          <w:rStyle w:val="ForeignDevanagariScript0"/>
          <w:rFonts w:hint="cs"/>
          <w:cs/>
        </w:rPr>
        <w:t>त्</w:t>
      </w:r>
      <w:r>
        <w:t>|, |</w:t>
      </w:r>
      <w:r>
        <w:rPr>
          <w:rStyle w:val="ForeignDevanagariScript0"/>
          <w:rFonts w:hint="cs"/>
          <w:cs/>
        </w:rPr>
        <w:t>क</w:t>
      </w:r>
      <w:r>
        <w:t>| and |</w:t>
      </w:r>
      <w:r>
        <w:rPr>
          <w:rStyle w:val="ForeignDevanagariScript0"/>
          <w:rFonts w:hint="cs"/>
          <w:cs/>
        </w:rPr>
        <w:t>र्त्स्न्यै</w:t>
      </w:r>
      <w:r>
        <w:t>| are glyphs of the Devanagari script</w:t>
      </w:r>
    </w:p>
    <w:p w14:paraId="2DFA26CD" w14:textId="77777777">
      <w:pPr>
        <w:pStyle w:val="Lista"/>
      </w:pPr>
      <w:r>
        <w:t xml:space="preserve">the term </w:t>
      </w:r>
      <w:r>
        <w:rPr>
          <w:rStyle w:val="Foreign"/>
          <w:b/>
          <w:bCs/>
        </w:rPr>
        <w:t>akṣara</w:t>
      </w:r>
      <w:r>
        <w:t xml:space="preserve"> can refer to either the characters or the glyphs of an aksharic writing system</w:t>
      </w:r>
    </w:p>
    <w:p w14:paraId="70AF55D2" w14:textId="77777777">
      <w:pPr>
        <w:pStyle w:val="Lista"/>
      </w:pPr>
      <w:r>
        <w:t xml:space="preserve">a </w:t>
      </w:r>
      <w:r>
        <w:rPr>
          <w:b/>
          <w:bCs/>
        </w:rPr>
        <w:t>component</w:t>
      </w:r>
      <w:r>
        <w:t xml:space="preserve"> is a visually discernible graph in a complex glyph, such as the graphs </w:t>
      </w:r>
      <w:r>
        <w:rPr>
          <w:noProof/>
        </w:rPr>
        <w:t>|t|</w:t>
      </w:r>
      <w:r>
        <w:t xml:space="preserve"> and </w:t>
      </w:r>
      <w:r>
        <w:rPr>
          <w:noProof/>
        </w:rPr>
        <w:t>|e|</w:t>
      </w:r>
      <w:r>
        <w:t xml:space="preserve"> in |</w:t>
      </w:r>
      <w:r>
        <w:rPr>
          <w:rStyle w:val="ForeignDevanagariScript0"/>
          <w:rFonts w:hint="cs"/>
          <w:cs/>
        </w:rPr>
        <w:t>ते</w:t>
      </w:r>
      <w:r>
        <w:t>|</w:t>
      </w:r>
    </w:p>
    <w:p w14:paraId="117C40D8" w14:textId="77777777">
      <w:pPr>
        <w:pStyle w:val="Lista2"/>
      </w:pPr>
      <w:r>
        <w:t xml:space="preserve">a </w:t>
      </w:r>
      <w:r>
        <w:rPr>
          <w:b/>
          <w:bCs/>
        </w:rPr>
        <w:t>marker</w:t>
      </w:r>
      <w:r>
        <w:t xml:space="preserve"> is a graph which can only manifest as a component, and never as an independent glyph, such as the </w:t>
      </w:r>
      <w:r>
        <w:rPr>
          <w:noProof/>
        </w:rPr>
        <w:t>|e|</w:t>
      </w:r>
      <w:r>
        <w:t xml:space="preserve"> in |</w:t>
      </w:r>
      <w:r>
        <w:rPr>
          <w:rStyle w:val="ForeignDevanagariScript0"/>
          <w:rFonts w:hint="cs"/>
          <w:cs/>
        </w:rPr>
        <w:t>ते</w:t>
      </w:r>
      <w:r>
        <w:t>|</w:t>
      </w:r>
    </w:p>
    <w:p w14:paraId="66D05324" w14:textId="77777777">
      <w:pPr>
        <w:pStyle w:val="Lista"/>
      </w:pPr>
      <w:r>
        <w:t xml:space="preserve">a </w:t>
      </w:r>
      <w:r>
        <w:rPr>
          <w:noProof/>
        </w:rPr>
        <w:t>(</w:t>
      </w:r>
      <w:r>
        <w:t xml:space="preserve">graphic) </w:t>
      </w:r>
      <w:r>
        <w:rPr>
          <w:b/>
          <w:bCs/>
        </w:rPr>
        <w:t>element</w:t>
      </w:r>
      <w:r>
        <w:t xml:space="preserve"> is any salient part of a graph or glyph that is not itself a graph, i.e. which has no graphemic signification of its own</w:t>
      </w:r>
    </w:p>
    <w:p w14:paraId="61128084" w14:textId="77777777">
      <w:pPr>
        <w:pStyle w:val="Lista2"/>
      </w:pPr>
      <w:r>
        <w:t xml:space="preserve">a </w:t>
      </w:r>
      <w:r>
        <w:rPr>
          <w:b/>
          <w:bCs/>
        </w:rPr>
        <w:t>stroke</w:t>
      </w:r>
      <w:r>
        <w:t xml:space="preserve"> is a graphic element which can be written as a single stroke of the writing instrument</w:t>
      </w:r>
    </w:p>
    <w:p w14:paraId="1DD92C22" w14:textId="77777777">
      <w:pPr>
        <w:pStyle w:val="Lista"/>
      </w:pPr>
      <w:r>
        <w:rPr>
          <w:b/>
          <w:bCs/>
        </w:rPr>
        <w:t>core graphemes</w:t>
      </w:r>
      <w:r>
        <w:t xml:space="preserve"> are those to which we dedicate a unique transliteration equivalent, and this identifies the grapheme precisely enough for our purposes</w:t>
      </w:r>
    </w:p>
    <w:p w14:paraId="2F7EE893" w14:textId="77777777">
      <w:pPr>
        <w:pStyle w:val="Lista2"/>
      </w:pPr>
      <w:r>
        <w:t xml:space="preserve">our core graphemes are the Indic writing system’s phonographic graphemes </w:t>
      </w:r>
      <w:r>
        <w:rPr>
          <w:noProof/>
        </w:rPr>
        <w:t>(</w:t>
      </w:r>
      <w:r>
        <w:t xml:space="preserve">including the inherent vowel and the </w:t>
      </w:r>
      <w:r>
        <w:rPr>
          <w:rStyle w:val="Foreign"/>
        </w:rPr>
        <w:t>virāma</w:t>
      </w:r>
      <w:r>
        <w:t xml:space="preserve">) and its numeral signs, along with a small number of miscellaneous graphemes such as the </w:t>
      </w:r>
      <w:r>
        <w:rPr>
          <w:rStyle w:val="Foreign"/>
        </w:rPr>
        <w:t>avagraha</w:t>
      </w:r>
      <w:r>
        <w:t xml:space="preserve"> and the abbreviation mark</w:t>
      </w:r>
    </w:p>
    <w:p w14:paraId="32AD092C" w14:textId="77777777">
      <w:pPr>
        <w:pStyle w:val="Lista"/>
        <w:rPr>
          <w:b/>
          <w:bCs/>
        </w:rPr>
      </w:pPr>
      <w:r>
        <w:rPr>
          <w:b/>
          <w:bCs/>
        </w:rPr>
        <w:t>peripheral graphemes</w:t>
      </w:r>
      <w:r>
        <w:t xml:space="preserve">, also called simply </w:t>
      </w:r>
      <w:r>
        <w:rPr>
          <w:b/>
          <w:bCs/>
        </w:rPr>
        <w:t>symbols</w:t>
      </w:r>
      <w:r>
        <w:t>, are those which we transliterate by means of a placeholder, which identifies the grapheme in a vague manner, while more precise identification may be added through encoding</w:t>
      </w:r>
    </w:p>
    <w:p w14:paraId="3345B88C" w14:textId="77777777">
      <w:pPr>
        <w:pStyle w:val="Lista2"/>
      </w:pPr>
      <w:r>
        <w:t xml:space="preserve">our peripheral graphemes include the Indic writing system’s non-numeral ideograms, its marks other than the </w:t>
      </w:r>
      <w:r>
        <w:rPr>
          <w:rStyle w:val="Foreign"/>
        </w:rPr>
        <w:t>avagraha</w:t>
      </w:r>
      <w:r>
        <w:t xml:space="preserve"> and the abbreviation mark, and its abstract symbols</w:t>
      </w:r>
    </w:p>
    <w:p w14:paraId="14C5AB5A" w14:textId="77777777">
      <w:pPr>
        <w:pStyle w:val="Cmsor2"/>
      </w:pPr>
      <w:bookmarkStart w:id="31" w:name="_Toc243900235"/>
      <w:r>
        <w:lastRenderedPageBreak/>
        <w:t>Terminology for encoding</w:t>
      </w:r>
      <w:bookmarkEnd w:id="31"/>
    </w:p>
    <w:p w14:paraId="7E4B6306" w14:textId="77777777">
      <w:r>
        <w:t xml:space="preserve">This section clarifies terms and concepts essential for encoding texts in XML. </w:t>
      </w:r>
    </w:p>
    <w:p w14:paraId="2D22DA63" w14:textId="77777777">
      <w:pPr>
        <w:pStyle w:val="Cmsor3"/>
      </w:pPr>
      <w:bookmarkStart w:id="32" w:name="_Ref233641527"/>
      <w:bookmarkStart w:id="33" w:name="_Toc243900236"/>
      <w:r>
        <w:t>Markup</w:t>
      </w:r>
      <w:bookmarkEnd w:id="32"/>
      <w:bookmarkEnd w:id="33"/>
    </w:p>
    <w:p w14:paraId="2D20CF86" w14:textId="77777777">
      <w:pPr>
        <w:pStyle w:val="Lista"/>
      </w:pPr>
      <w:r>
        <w:rPr>
          <w:b/>
          <w:bCs/>
        </w:rPr>
        <w:t>markup</w:t>
      </w:r>
      <w:r>
        <w:t xml:space="preserve"> traditionally means annotation within a text to convey information about the presentation of the text, including among others</w:t>
      </w:r>
    </w:p>
    <w:p w14:paraId="5EC60D10" w14:textId="77777777">
      <w:pPr>
        <w:pStyle w:val="Lista2"/>
      </w:pPr>
      <w:r>
        <w:t xml:space="preserve">markings in a modern manuscript to instruct a typesetter, for instance </w:t>
      </w:r>
      <w:r>
        <w:rPr>
          <w:u w:val="single"/>
        </w:rPr>
        <w:t>underline</w:t>
      </w:r>
      <w:r>
        <w:t xml:space="preserve"> to indicate conversion to italics</w:t>
      </w:r>
    </w:p>
    <w:p w14:paraId="6EF0004B" w14:textId="77777777">
      <w:pPr>
        <w:pStyle w:val="Lista2"/>
      </w:pPr>
      <w:r>
        <w:t>various brackets and other signs used in philology and epigraphy, for instance to indicate that certain parts of a text are tentatively read or supplied by the editor</w:t>
      </w:r>
    </w:p>
    <w:p w14:paraId="08482327" w14:textId="77777777">
      <w:pPr>
        <w:pStyle w:val="Lista2"/>
      </w:pPr>
      <w:r>
        <w:t>machine-readable markup, i.e. encoding</w:t>
      </w:r>
    </w:p>
    <w:p w14:paraId="527943D7" w14:textId="77777777">
      <w:pPr>
        <w:pStyle w:val="Lista"/>
      </w:pPr>
      <w:r>
        <w:t xml:space="preserve">the TEI guidelines define </w:t>
      </w:r>
      <w:r>
        <w:rPr>
          <w:b/>
          <w:bCs/>
        </w:rPr>
        <w:t>encoding</w:t>
      </w:r>
      <w:r>
        <w:t xml:space="preserve"> and </w:t>
      </w:r>
      <w:r>
        <w:rPr>
          <w:b/>
          <w:bCs/>
        </w:rPr>
        <w:t>markup</w:t>
      </w:r>
      <w:r>
        <w:t xml:space="preserve"> as synonymous and applicable in a widely generalised sense to “any means of making explicit an interpretation of a text”</w:t>
      </w:r>
      <w:r>
        <w:rPr>
          <w:rStyle w:val="Lbjegyzet-hivatkozs"/>
        </w:rPr>
        <w:footnoteReference w:id="4"/>
      </w:r>
      <w:r>
        <w:t xml:space="preserve"> and including typographic devices, punctuation marks and even spaces</w:t>
      </w:r>
    </w:p>
    <w:p w14:paraId="112C838C" w14:textId="77777777">
      <w:pPr>
        <w:pStyle w:val="Lista"/>
      </w:pPr>
      <w:r>
        <w:t>in the more circumscribed usage of this guide,</w:t>
      </w:r>
    </w:p>
    <w:p w14:paraId="73BF4FAC" w14:textId="77777777">
      <w:pPr>
        <w:pStyle w:val="Lista2"/>
      </w:pPr>
      <w:r>
        <w:rPr>
          <w:b/>
          <w:bCs/>
        </w:rPr>
        <w:t>markup</w:t>
      </w:r>
      <w:r>
        <w:t xml:space="preserve"> may refer to shorthand used in the transliteration (TG §3.3), to editorial signs used in a printed edition, or to XML encoding</w:t>
      </w:r>
    </w:p>
    <w:p w14:paraId="0D607412" w14:textId="77777777">
      <w:pPr>
        <w:pStyle w:val="Lista2"/>
      </w:pPr>
      <w:r>
        <w:rPr>
          <w:b/>
          <w:bCs/>
        </w:rPr>
        <w:t>encoding</w:t>
      </w:r>
      <w:r>
        <w:t xml:space="preserve"> refers specifically to the method of encoding texts in XML</w:t>
      </w:r>
    </w:p>
    <w:p w14:paraId="4851904F" w14:textId="77777777">
      <w:pPr>
        <w:pStyle w:val="Lista"/>
      </w:pPr>
      <w:r>
        <w:rPr>
          <w:b/>
          <w:bCs/>
        </w:rPr>
        <w:t>conceptual markup</w:t>
      </w:r>
      <w:r>
        <w:t xml:space="preserve"> </w:t>
      </w:r>
      <w:r>
        <w:rPr>
          <w:noProof/>
        </w:rPr>
        <w:t>(</w:t>
      </w:r>
      <w:r>
        <w:t xml:space="preserve">also called descriptive markup and semantic markup) essentially means tagging content for </w:t>
      </w:r>
      <w:r>
        <w:rPr>
          <w:rStyle w:val="Foreign"/>
        </w:rPr>
        <w:t>what it is</w:t>
      </w:r>
      <w:r>
        <w:t xml:space="preserve">, as opposed to other types of markup </w:t>
      </w:r>
      <w:r>
        <w:rPr>
          <w:noProof/>
        </w:rPr>
        <w:t>(</w:t>
      </w:r>
      <w:r>
        <w:t>which are only mentioned here for contrast, but which you need not worry about), namely</w:t>
      </w:r>
    </w:p>
    <w:p w14:paraId="7C1A0242" w14:textId="77777777">
      <w:pPr>
        <w:pStyle w:val="Lista2"/>
      </w:pPr>
      <w:r>
        <w:t xml:space="preserve">presentational markup, which tags content for </w:t>
      </w:r>
      <w:r>
        <w:rPr>
          <w:rStyle w:val="Foreign"/>
        </w:rPr>
        <w:t>what it should look like</w:t>
      </w:r>
      <w:r>
        <w:t>, as in simple WYSIWYG word processing where you can apply bold, italic, font choice, colour, etc. to bits of text</w:t>
      </w:r>
    </w:p>
    <w:p w14:paraId="0CD59CD5" w14:textId="77777777">
      <w:pPr>
        <w:pStyle w:val="Lista2"/>
      </w:pPr>
      <w:r>
        <w:t xml:space="preserve">procedural markup, which tags content for </w:t>
      </w:r>
      <w:r>
        <w:rPr>
          <w:rStyle w:val="Foreign"/>
        </w:rPr>
        <w:t>what an algorithm should do with it</w:t>
      </w:r>
      <w:r>
        <w:t xml:space="preserve">, as for instance in TeX </w:t>
      </w:r>
      <w:r>
        <w:rPr>
          <w:noProof/>
        </w:rPr>
        <w:t>(</w:t>
      </w:r>
      <w:r>
        <w:t>as opposed to LaTeX, which mostly uses conceptual markup)</w:t>
      </w:r>
    </w:p>
    <w:p w14:paraId="79EE5EC8" w14:textId="77777777">
      <w:pPr>
        <w:pStyle w:val="Lista"/>
      </w:pPr>
      <w:r>
        <w:t xml:space="preserve">conceptual markup allows a </w:t>
      </w:r>
      <w:r>
        <w:rPr>
          <w:i/>
          <w:iCs/>
        </w:rPr>
        <w:t>separation of concerns</w:t>
      </w:r>
      <w:r>
        <w:t>: instructions for what a processing algorithm should do to items tagged in a particular way, as well as instructions for how these items should be rendered on screen or in print, are kept separate from the actual text</w:t>
      </w:r>
    </w:p>
    <w:p w14:paraId="48B722D4" w14:textId="77777777">
      <w:pPr>
        <w:pStyle w:val="Lista"/>
      </w:pPr>
      <w:r>
        <w:t xml:space="preserve">a </w:t>
      </w:r>
      <w:r>
        <w:rPr>
          <w:b/>
          <w:bCs/>
        </w:rPr>
        <w:t>markup language</w:t>
      </w:r>
      <w:r>
        <w:t xml:space="preserve"> is a coherent set of markup conventions </w:t>
      </w:r>
    </w:p>
    <w:p w14:paraId="34C008BE" w14:textId="77777777">
      <w:pPr>
        <w:pStyle w:val="Lista"/>
      </w:pPr>
      <w:r>
        <w:rPr>
          <w:b/>
          <w:bCs/>
        </w:rPr>
        <w:t>XML</w:t>
      </w:r>
      <w:r>
        <w:t xml:space="preserve"> </w:t>
      </w:r>
      <w:r>
        <w:rPr>
          <w:noProof/>
        </w:rPr>
        <w:t>(eXtensible</w:t>
      </w:r>
      <w:r>
        <w:t xml:space="preserve"> Markup Language) is a machine-readable markup language used for a wide variety of purposes and independent of hardware or software platform</w:t>
      </w:r>
    </w:p>
    <w:p w14:paraId="461C1FD0" w14:textId="77777777">
      <w:pPr>
        <w:pStyle w:val="Lista"/>
      </w:pPr>
      <w:r>
        <w:t xml:space="preserve">the </w:t>
      </w:r>
      <w:r>
        <w:rPr>
          <w:b/>
          <w:bCs/>
        </w:rPr>
        <w:t>TEI</w:t>
      </w:r>
      <w:r>
        <w:t xml:space="preserve"> </w:t>
      </w:r>
      <w:r>
        <w:rPr>
          <w:noProof/>
        </w:rPr>
        <w:t>(</w:t>
      </w:r>
      <w:r>
        <w:t xml:space="preserve">Text Encoding Initiative) is a standard for the machine-readable encoding of texts </w:t>
      </w:r>
      <w:r>
        <w:rPr>
          <w:noProof/>
        </w:rPr>
        <w:t>(</w:t>
      </w:r>
      <w:r>
        <w:t>understood in a very broad sense) to facilitate text documentation, text representation, text analysis and interpretation</w:t>
      </w:r>
    </w:p>
    <w:p w14:paraId="3FFD50A5" w14:textId="77777777">
      <w:pPr>
        <w:pStyle w:val="Lista2"/>
      </w:pPr>
      <w:r>
        <w:t>TEI has been developed and is maintained by the eponymous Text Encoding Initiative Consortium</w:t>
      </w:r>
    </w:p>
    <w:p w14:paraId="740B9ADC" w14:textId="77777777">
      <w:pPr>
        <w:pStyle w:val="Lista2"/>
      </w:pPr>
      <w:r>
        <w:t>TEI defines a versatile and massive set of XML conventions for marking up texts</w:t>
      </w:r>
    </w:p>
    <w:p w14:paraId="7C40F0B7" w14:textId="77777777">
      <w:pPr>
        <w:pStyle w:val="Lista"/>
      </w:pPr>
      <w:r>
        <w:rPr>
          <w:b/>
          <w:bCs/>
        </w:rPr>
        <w:t>EpiDoc</w:t>
      </w:r>
      <w:r>
        <w:t xml:space="preserve"> is a subset of TEI-compliant markup rules specifically devised for marking up epigraphic documents</w:t>
      </w:r>
    </w:p>
    <w:p w14:paraId="625F93FD" w14:textId="77777777">
      <w:pPr>
        <w:pStyle w:val="Cmsor3"/>
      </w:pPr>
      <w:bookmarkStart w:id="34" w:name="_Ref224893557"/>
      <w:bookmarkStart w:id="35" w:name="_Toc243900237"/>
      <w:r>
        <w:t>XML elements</w:t>
      </w:r>
      <w:bookmarkEnd w:id="34"/>
      <w:bookmarkEnd w:id="35"/>
    </w:p>
    <w:p w14:paraId="07BD4654" w14:textId="77777777">
      <w:pPr>
        <w:pStyle w:val="Lista"/>
      </w:pPr>
      <w:r>
        <w:t xml:space="preserve">the structural units of XML are known as </w:t>
      </w:r>
      <w:r>
        <w:rPr>
          <w:b/>
          <w:bCs/>
        </w:rPr>
        <w:t>elements</w:t>
      </w:r>
    </w:p>
    <w:p w14:paraId="033FA9D5" w14:textId="77777777">
      <w:pPr>
        <w:pStyle w:val="Lista"/>
      </w:pPr>
      <w:r>
        <w:t xml:space="preserve">within an XML document, elements take the form of </w:t>
      </w:r>
      <w:r>
        <w:rPr>
          <w:b/>
          <w:bCs/>
        </w:rPr>
        <w:t>tags</w:t>
      </w:r>
      <w:r>
        <w:t xml:space="preserve">: words of code distinguished from the textual content by being always wrapped in angle brackets </w:t>
      </w:r>
      <w:r>
        <w:rPr>
          <w:rStyle w:val="Code"/>
        </w:rPr>
        <w:t>&lt;&gt;</w:t>
      </w:r>
    </w:p>
    <w:p w14:paraId="3C631563" w14:textId="77777777">
      <w:pPr>
        <w:pStyle w:val="Lista"/>
      </w:pPr>
      <w:r>
        <w:t>an XML element may be either</w:t>
      </w:r>
    </w:p>
    <w:p w14:paraId="40385BF9" w14:textId="77777777">
      <w:pPr>
        <w:pStyle w:val="Lista2"/>
      </w:pPr>
      <w:r>
        <w:rPr>
          <w:b/>
          <w:bCs/>
        </w:rPr>
        <w:t>empty</w:t>
      </w:r>
      <w:r>
        <w:t>, containing neither text nor further elements</w:t>
      </w:r>
    </w:p>
    <w:p w14:paraId="4D2D243E" w14:textId="77777777">
      <w:pPr>
        <w:pStyle w:val="Lista3"/>
      </w:pPr>
      <w:r>
        <w:t>taking the form of a single tag ending with a slash to show that the element ends with the tag</w:t>
      </w:r>
    </w:p>
    <w:p w14:paraId="57D42E9F" w14:textId="77777777">
      <w:pPr>
        <w:pStyle w:val="Lista4"/>
      </w:pPr>
      <w:r>
        <w:t xml:space="preserve">e.g. </w:t>
      </w:r>
      <w:r>
        <w:rPr>
          <w:rStyle w:val="Code"/>
        </w:rPr>
        <w:t>&lt;lb/&gt;</w:t>
      </w:r>
    </w:p>
    <w:p w14:paraId="020D6A46" w14:textId="77777777">
      <w:pPr>
        <w:pStyle w:val="Lista2"/>
      </w:pPr>
      <w:r>
        <w:t xml:space="preserve">or </w:t>
      </w:r>
      <w:r>
        <w:rPr>
          <w:b/>
          <w:bCs/>
        </w:rPr>
        <w:t>non-empty</w:t>
      </w:r>
      <w:r>
        <w:t xml:space="preserve">, containing any mixture of text and/or further </w:t>
      </w:r>
      <w:r>
        <w:rPr>
          <w:noProof/>
        </w:rPr>
        <w:t>(</w:t>
      </w:r>
      <w:r>
        <w:t>empty or non-empty) XML elements</w:t>
      </w:r>
    </w:p>
    <w:p w14:paraId="57B2B11B" w14:textId="77777777">
      <w:pPr>
        <w:pStyle w:val="Lista3"/>
      </w:pPr>
      <w:r>
        <w:lastRenderedPageBreak/>
        <w:t>taking the form of a pair of tags</w:t>
      </w:r>
    </w:p>
    <w:p w14:paraId="7D41430E" w14:textId="77777777">
      <w:pPr>
        <w:pStyle w:val="Lista4"/>
      </w:pPr>
      <w:r>
        <w:t xml:space="preserve">a start-tag which identifies the element, e.g. </w:t>
      </w:r>
      <w:r>
        <w:rPr>
          <w:rStyle w:val="Code"/>
        </w:rPr>
        <w:t>&lt;unclear&gt;</w:t>
      </w:r>
    </w:p>
    <w:p w14:paraId="4BB676A8" w14:textId="77777777">
      <w:pPr>
        <w:pStyle w:val="Lista4"/>
      </w:pPr>
      <w:r>
        <w:t xml:space="preserve">and an end-tag which includes the slash and repeats the element name, e.g. </w:t>
      </w:r>
      <w:r>
        <w:rPr>
          <w:rStyle w:val="Code"/>
        </w:rPr>
        <w:t>&lt;/unclear&gt;</w:t>
      </w:r>
    </w:p>
    <w:p w14:paraId="31F2ED90" w14:textId="77777777">
      <w:pPr>
        <w:pStyle w:val="Lista2"/>
      </w:pPr>
      <w:r>
        <w:t>optionally, empty elements can also be represented by a pair of tags with nothing in between</w:t>
      </w:r>
    </w:p>
    <w:p w14:paraId="4F9081AE" w14:textId="77777777">
      <w:pPr>
        <w:pStyle w:val="Lista3"/>
      </w:pPr>
      <w:r>
        <w:t xml:space="preserve">e.g. </w:t>
      </w:r>
      <w:r>
        <w:rPr>
          <w:rStyle w:val="Code"/>
        </w:rPr>
        <w:t>&lt;lb&gt;&lt;/lb&gt;</w:t>
      </w:r>
    </w:p>
    <w:p w14:paraId="75CBDE47" w14:textId="77777777">
      <w:pPr>
        <w:pStyle w:val="Lista"/>
      </w:pPr>
      <w:r>
        <w:t>for our purposes, non-empty elements are distinguished into two basic types:</w:t>
      </w:r>
    </w:p>
    <w:p w14:paraId="291B437A" w14:textId="77777777">
      <w:pPr>
        <w:pStyle w:val="Lista2"/>
      </w:pPr>
      <w:r>
        <w:rPr>
          <w:b/>
          <w:bCs/>
        </w:rPr>
        <w:t>block-level elements</w:t>
      </w:r>
      <w:r>
        <w:t xml:space="preserve"> or chunks, which, together, must contain all text within an edition</w:t>
      </w:r>
    </w:p>
    <w:p w14:paraId="15F87890" w14:textId="77777777">
      <w:pPr>
        <w:pStyle w:val="Lista3"/>
      </w:pPr>
      <w:r>
        <w:t xml:space="preserve">these serve in TEI to encode the intrinsic structure of a text </w:t>
      </w:r>
      <w:r>
        <w:rPr>
          <w:noProof/>
        </w:rPr>
        <w:t>(</w:t>
      </w:r>
      <w:r>
        <w:t>§</w:t>
      </w:r>
      <w:r>
        <w:fldChar w:fldCharType="begin"/>
      </w:r>
      <w:r>
        <w:instrText xml:space="preserve"> REF _Ref43978632 \r \h  \* MERGEFORMAT </w:instrText>
      </w:r>
      <w:r>
        <w:fldChar w:fldCharType="separate"/>
      </w:r>
      <w:r>
        <w:t>3</w:t>
      </w:r>
      <w:r>
        <w:fldChar w:fldCharType="end"/>
      </w:r>
      <w:r>
        <w:t>)</w:t>
      </w:r>
    </w:p>
    <w:p w14:paraId="7835EC99" w14:textId="77777777">
      <w:pPr>
        <w:pStyle w:val="Lista2"/>
      </w:pPr>
      <w:r>
        <w:rPr>
          <w:b/>
          <w:bCs/>
        </w:rPr>
        <w:t>phrase-level</w:t>
      </w:r>
      <w:r>
        <w:t xml:space="preserve"> elements, which must be entirely contained within a block-level element</w:t>
      </w:r>
    </w:p>
    <w:p w14:paraId="47C2A3F1" w14:textId="77777777">
      <w:pPr>
        <w:pStyle w:val="Lista3"/>
      </w:pPr>
      <w:r>
        <w:t>these serve to mark up local features of the text, for example uncertain readings, editorial alterations, segments in a different script and numerals</w:t>
      </w:r>
    </w:p>
    <w:p w14:paraId="11181FDB" w14:textId="77777777">
      <w:pPr>
        <w:pStyle w:val="Lista"/>
      </w:pPr>
      <w:r>
        <w:rPr>
          <w:b/>
          <w:bCs/>
        </w:rPr>
        <w:t>XML element names</w:t>
      </w:r>
      <w:r>
        <w:t xml:space="preserve"> are case-sensitive: e.g. </w:t>
      </w:r>
      <w:r>
        <w:rPr>
          <w:rStyle w:val="Code"/>
        </w:rPr>
        <w:t>&lt;unclear&gt;</w:t>
      </w:r>
      <w:r>
        <w:t xml:space="preserve"> cannot be substituted with </w:t>
      </w:r>
      <w:r>
        <w:rPr>
          <w:rStyle w:val="Code"/>
        </w:rPr>
        <w:t>&lt;Unclear&gt;</w:t>
      </w:r>
      <w:r>
        <w:t xml:space="preserve"> or </w:t>
      </w:r>
      <w:r>
        <w:rPr>
          <w:rStyle w:val="Code"/>
        </w:rPr>
        <w:t>&lt;UNCLEAR&gt;</w:t>
      </w:r>
    </w:p>
    <w:p w14:paraId="658ADD16" w14:textId="77777777">
      <w:pPr>
        <w:pStyle w:val="Lista"/>
      </w:pPr>
      <w:r>
        <w:t xml:space="preserve">XML elements can have </w:t>
      </w:r>
      <w:r>
        <w:rPr>
          <w:b/>
          <w:bCs/>
        </w:rPr>
        <w:t>attributes</w:t>
      </w:r>
      <w:r>
        <w:t>, whose function is to record additional information about an element</w:t>
      </w:r>
    </w:p>
    <w:p w14:paraId="1B508E9A" w14:textId="77777777">
      <w:pPr>
        <w:pStyle w:val="Lista3"/>
      </w:pPr>
      <w:r>
        <w:t>attributes have a name and a value, which are incorporated into the tag for an empty element, or into the start-tag of a non-empty element, e.g.</w:t>
      </w:r>
    </w:p>
    <w:p w14:paraId="7C7B7C37" w14:textId="77777777">
      <w:pPr>
        <w:pStyle w:val="Lista4"/>
      </w:pPr>
      <w:r>
        <w:rPr>
          <w:rStyle w:val="Code"/>
        </w:rPr>
        <w:t xml:space="preserve">&lt;space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p w14:paraId="285934C1" w14:textId="77777777">
      <w:pPr>
        <w:pStyle w:val="Lista4"/>
      </w:pPr>
      <w:r>
        <w:rPr>
          <w:rStyle w:val="Code"/>
        </w:rPr>
        <w:t xml:space="preserve">&lt;unclear </w:t>
      </w:r>
      <w:r>
        <w:rPr>
          <w:rStyle w:val="Codeattribute"/>
        </w:rPr>
        <w:t>cert</w:t>
      </w:r>
      <w:r>
        <w:rPr>
          <w:rStyle w:val="Code"/>
        </w:rPr>
        <w:t>=</w:t>
      </w:r>
      <w:r>
        <w:rPr>
          <w:rStyle w:val="Codevalue"/>
        </w:rPr>
        <w:t>"low"</w:t>
      </w:r>
      <w:r>
        <w:rPr>
          <w:rStyle w:val="Code"/>
        </w:rPr>
        <w:t>&gt;</w:t>
      </w:r>
      <w:r>
        <w:rPr>
          <w:rStyle w:val="Codetext"/>
        </w:rPr>
        <w:t>...</w:t>
      </w:r>
      <w:r>
        <w:rPr>
          <w:rStyle w:val="Code"/>
        </w:rPr>
        <w:t>&lt;/unclear&gt;</w:t>
      </w:r>
    </w:p>
    <w:p w14:paraId="0149A3D0" w14:textId="77777777">
      <w:pPr>
        <w:pStyle w:val="Lista3"/>
      </w:pPr>
      <w:r>
        <w:t>one element may have any number of attributes</w:t>
      </w:r>
    </w:p>
    <w:p w14:paraId="011E11EC" w14:textId="77777777">
      <w:pPr>
        <w:pStyle w:val="Lista3"/>
      </w:pPr>
      <w:r>
        <w:t>attributes must be separated by spaces from each other and from the element name</w:t>
      </w:r>
    </w:p>
    <w:p w14:paraId="79A2366A" w14:textId="77777777">
      <w:pPr>
        <w:pStyle w:val="Lista3"/>
      </w:pPr>
      <w:r>
        <w:t>attributes may appear in any order within an element</w:t>
      </w:r>
    </w:p>
    <w:p w14:paraId="5F0E883D" w14:textId="77777777">
      <w:pPr>
        <w:pStyle w:val="Lista4"/>
      </w:pPr>
      <w:r>
        <w:t xml:space="preserve">e.g. </w:t>
      </w:r>
      <w:r>
        <w:rPr>
          <w:rStyle w:val="Code"/>
        </w:rPr>
        <w:t xml:space="preserve">&lt;space </w:t>
      </w:r>
      <w:r>
        <w:rPr>
          <w:rStyle w:val="Codeattribute"/>
        </w:rPr>
        <w:t>unit</w:t>
      </w:r>
      <w:r>
        <w:rPr>
          <w:rStyle w:val="Code"/>
        </w:rPr>
        <w:t>=</w:t>
      </w:r>
      <w:r>
        <w:rPr>
          <w:rStyle w:val="Codevalue"/>
        </w:rPr>
        <w:t>"character"</w:t>
      </w:r>
      <w:r>
        <w:rPr>
          <w:rStyle w:val="Code"/>
        </w:rPr>
        <w:t xml:space="preserve"> </w:t>
      </w:r>
      <w:r>
        <w:rPr>
          <w:rStyle w:val="Codeattribute"/>
        </w:rPr>
        <w:t>quantity</w:t>
      </w:r>
      <w:r>
        <w:rPr>
          <w:rStyle w:val="Code"/>
        </w:rPr>
        <w:t>=</w:t>
      </w:r>
      <w:r>
        <w:rPr>
          <w:rStyle w:val="Codevalue"/>
        </w:rPr>
        <w:t>"3"</w:t>
      </w:r>
      <w:r>
        <w:rPr>
          <w:rStyle w:val="Code"/>
        </w:rPr>
        <w:t>/&gt;</w:t>
      </w:r>
      <w:r>
        <w:t xml:space="preserve"> is entirely identical in meaning to the above example with the same attributes in an inverted order</w:t>
      </w:r>
    </w:p>
    <w:p w14:paraId="4B8D63E7" w14:textId="77777777">
      <w:pPr>
        <w:pStyle w:val="Lista3"/>
      </w:pPr>
      <w:r>
        <w:t>the attribute name is followed by an equals sign and the value in double quote marks</w:t>
      </w:r>
      <w:r>
        <w:rPr>
          <w:rStyle w:val="Lbjegyzet-hivatkozs"/>
        </w:rPr>
        <w:footnoteReference w:id="5"/>
      </w:r>
    </w:p>
    <w:p w14:paraId="0A3E634C" w14:textId="77777777">
      <w:pPr>
        <w:pStyle w:val="Lista4"/>
      </w:pPr>
      <w:r>
        <w:t xml:space="preserve">note that these must be plain typewriter-style quote marks </w:t>
      </w:r>
      <w:r>
        <w:rPr>
          <w:noProof/>
        </w:rPr>
        <w:t>(</w:t>
      </w:r>
      <w:r>
        <w:t xml:space="preserve">i.e. " "), not printer’s quote marks </w:t>
      </w:r>
      <w:r>
        <w:rPr>
          <w:noProof/>
        </w:rPr>
        <w:t>(</w:t>
      </w:r>
      <w:r>
        <w:t>“ ”)</w:t>
      </w:r>
    </w:p>
    <w:p w14:paraId="16740DF0" w14:textId="77777777">
      <w:pPr>
        <w:pStyle w:val="Lista3"/>
      </w:pPr>
      <w:r>
        <w:t>attributes always qualify only the element to which they belong and have no influence on any other elements such as neighbouring ones or elements of the same type elsewhere in the XML structure</w:t>
      </w:r>
    </w:p>
    <w:p w14:paraId="7D4773EB" w14:textId="77777777">
      <w:pPr>
        <w:pStyle w:val="Lista4"/>
      </w:pPr>
      <w:r>
        <w:t>however, attributes may be inherited by elements further down in the hierarchy, so that if an attribute is used in an element that contains further elements to which that attribute can apply, then the attribute and value encoded in the ancestor element will also pertain to the descendant elements</w:t>
      </w:r>
    </w:p>
    <w:p w14:paraId="3937065E" w14:textId="77777777">
      <w:pPr>
        <w:pStyle w:val="Lista3"/>
      </w:pPr>
      <w:r>
        <w:t xml:space="preserve">when attributes are discussed in human-readable text without being cited as full XML tags, they are conventionally prefixed with an </w:t>
      </w:r>
      <w:r>
        <w:rPr>
          <w:rStyle w:val="Codeattribute"/>
        </w:rPr>
        <w:t>@</w:t>
      </w:r>
      <w:r>
        <w:t xml:space="preserve"> </w:t>
      </w:r>
      <w:r>
        <w:rPr>
          <w:noProof/>
        </w:rPr>
        <w:t>(</w:t>
      </w:r>
      <w:r>
        <w:t>“at”, implying “attribute”) sign; thus, in the above examples</w:t>
      </w:r>
    </w:p>
    <w:p w14:paraId="0EFC11B4" w14:textId="77777777">
      <w:pPr>
        <w:pStyle w:val="Lista4"/>
        <w:rPr>
          <w:rStyle w:val="Codeattribute"/>
          <w:rFonts w:ascii="Gentium" w:hAnsi="Gentium" w:cs="Tiro Devanagari Sanskrit"/>
          <w:noProof w:val="0"/>
          <w:color w:val="auto"/>
          <w:shd w:val="clear" w:color="auto" w:fill="auto"/>
        </w:rPr>
      </w:pPr>
      <w:r>
        <w:t xml:space="preserve">the element </w:t>
      </w:r>
      <w:r>
        <w:rPr>
          <w:rStyle w:val="Code"/>
        </w:rPr>
        <w:t>&lt;space&gt;</w:t>
      </w:r>
      <w:r>
        <w:t xml:space="preserve"> has the attributes </w:t>
      </w:r>
      <w:r>
        <w:rPr>
          <w:rStyle w:val="Codeattribute"/>
        </w:rPr>
        <w:t>@quantity</w:t>
      </w:r>
      <w:r>
        <w:t xml:space="preserve"> and </w:t>
      </w:r>
      <w:r>
        <w:rPr>
          <w:rStyle w:val="Codeattribute"/>
        </w:rPr>
        <w:t>@unit</w:t>
      </w:r>
      <w:r>
        <w:t xml:space="preserve">, while the element </w:t>
      </w:r>
      <w:r>
        <w:rPr>
          <w:rStyle w:val="Code"/>
        </w:rPr>
        <w:t>&lt;unclear&gt;</w:t>
      </w:r>
      <w:r>
        <w:t xml:space="preserve"> has the attribute </w:t>
      </w:r>
      <w:r>
        <w:rPr>
          <w:rStyle w:val="Codeattribute"/>
        </w:rPr>
        <w:t>@cert</w:t>
      </w:r>
    </w:p>
    <w:p w14:paraId="773FD9CA" w14:textId="77777777">
      <w:pPr>
        <w:pStyle w:val="Lista"/>
      </w:pPr>
      <w:r>
        <w:t>in addition to text and elements proper, XML documents may contain some other items, of which one is relevant to us:</w:t>
      </w:r>
    </w:p>
    <w:p w14:paraId="67930B73" w14:textId="77777777">
      <w:pPr>
        <w:pStyle w:val="Lista2"/>
      </w:pPr>
      <w:r>
        <w:t xml:space="preserve">an </w:t>
      </w:r>
      <w:r>
        <w:rPr>
          <w:b/>
          <w:bCs/>
        </w:rPr>
        <w:t>XML comment</w:t>
      </w:r>
      <w:r>
        <w:t xml:space="preserve"> is anything that is not considered to be part of the document and will be ignored by computers processing an XML file</w:t>
      </w:r>
    </w:p>
    <w:p w14:paraId="0F2B185E" w14:textId="77777777">
      <w:pPr>
        <w:pStyle w:val="Lista3"/>
      </w:pPr>
      <w:r>
        <w:t xml:space="preserve">an XML comment must begin with the characters </w:t>
      </w:r>
      <w:r>
        <w:rPr>
          <w:rStyle w:val="Codetext"/>
        </w:rPr>
        <w:t>&lt;!--</w:t>
      </w:r>
      <w:r>
        <w:t xml:space="preserve"> and end with the characters </w:t>
      </w:r>
      <w:r>
        <w:rPr>
          <w:rStyle w:val="Codetext"/>
        </w:rPr>
        <w:t>--&gt;</w:t>
      </w:r>
    </w:p>
    <w:p w14:paraId="03527C9C" w14:textId="77777777">
      <w:pPr>
        <w:pStyle w:val="Lista3"/>
      </w:pPr>
      <w:r>
        <w:t xml:space="preserve">comments may be added by editors as notes to other team members to explain their choice of code or to discuss problems in the edition, e.g. </w:t>
      </w:r>
      <w:r>
        <w:rPr>
          <w:rStyle w:val="Codecomment"/>
        </w:rPr>
        <w:t>&lt;!--I'm not sure how to mark this up--&gt;</w:t>
      </w:r>
    </w:p>
    <w:p w14:paraId="0E831177" w14:textId="77777777">
      <w:pPr>
        <w:pStyle w:val="Lista3"/>
      </w:pPr>
      <w:r>
        <w:t>comments may also be used to “switch off” parts of an XML document without deleting them: any XML code placed within the comment opening and closing sequence will become invisible to computer processing</w:t>
      </w:r>
      <w:r>
        <w:rPr>
          <w:rStyle w:val="Lbjegyzet-hivatkozs"/>
        </w:rPr>
        <w:footnoteReference w:id="6"/>
      </w:r>
    </w:p>
    <w:p w14:paraId="5541BCD3" w14:textId="77777777">
      <w:pPr>
        <w:pStyle w:val="Cmsor3"/>
      </w:pPr>
      <w:bookmarkStart w:id="36" w:name="_Toc243900238"/>
      <w:r>
        <w:lastRenderedPageBreak/>
        <w:t>Character entity references</w:t>
      </w:r>
      <w:bookmarkEnd w:id="36"/>
    </w:p>
    <w:p w14:paraId="55F5DD24" w14:textId="77777777">
      <w:r>
        <w:t xml:space="preserve">In addition to elements and text, XML documents may contain a few other items which need not concern you generally, except for one item type that you should be aware of: XML allows the use of character entity references. These are short code words preceded by an </w:t>
      </w:r>
      <w:r>
        <w:rPr>
          <w:rStyle w:val="Code"/>
        </w:rPr>
        <w:t>&amp;</w:t>
      </w:r>
      <w:r>
        <w:t xml:space="preserve"> </w:t>
      </w:r>
      <w:r>
        <w:rPr>
          <w:noProof/>
        </w:rPr>
        <w:t>(</w:t>
      </w:r>
      <w:r>
        <w:t xml:space="preserve">ampersand) and followed by a </w:t>
      </w:r>
      <w:r>
        <w:rPr>
          <w:rStyle w:val="Code"/>
        </w:rPr>
        <w:t>;</w:t>
      </w:r>
      <w:r>
        <w:t xml:space="preserve"> </w:t>
      </w:r>
      <w:r>
        <w:rPr>
          <w:noProof/>
        </w:rPr>
        <w:t>(</w:t>
      </w:r>
      <w:r>
        <w:t xml:space="preserve">semicolon). The purpose of character entity references is to allow the typing, display and processing of characters which are either not supported on certain platforms </w:t>
      </w:r>
      <w:r>
        <w:rPr>
          <w:noProof/>
        </w:rPr>
        <w:t>(</w:t>
      </w:r>
      <w:r>
        <w:t xml:space="preserve">such as accented characters, but this case need not bother you) or reserved for a special function in XML </w:t>
      </w:r>
      <w:r>
        <w:rPr>
          <w:noProof/>
        </w:rPr>
        <w:t>(</w:t>
      </w:r>
      <w:r>
        <w:t>which is what matters to us). As a consequence,</w:t>
      </w:r>
    </w:p>
    <w:p w14:paraId="54319CE5" w14:textId="77777777">
      <w:pPr>
        <w:pStyle w:val="Lista"/>
      </w:pPr>
      <w:r>
        <w:t xml:space="preserve">should you need to use the </w:t>
      </w:r>
      <w:r>
        <w:rPr>
          <w:rStyle w:val="Code"/>
        </w:rPr>
        <w:t>&lt;</w:t>
      </w:r>
      <w:r>
        <w:t xml:space="preserve"> character </w:t>
      </w:r>
      <w:r>
        <w:rPr>
          <w:noProof/>
        </w:rPr>
        <w:t>(</w:t>
      </w:r>
      <w:r>
        <w:t xml:space="preserve">which an XML processing engine would interpret as the beginning of an XML tag), you must instead use the entity reference </w:t>
      </w:r>
      <w:r>
        <w:rPr>
          <w:rStyle w:val="Code"/>
        </w:rPr>
        <w:t>&amp;lt;</w:t>
      </w:r>
      <w:r>
        <w:t xml:space="preserve"> </w:t>
      </w:r>
      <w:r>
        <w:rPr>
          <w:noProof/>
        </w:rPr>
        <w:t>(</w:t>
      </w:r>
      <w:r>
        <w:t xml:space="preserve">where </w:t>
      </w:r>
      <w:r>
        <w:rPr>
          <w:noProof/>
        </w:rPr>
        <w:t>“lt”</w:t>
      </w:r>
      <w:r>
        <w:t xml:space="preserve"> stands for “less than”)</w:t>
      </w:r>
    </w:p>
    <w:p w14:paraId="0E5CEFD6" w14:textId="77777777">
      <w:pPr>
        <w:pStyle w:val="Lista"/>
      </w:pPr>
      <w:r>
        <w:t xml:space="preserve">should you need to use the </w:t>
      </w:r>
      <w:r>
        <w:rPr>
          <w:rStyle w:val="Code"/>
        </w:rPr>
        <w:t>&amp;</w:t>
      </w:r>
      <w:r>
        <w:t xml:space="preserve"> character </w:t>
      </w:r>
      <w:r>
        <w:rPr>
          <w:noProof/>
        </w:rPr>
        <w:t>(</w:t>
      </w:r>
      <w:r>
        <w:t xml:space="preserve">which an XML processing engine would interpret as the beginning of an entity reference), you must instead use the entity reference </w:t>
      </w:r>
      <w:r>
        <w:rPr>
          <w:rStyle w:val="Code"/>
        </w:rPr>
        <w:t>&amp;amp;</w:t>
      </w:r>
      <w:r>
        <w:t xml:space="preserve"> </w:t>
      </w:r>
      <w:r>
        <w:rPr>
          <w:noProof/>
        </w:rPr>
        <w:t>(</w:t>
      </w:r>
      <w:r>
        <w:t>where “amp” stands for “ampersand”)</w:t>
      </w:r>
    </w:p>
    <w:p w14:paraId="1E6994C6" w14:textId="77777777">
      <w:pPr>
        <w:pStyle w:val="Lista"/>
      </w:pPr>
      <w:r>
        <w:t xml:space="preserve">in Oxygen, whenever you enter an </w:t>
      </w:r>
      <w:r>
        <w:rPr>
          <w:rStyle w:val="Code"/>
        </w:rPr>
        <w:t>&amp;</w:t>
      </w:r>
      <w:r>
        <w:t xml:space="preserve">, the software will automatically suggest a list of pre-defined entity references </w:t>
      </w:r>
      <w:r>
        <w:rPr>
          <w:noProof/>
        </w:rPr>
        <w:t>(</w:t>
      </w:r>
      <w:r>
        <w:t xml:space="preserve">starting with </w:t>
      </w:r>
      <w:r>
        <w:rPr>
          <w:rStyle w:val="Code"/>
        </w:rPr>
        <w:t>&amp;amp;</w:t>
      </w:r>
      <w:r>
        <w:t>) so all you need do is select and accept the suggestion for the character you need</w:t>
      </w:r>
    </w:p>
    <w:p w14:paraId="537D33F7" w14:textId="77777777">
      <w:pPr>
        <w:pStyle w:val="Lista"/>
      </w:pPr>
      <w:r>
        <w:t xml:space="preserve">if during validation you encounter unexpected errors, consider if you may have used the characters </w:t>
      </w:r>
      <w:r>
        <w:rPr>
          <w:rStyle w:val="Code"/>
        </w:rPr>
        <w:t>&amp;</w:t>
      </w:r>
      <w:r>
        <w:t xml:space="preserve">, </w:t>
      </w:r>
      <w:r>
        <w:rPr>
          <w:rStyle w:val="Code"/>
        </w:rPr>
        <w:t>&lt;</w:t>
      </w:r>
      <w:r>
        <w:t xml:space="preserve"> or </w:t>
      </w:r>
      <w:r>
        <w:rPr>
          <w:rStyle w:val="Code"/>
        </w:rPr>
        <w:t>&gt;</w:t>
      </w:r>
      <w:r>
        <w:t xml:space="preserve"> inadvertently, for example because you have copy-pasted text from a word processor</w:t>
      </w:r>
    </w:p>
    <w:p w14:paraId="053F61E0" w14:textId="77777777">
      <w:pPr>
        <w:pStyle w:val="Cmsor3"/>
      </w:pPr>
      <w:bookmarkStart w:id="37" w:name="_Ref224893456"/>
      <w:bookmarkStart w:id="38" w:name="_Toc243900239"/>
      <w:r>
        <w:t>XML hierarchy</w:t>
      </w:r>
      <w:bookmarkEnd w:id="37"/>
      <w:bookmarkEnd w:id="38"/>
    </w:p>
    <w:p w14:paraId="6B9A8B5D" w14:textId="77777777">
      <w:pPr>
        <w:pStyle w:val="Lista"/>
      </w:pPr>
      <w:r>
        <w:t xml:space="preserve">the structure of an XML document </w:t>
      </w:r>
      <w:r>
        <w:rPr>
          <w:b/>
          <w:bCs/>
        </w:rPr>
        <w:t>hierarchical</w:t>
      </w:r>
      <w:r>
        <w:t xml:space="preserve">, consisting of “boxes within boxes within boxes” or more accurately an </w:t>
      </w:r>
      <w:r>
        <w:rPr>
          <w:rStyle w:val="Foreign"/>
        </w:rPr>
        <w:t>ordered hierarchy of content objects</w:t>
      </w:r>
    </w:p>
    <w:p w14:paraId="22E16972" w14:textId="77777777">
      <w:pPr>
        <w:pStyle w:val="Lista"/>
        <w:ind w:left="340"/>
      </w:pPr>
      <w:r>
        <w:t xml:space="preserve">every XML document must be wrapped in a </w:t>
      </w:r>
      <w:r>
        <w:rPr>
          <w:b/>
          <w:bCs/>
        </w:rPr>
        <w:t>root element</w:t>
      </w:r>
      <w:r>
        <w:t xml:space="preserve"> which serves as a container for the document as a whole</w:t>
      </w:r>
    </w:p>
    <w:p w14:paraId="3C96FB3A" w14:textId="77777777">
      <w:pPr>
        <w:pStyle w:val="Lista2"/>
        <w:ind w:left="510"/>
      </w:pPr>
      <w:r>
        <w:t xml:space="preserve">all other elements (except for some instructions at the beginning of the document) are </w:t>
      </w:r>
      <w:r>
        <w:rPr>
          <w:b/>
          <w:bCs/>
        </w:rPr>
        <w:t>nested</w:t>
      </w:r>
      <w:r>
        <w:t xml:space="preserve"> either directly within the root element, or at a lower level of the hierarchy</w:t>
      </w:r>
    </w:p>
    <w:p w14:paraId="0730BE7C" w14:textId="77777777">
      <w:pPr>
        <w:pStyle w:val="Lista"/>
        <w:ind w:left="340"/>
      </w:pPr>
      <w:r>
        <w:t xml:space="preserve">if an element is embedded directly within another element, then the former is referred to as a </w:t>
      </w:r>
      <w:r>
        <w:rPr>
          <w:b/>
          <w:bCs/>
        </w:rPr>
        <w:t>child</w:t>
      </w:r>
      <w:r>
        <w:t xml:space="preserve"> of the latter, and the latter as the </w:t>
      </w:r>
      <w:r>
        <w:rPr>
          <w:b/>
          <w:bCs/>
        </w:rPr>
        <w:t>parent</w:t>
      </w:r>
      <w:r>
        <w:t xml:space="preserve"> of the former</w:t>
      </w:r>
    </w:p>
    <w:p w14:paraId="7408496D" w14:textId="77777777">
      <w:pPr>
        <w:pStyle w:val="Lista"/>
        <w:ind w:left="340"/>
      </w:pPr>
      <w:r>
        <w:t xml:space="preserve">if an element is embedded at any depth within another element, then the former is a </w:t>
      </w:r>
      <w:r>
        <w:rPr>
          <w:b/>
          <w:bCs/>
        </w:rPr>
        <w:t>descendant</w:t>
      </w:r>
      <w:r>
        <w:t xml:space="preserve"> of the latter, and the latter is the </w:t>
      </w:r>
      <w:r>
        <w:rPr>
          <w:b/>
          <w:bCs/>
        </w:rPr>
        <w:t>ancestor</w:t>
      </w:r>
      <w:r>
        <w:t xml:space="preserve"> of the former</w:t>
      </w:r>
    </w:p>
    <w:tbl>
      <w:tblPr>
        <w:tblStyle w:val="CodeSampleTable"/>
        <w:tblpPr w:leftFromText="180" w:rightFromText="180" w:vertAnchor="text" w:tblpXSpec="right" w:tblpY="4"/>
        <w:tblW w:w="0" w:type="auto"/>
        <w:tblLook w:val="04A0" w:firstRow="1" w:lastRow="0" w:firstColumn="1" w:lastColumn="0" w:noHBand="0" w:noVBand="1"/>
      </w:tblPr>
      <w:tblGrid>
        <w:gridCol w:w="1848"/>
      </w:tblGrid>
      <w:tr w14:paraId="7B9901AB" w14:textId="77777777">
        <w:trPr>
          <w:cnfStyle w:val="100000000000" w:firstRow="1" w:lastRow="0" w:firstColumn="0" w:lastColumn="0" w:oddVBand="0" w:evenVBand="0" w:oddHBand="0" w:evenHBand="0" w:firstRowFirstColumn="0" w:firstRowLastColumn="0" w:lastRowFirstColumn="0" w:lastRowLastColumn="0"/>
        </w:trPr>
        <w:tc>
          <w:tcPr>
            <w:tcW w:w="1848" w:type="dxa"/>
          </w:tcPr>
          <w:p w14:paraId="7CF5C524" w14:textId="77777777">
            <w:pPr>
              <w:pStyle w:val="Kpalrs"/>
            </w:pPr>
            <w:bookmarkStart w:id="39" w:name="_Ref43993481"/>
            <w:r>
              <w:t xml:space="preserve">Exhibit </w:t>
            </w:r>
            <w:fldSimple w:instr=" STYLEREF 2 \s ">
              <w:r>
                <w:rPr>
                  <w:noProof/>
                </w:rPr>
                <w:t>2.2</w:t>
              </w:r>
            </w:fldSimple>
            <w:r>
              <w:t>.</w:t>
            </w:r>
            <w:fldSimple w:instr=" SEQ Exhibit \* ALPHABETIC \s 2 ">
              <w:r>
                <w:rPr>
                  <w:noProof/>
                </w:rPr>
                <w:t>A</w:t>
              </w:r>
            </w:fldSimple>
            <w:bookmarkEnd w:id="39"/>
            <w:r>
              <w:t xml:space="preserve">: </w:t>
            </w:r>
            <w:r>
              <w:br/>
              <w:t>XML hierarchy</w:t>
            </w:r>
          </w:p>
        </w:tc>
      </w:tr>
      <w:tr w14:paraId="26DCFD47" w14:textId="77777777">
        <w:tc>
          <w:tcPr>
            <w:tcW w:w="1848" w:type="dxa"/>
          </w:tcPr>
          <w:p w14:paraId="37E1E63F" w14:textId="77777777">
            <w:pPr>
              <w:pStyle w:val="CodeParagraph"/>
              <w:rPr>
                <w:rStyle w:val="Code"/>
              </w:rPr>
            </w:pPr>
            <w:r>
              <w:rPr>
                <w:rStyle w:val="Code"/>
              </w:rPr>
              <w:t xml:space="preserve">  &lt;A&gt;</w:t>
            </w:r>
          </w:p>
          <w:p w14:paraId="704AD2BB" w14:textId="77777777">
            <w:pPr>
              <w:pStyle w:val="CodeParagraph"/>
              <w:rPr>
                <w:rStyle w:val="Code"/>
              </w:rPr>
            </w:pPr>
            <w:r>
              <w:rPr>
                <w:rStyle w:val="Code"/>
              </w:rPr>
              <w:t xml:space="preserve">    &lt;B&gt;</w:t>
            </w:r>
          </w:p>
          <w:p w14:paraId="01833398" w14:textId="77777777">
            <w:pPr>
              <w:pStyle w:val="CodeParagraph"/>
              <w:rPr>
                <w:rStyle w:val="Code"/>
              </w:rPr>
            </w:pPr>
            <w:r>
              <w:rPr>
                <w:rStyle w:val="Code"/>
              </w:rPr>
              <w:t xml:space="preserve">      &lt;C&gt;&lt;/C&gt;</w:t>
            </w:r>
          </w:p>
          <w:p w14:paraId="215EF1D0" w14:textId="77777777">
            <w:pPr>
              <w:pStyle w:val="CodeParagraph"/>
              <w:rPr>
                <w:rStyle w:val="Code"/>
              </w:rPr>
            </w:pPr>
            <w:r>
              <w:rPr>
                <w:rStyle w:val="Code"/>
              </w:rPr>
              <w:t xml:space="preserve">      &lt;D&gt;&lt;/D&gt;</w:t>
            </w:r>
          </w:p>
          <w:p w14:paraId="526F76C1" w14:textId="77777777">
            <w:pPr>
              <w:pStyle w:val="CodeParagraph"/>
              <w:rPr>
                <w:rStyle w:val="Code"/>
              </w:rPr>
            </w:pPr>
            <w:r>
              <w:rPr>
                <w:rStyle w:val="Code"/>
              </w:rPr>
              <w:t xml:space="preserve">    &lt;/B&gt;</w:t>
            </w:r>
          </w:p>
          <w:p w14:paraId="192BA651" w14:textId="77777777">
            <w:pPr>
              <w:pStyle w:val="CodeParagraph"/>
              <w:rPr>
                <w:rStyle w:val="Code"/>
              </w:rPr>
            </w:pPr>
            <w:r>
              <w:rPr>
                <w:rStyle w:val="Code"/>
              </w:rPr>
              <w:t xml:space="preserve">    &lt;E&gt;</w:t>
            </w:r>
          </w:p>
          <w:p w14:paraId="3A982547" w14:textId="77777777">
            <w:pPr>
              <w:pStyle w:val="CodeParagraph"/>
              <w:rPr>
                <w:rStyle w:val="Code"/>
              </w:rPr>
            </w:pPr>
            <w:r>
              <w:rPr>
                <w:rStyle w:val="Code"/>
              </w:rPr>
              <w:t xml:space="preserve">      &lt;F&gt;&lt;/F&gt;</w:t>
            </w:r>
          </w:p>
          <w:p w14:paraId="79DAE2F1" w14:textId="77777777">
            <w:pPr>
              <w:pStyle w:val="CodeParagraph"/>
              <w:rPr>
                <w:rStyle w:val="Code"/>
              </w:rPr>
            </w:pPr>
            <w:r>
              <w:rPr>
                <w:rStyle w:val="Code"/>
              </w:rPr>
              <w:t xml:space="preserve">    &lt;/E&gt;</w:t>
            </w:r>
          </w:p>
          <w:p w14:paraId="5D4122B2" w14:textId="77777777">
            <w:pPr>
              <w:pStyle w:val="CodeParagraph"/>
            </w:pPr>
            <w:r>
              <w:rPr>
                <w:rStyle w:val="Code"/>
              </w:rPr>
              <w:t xml:space="preserve">  &lt;/A&gt;</w:t>
            </w:r>
          </w:p>
        </w:tc>
      </w:tr>
    </w:tbl>
    <w:p w14:paraId="06ED54E1" w14:textId="77777777">
      <w:pPr>
        <w:pStyle w:val="Lista2"/>
        <w:ind w:left="510"/>
      </w:pPr>
      <w:r>
        <w:t xml:space="preserve">thus, in </w:t>
      </w:r>
      <w:r>
        <w:fldChar w:fldCharType="begin"/>
      </w:r>
      <w:r>
        <w:instrText xml:space="preserve"> REF _Ref43993481 \h  \* MERGEFORMAT </w:instrText>
      </w:r>
      <w:r>
        <w:fldChar w:fldCharType="separate"/>
      </w:r>
      <w:r>
        <w:t xml:space="preserve">Exhibit </w:t>
      </w:r>
      <w:r>
        <w:rPr>
          <w:noProof/>
        </w:rPr>
        <w:t>2.2.A</w:t>
      </w:r>
      <w:r>
        <w:fldChar w:fldCharType="end"/>
      </w:r>
      <w:r>
        <w:t>,</w:t>
      </w:r>
    </w:p>
    <w:p w14:paraId="59DDE52C" w14:textId="77777777">
      <w:pPr>
        <w:pStyle w:val="Lista3"/>
        <w:ind w:left="680"/>
      </w:pPr>
      <w:r>
        <w:t xml:space="preserve">B and E are children of A </w:t>
      </w:r>
      <w:r>
        <w:rPr>
          <w:noProof/>
        </w:rPr>
        <w:t>(</w:t>
      </w:r>
      <w:r>
        <w:t>the root element)</w:t>
      </w:r>
    </w:p>
    <w:p w14:paraId="30ADB3FC" w14:textId="77777777">
      <w:pPr>
        <w:pStyle w:val="Lista3"/>
        <w:ind w:left="680"/>
      </w:pPr>
      <w:r>
        <w:t>C and D are children of B</w:t>
      </w:r>
    </w:p>
    <w:p w14:paraId="12DE8CB6" w14:textId="77777777">
      <w:pPr>
        <w:pStyle w:val="Lista3"/>
        <w:ind w:left="680"/>
      </w:pPr>
      <w:r>
        <w:t>F is the child of E</w:t>
      </w:r>
    </w:p>
    <w:p w14:paraId="7EC8E480" w14:textId="77777777">
      <w:pPr>
        <w:pStyle w:val="Lista3"/>
        <w:ind w:left="680"/>
      </w:pPr>
      <w:r>
        <w:t>B, C, D, E and F are all descendants of A</w:t>
      </w:r>
    </w:p>
    <w:p w14:paraId="7BF30027" w14:textId="77777777">
      <w:pPr>
        <w:pStyle w:val="Lista"/>
      </w:pPr>
      <w:r>
        <w:t>such a conceptual model is well suited for representing the structure of texts as works (e.g. text in paragraphs in chapters in books)</w:t>
      </w:r>
    </w:p>
    <w:p w14:paraId="3459C989" w14:textId="77777777">
      <w:pPr>
        <w:pStyle w:val="Lista"/>
      </w:pPr>
      <w:r>
        <w:t>however, it faces a problem when it is desirable to encode additional structures within the same text, such as the extrinsic structure of a text as document (e.g. text in lines on pages in sheaves)</w:t>
      </w:r>
    </w:p>
    <w:p w14:paraId="73955FDD" w14:textId="77777777">
      <w:pPr>
        <w:pStyle w:val="Lista2"/>
      </w:pPr>
      <w:r>
        <w:t xml:space="preserve">such situations are referred to as </w:t>
      </w:r>
      <w:r>
        <w:rPr>
          <w:b/>
          <w:bCs/>
        </w:rPr>
        <w:t>overlapping hierarchies</w:t>
      </w:r>
      <w:r>
        <w:t xml:space="preserve">: although both are ordered hierarchies, the structures overlap </w:t>
      </w:r>
      <w:r>
        <w:rPr>
          <w:noProof/>
        </w:rPr>
        <w:t>(</w:t>
      </w:r>
      <w:r>
        <w:t>for instance, a stanza or paragraph may begin in one inscribed line and end in the next)</w:t>
      </w:r>
    </w:p>
    <w:p w14:paraId="448B8BFC" w14:textId="77777777">
      <w:pPr>
        <w:pStyle w:val="Lista3"/>
      </w:pPr>
      <w:r>
        <w:t>other overlapping hierarchies relevant to textual studies include</w:t>
      </w:r>
    </w:p>
    <w:p w14:paraId="38860F33" w14:textId="77777777">
      <w:pPr>
        <w:pStyle w:val="Lista4"/>
      </w:pPr>
      <w:r>
        <w:t>syntactical structure</w:t>
      </w:r>
    </w:p>
    <w:p w14:paraId="0A01EA67" w14:textId="77777777">
      <w:pPr>
        <w:pStyle w:val="Lista4"/>
      </w:pPr>
      <w:r>
        <w:t xml:space="preserve">semantically distinguished segments </w:t>
      </w:r>
      <w:r>
        <w:rPr>
          <w:noProof/>
        </w:rPr>
        <w:t>(</w:t>
      </w:r>
      <w:r>
        <w:t>such as names or colophons)</w:t>
      </w:r>
    </w:p>
    <w:p w14:paraId="068A20DA" w14:textId="77777777">
      <w:pPr>
        <w:pStyle w:val="Lista4"/>
      </w:pPr>
      <w:r>
        <w:t>the location of spots of damage in a physical support</w:t>
      </w:r>
    </w:p>
    <w:p w14:paraId="7C1AFDD8" w14:textId="77777777">
      <w:pPr>
        <w:pStyle w:val="Lista4"/>
      </w:pPr>
      <w:r>
        <w:t>lemmas to which apparatus entries or commentarial notes may need to be anchored</w:t>
      </w:r>
    </w:p>
    <w:p w14:paraId="32893F94" w14:textId="77777777">
      <w:pPr>
        <w:pStyle w:val="Lista"/>
      </w:pPr>
      <w:r>
        <w:t>since XML elements must never overlap, the primary structure of an XML document can represent no more than one hierarchy relevant to the encoded text</w:t>
      </w:r>
    </w:p>
    <w:p w14:paraId="5658F133" w14:textId="77777777">
      <w:pPr>
        <w:pStyle w:val="Lista2"/>
      </w:pPr>
      <w:r>
        <w:lastRenderedPageBreak/>
        <w:t xml:space="preserve">in our EpiDoc editions, the primary hierarchy is that of the text’s intrinsic </w:t>
      </w:r>
      <w:r>
        <w:rPr>
          <w:noProof/>
        </w:rPr>
        <w:t>(</w:t>
      </w:r>
      <w:r>
        <w:t>as opposed to physical) structure</w:t>
      </w:r>
    </w:p>
    <w:p w14:paraId="2D2A029A" w14:textId="77777777">
      <w:pPr>
        <w:pStyle w:val="Lista"/>
      </w:pPr>
      <w:r>
        <w:t>any alternative hierarchies must be represented in XML using one of two basic methods:</w:t>
      </w:r>
    </w:p>
    <w:p w14:paraId="3FB295F4" w14:textId="77777777">
      <w:pPr>
        <w:pStyle w:val="Lista2"/>
      </w:pPr>
      <w:r>
        <w:t xml:space="preserve">by using dedicated empty elements </w:t>
      </w:r>
      <w:r>
        <w:rPr>
          <w:noProof/>
        </w:rPr>
        <w:t>(</w:t>
      </w:r>
      <w:r>
        <w:t>called milestones) as pointlike markers of transitions in the alternative hierarchy, instead of non-empty elements as containers for items of the hierarchy</w:t>
      </w:r>
    </w:p>
    <w:p w14:paraId="412F7A79" w14:textId="77777777">
      <w:pPr>
        <w:pStyle w:val="Lista3"/>
      </w:pPr>
      <w:r>
        <w:t>thus in our editions, transition points in physical structure are marked with empty elements instead of treating lines and other extrinsic units as elements of the primary hierarchy</w:t>
      </w:r>
    </w:p>
    <w:p w14:paraId="557A3CB6" w14:textId="77777777">
      <w:pPr>
        <w:pStyle w:val="Lista2"/>
      </w:pPr>
      <w:r>
        <w:t>by deploying linking mechanisms to establish a connection between items located in disparate points of the primary hierarchy</w:t>
      </w:r>
    </w:p>
    <w:p w14:paraId="4D77FA44" w14:textId="77777777">
      <w:pPr>
        <w:pStyle w:val="Lista3"/>
      </w:pPr>
      <w:r>
        <w:t xml:space="preserve">in our editions this method is most prominently used in the critical apparatus, which is built using </w:t>
      </w:r>
      <w:r>
        <w:rPr>
          <w:b/>
          <w:bCs/>
        </w:rPr>
        <w:t>standoff markup</w:t>
      </w:r>
      <w:r>
        <w:t>, where the apparatus is located in a section of the XML document separate from the text edition</w:t>
      </w:r>
    </w:p>
    <w:p w14:paraId="0EC8EEFA" w14:textId="77777777">
      <w:pPr>
        <w:pStyle w:val="Lista2"/>
      </w:pPr>
      <w:r>
        <w:t>alternative hierarchies may also be disregarded in XML editions; thus</w:t>
      </w:r>
    </w:p>
    <w:p w14:paraId="4D84B25A" w14:textId="77777777">
      <w:pPr>
        <w:pStyle w:val="Lista3"/>
      </w:pPr>
      <w:r>
        <w:t>we do not, at the present stage, use any markup to represent the syntactical structure of a text</w:t>
      </w:r>
    </w:p>
    <w:p w14:paraId="76BB161C" w14:textId="77777777">
      <w:pPr>
        <w:pStyle w:val="Lista3"/>
      </w:pPr>
      <w:r>
        <w:t xml:space="preserve">where physical features of the inscription, such as spots of damage which render the text unclear or illegible, overlap with the intrinsic structure, we use separate XML elements to mark up stretches of the same physical feature divided between two separate elements of the primary hierarchy </w:t>
      </w:r>
      <w:r>
        <w:rPr>
          <w:noProof/>
        </w:rPr>
        <w:t>(</w:t>
      </w:r>
      <w:r>
        <w:t>see §</w:t>
      </w:r>
      <w:r>
        <w:fldChar w:fldCharType="begin"/>
      </w:r>
      <w:r>
        <w:instrText xml:space="preserve"> REF _Ref43978660 \r \h  \* MERGEFORMAT </w:instrText>
      </w:r>
      <w:r>
        <w:fldChar w:fldCharType="separate"/>
      </w:r>
      <w:r>
        <w:t>16.2</w:t>
      </w:r>
      <w:r>
        <w:fldChar w:fldCharType="end"/>
      </w:r>
      <w:r>
        <w:t xml:space="preserve">), and do not use any linking to indicate that the two are in fact a single continuous spot of damage </w:t>
      </w:r>
      <w:r>
        <w:rPr>
          <w:noProof/>
        </w:rPr>
        <w:t>(</w:t>
      </w:r>
      <w:r>
        <w:t>though such linking would be possible)</w:t>
      </w:r>
    </w:p>
    <w:p w14:paraId="024C3433" w14:textId="77777777">
      <w:pPr>
        <w:pStyle w:val="Cmsor3"/>
      </w:pPr>
      <w:bookmarkStart w:id="40" w:name="_Toc243900240"/>
      <w:r>
        <w:t>Well-formedness and validity</w:t>
      </w:r>
      <w:bookmarkEnd w:id="40"/>
    </w:p>
    <w:p w14:paraId="407B3E1A" w14:textId="77777777">
      <w:pPr>
        <w:pStyle w:val="Lista"/>
      </w:pPr>
      <w:r>
        <w:t xml:space="preserve">an XML document is said to be </w:t>
      </w:r>
      <w:r>
        <w:rPr>
          <w:b/>
          <w:bCs/>
        </w:rPr>
        <w:t>well-formed</w:t>
      </w:r>
      <w:r>
        <w:t xml:space="preserve"> if it follows the above structural requirements, i.e.</w:t>
      </w:r>
    </w:p>
    <w:p w14:paraId="530A406A" w14:textId="77777777">
      <w:pPr>
        <w:pStyle w:val="Lista3"/>
      </w:pPr>
      <w:r>
        <w:t>the entire document is enclosed in a root element</w:t>
      </w:r>
    </w:p>
    <w:p w14:paraId="4B56129A" w14:textId="77777777">
      <w:pPr>
        <w:pStyle w:val="Lista3"/>
      </w:pPr>
      <w:r>
        <w:t>there is no overlap between any elements</w:t>
      </w:r>
    </w:p>
    <w:p w14:paraId="40146D98" w14:textId="77777777">
      <w:pPr>
        <w:pStyle w:val="Lista3"/>
      </w:pPr>
      <w:r>
        <w:t>the start and end of each element is explicitly marked with a tag</w:t>
      </w:r>
    </w:p>
    <w:p w14:paraId="6ABD3D47" w14:textId="77777777">
      <w:pPr>
        <w:pStyle w:val="Lista"/>
      </w:pPr>
      <w:r>
        <w:t xml:space="preserve">a well-formed XML document may use any arbitrary element names in any particular order and hierarchy: there is no universal and fixed list of possible XML element names and definitions </w:t>
      </w:r>
      <w:r>
        <w:rPr>
          <w:noProof/>
        </w:rPr>
        <w:t>(</w:t>
      </w:r>
      <w:r>
        <w:t xml:space="preserve">which is why this is an </w:t>
      </w:r>
      <w:r>
        <w:rPr>
          <w:noProof/>
        </w:rPr>
        <w:t>eXtensible</w:t>
      </w:r>
      <w:r>
        <w:t xml:space="preserve"> Markup Language)</w:t>
      </w:r>
    </w:p>
    <w:p w14:paraId="78E4BD8F" w14:textId="77777777">
      <w:pPr>
        <w:pStyle w:val="Lista"/>
      </w:pPr>
      <w:r>
        <w:t xml:space="preserve">the set of rules specifying how certain elements must or must not appear in structural relation to other elements is called an XML </w:t>
      </w:r>
      <w:r>
        <w:rPr>
          <w:b/>
          <w:bCs/>
        </w:rPr>
        <w:t>schema</w:t>
      </w:r>
      <w:r>
        <w:t xml:space="preserve"> </w:t>
      </w:r>
      <w:r>
        <w:rPr>
          <w:noProof/>
        </w:rPr>
        <w:t>(</w:t>
      </w:r>
      <w:r>
        <w:t xml:space="preserve">thus, our editions follow the </w:t>
      </w:r>
      <w:r>
        <w:rPr>
          <w:b/>
          <w:bCs/>
        </w:rPr>
        <w:t>EpiDoc schema</w:t>
      </w:r>
      <w:r>
        <w:t>)</w:t>
      </w:r>
    </w:p>
    <w:p w14:paraId="7A48FEF2" w14:textId="77777777">
      <w:pPr>
        <w:pStyle w:val="Lista"/>
      </w:pPr>
      <w:r>
        <w:t xml:space="preserve">an XML document is said to be </w:t>
      </w:r>
      <w:r>
        <w:rPr>
          <w:b/>
          <w:bCs/>
        </w:rPr>
        <w:t>valid</w:t>
      </w:r>
      <w:r>
        <w:t xml:space="preserve"> if, in addition to being well-formed, it is structured in such a way as to meet the requirements of a particular schema</w:t>
      </w:r>
    </w:p>
    <w:p w14:paraId="5D698E9C" w14:textId="77777777">
      <w:pPr>
        <w:pStyle w:val="Cmsor2"/>
      </w:pPr>
      <w:bookmarkStart w:id="41" w:name="_a0njpk1xs3b7" w:colFirst="0" w:colLast="0"/>
      <w:bookmarkStart w:id="42" w:name="_z3xeqgcx3br1" w:colFirst="0" w:colLast="0"/>
      <w:bookmarkStart w:id="43" w:name="_Ref43990558"/>
      <w:bookmarkStart w:id="44" w:name="_Toc243900241"/>
      <w:bookmarkEnd w:id="41"/>
      <w:bookmarkEnd w:id="42"/>
      <w:r>
        <w:t>The framework of an EpiDoc edition</w:t>
      </w:r>
      <w:bookmarkEnd w:id="43"/>
      <w:bookmarkEnd w:id="44"/>
    </w:p>
    <w:p w14:paraId="3590EAE3" w14:textId="77777777">
      <w:r>
        <w:t>This section presents an overview of the constituent parts of a digital edition in EpiDoc. Code illustrations are based on the DHARMA Encoding Template for Inscriptions as released together with this edition of the EGD.</w:t>
      </w:r>
      <w:r>
        <w:rPr>
          <w:rStyle w:val="Lbjegyzet-hivatkozs"/>
        </w:rPr>
        <w:footnoteReference w:id="7"/>
      </w:r>
      <w:r>
        <w:t xml:space="preserve"> Future versions of the template may contain slightly different code without affecting the general explanations provided here. You will not need to learn and produce this or similar code, only to find your way around it and add content without disrupting the code. </w:t>
      </w:r>
    </w:p>
    <w:p w14:paraId="138FD5BE" w14:textId="77777777">
      <w:pPr>
        <w:pStyle w:val="Cmsor3"/>
      </w:pPr>
      <w:bookmarkStart w:id="45" w:name="_Toc243900242"/>
      <w:r>
        <w:t>Technical specifications</w:t>
      </w:r>
      <w:bookmarkEnd w:id="45"/>
    </w:p>
    <w:p w14:paraId="1007943F" w14:textId="77777777">
      <w:pPr>
        <w:pStyle w:val="Lista"/>
      </w:pPr>
      <w:r>
        <w:t>XML files begin with a declaration identifying the file as a particular kind of XML document</w:t>
      </w:r>
    </w:p>
    <w:p w14:paraId="0DCEED89" w14:textId="77777777">
      <w:pPr>
        <w:pStyle w:val="Lista"/>
      </w:pPr>
      <w:r>
        <w:t>this is followed by instructions associating the document with schemas for processing it</w:t>
      </w:r>
    </w:p>
    <w:p w14:paraId="567B6088" w14:textId="77777777">
      <w:pPr>
        <w:pStyle w:val="Lista"/>
      </w:pPr>
      <w:r>
        <w:t xml:space="preserve">the root element </w:t>
      </w:r>
      <w:r>
        <w:rPr>
          <w:rStyle w:val="Code"/>
        </w:rPr>
        <w:t>&lt;TEI&gt;</w:t>
      </w:r>
      <w:r>
        <w:t>, identifying the contents as a TEI-compliant document, wraps all of the remaining content of our files</w:t>
      </w:r>
    </w:p>
    <w:p w14:paraId="56333159" w14:textId="77777777">
      <w:pPr>
        <w:pStyle w:val="Lista"/>
      </w:pPr>
      <w:r>
        <w:t>you should never edit these parts of the file</w:t>
      </w:r>
    </w:p>
    <w:tbl>
      <w:tblPr>
        <w:tblStyle w:val="CodeSampleTable"/>
        <w:tblW w:w="5000" w:type="pct"/>
        <w:tblLook w:val="04A0" w:firstRow="1" w:lastRow="0" w:firstColumn="1" w:lastColumn="0" w:noHBand="0" w:noVBand="1"/>
      </w:tblPr>
      <w:tblGrid>
        <w:gridCol w:w="9628"/>
      </w:tblGrid>
      <w:tr w14:paraId="61377A1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4F90B69" w14:textId="77777777">
            <w:pPr>
              <w:pStyle w:val="Kpalrs"/>
            </w:pPr>
            <w:r>
              <w:lastRenderedPageBreak/>
              <w:t xml:space="preserve">Exhibit </w:t>
            </w:r>
            <w:fldSimple w:instr=" STYLEREF 2 \s ">
              <w:r>
                <w:rPr>
                  <w:noProof/>
                </w:rPr>
                <w:t>2.3</w:t>
              </w:r>
            </w:fldSimple>
            <w:r>
              <w:t>.</w:t>
            </w:r>
            <w:fldSimple w:instr=" SEQ Exhibit \* ALPHABETIC \s 2 ">
              <w:r>
                <w:rPr>
                  <w:noProof/>
                </w:rPr>
                <w:t>A</w:t>
              </w:r>
            </w:fldSimple>
            <w:r>
              <w:t>: the technical instructions in an EpiDoc edition</w:t>
            </w:r>
          </w:p>
        </w:tc>
      </w:tr>
      <w:tr w14:paraId="0DBF32E3" w14:textId="77777777">
        <w:tc>
          <w:tcPr>
            <w:tcW w:w="5000" w:type="pct"/>
          </w:tcPr>
          <w:p w14:paraId="285367A6" w14:textId="77777777">
            <w:pPr>
              <w:pStyle w:val="CodeParagraph"/>
              <w:rPr>
                <w:rStyle w:val="Codeinstruction"/>
              </w:rPr>
            </w:pPr>
            <w:r>
              <w:rPr>
                <w:rStyle w:val="Codeinstruction"/>
              </w:rPr>
              <w:t>&lt;?xml version="1.0" encoding="UTF-8"?&gt;</w:t>
            </w:r>
          </w:p>
          <w:p w14:paraId="22BC13FD" w14:textId="77777777">
            <w:pPr>
              <w:pStyle w:val="CodeParagraph"/>
              <w:rPr>
                <w:rStyle w:val="Codeinstruction"/>
              </w:rPr>
            </w:pPr>
            <w:r>
              <w:rPr>
                <w:rStyle w:val="Codeinstruction"/>
              </w:rPr>
              <w:t>&lt;?xml-model href="https://raw.githubusercontent.com/erc-dharma/project-documentation/master/schema/latest/DHARMA_Schema.rng" type="application/xml" schematypens="http://relaxng.org/ns/structure/1.0"?&gt;</w:t>
            </w:r>
          </w:p>
          <w:p w14:paraId="24578BBB" w14:textId="77777777">
            <w:pPr>
              <w:pStyle w:val="CodeParagraph"/>
              <w:rPr>
                <w:rStyle w:val="Codeinstruction"/>
              </w:rPr>
            </w:pPr>
            <w:r>
              <w:rPr>
                <w:rStyle w:val="Codeinstruction"/>
              </w:rPr>
              <w:t>&lt;?xml-model href="https://raw.githubusercontent.com/erc-dharma/project-documentation/master/schema/latest/DHARMA_Schema.rng" type="application/xml" schematypens="http://purl.oclc.org/dsdl/schematron"?&gt;</w:t>
            </w:r>
          </w:p>
          <w:p w14:paraId="4D984EF6" w14:textId="77777777">
            <w:pPr>
              <w:pStyle w:val="CodeParagraph"/>
              <w:rPr>
                <w:rStyle w:val="Codeinstruction"/>
              </w:rPr>
            </w:pPr>
            <w:r>
              <w:rPr>
                <w:rStyle w:val="Codeinstruction"/>
              </w:rPr>
              <w:t>&lt;?xml-model href="https://raw.githubusercontent.com/erc-dharma/project-documentation/master/schema/latest/DHARMA_SQF.sch" type="application/xml" schematypens="http://purl.oclc.org/dsdl/schematron"?&gt;</w:t>
            </w:r>
          </w:p>
          <w:p w14:paraId="671A1EE3" w14:textId="77777777">
            <w:pPr>
              <w:pStyle w:val="CodeParagraph"/>
              <w:rPr>
                <w:rStyle w:val="Codeinstruction"/>
              </w:rPr>
            </w:pPr>
            <w:r>
              <w:rPr>
                <w:rStyle w:val="Codeinstruction"/>
              </w:rPr>
              <w:t>&lt;?xml-model href="https://epidoc.stoa.org/schema/latest/tei-epidoc.rng" schematypens="http://relaxng.org/ns/structure/1.0"?&gt;</w:t>
            </w:r>
          </w:p>
          <w:p w14:paraId="701FDD67" w14:textId="77777777">
            <w:pPr>
              <w:pStyle w:val="CodeParagraph"/>
              <w:rPr>
                <w:rStyle w:val="Code"/>
              </w:rPr>
            </w:pPr>
            <w:r>
              <w:rPr>
                <w:rStyle w:val="Codeinstruction"/>
              </w:rPr>
              <w:t xml:space="preserve">&lt;?xml-model href="https://epidoc.stoa.org/schema/latest/tei-epidoc.rng" schematypens="http://purl.oclc.org/dsdl/schematron"?&gt; </w:t>
            </w:r>
          </w:p>
          <w:p w14:paraId="117DAAB0" w14:textId="77777777">
            <w:pPr>
              <w:pStyle w:val="CodeParagraph"/>
              <w:rPr>
                <w:rStyle w:val="Code"/>
              </w:rPr>
            </w:pPr>
            <w:r>
              <w:rPr>
                <w:rStyle w:val="Code"/>
              </w:rPr>
              <w:t xml:space="preserve">&lt;TEI </w:t>
            </w:r>
            <w:r>
              <w:rPr>
                <w:rStyle w:val="Codeattribute"/>
              </w:rPr>
              <w:t>xmlns=</w:t>
            </w:r>
            <w:r>
              <w:rPr>
                <w:rStyle w:val="Codevalue"/>
              </w:rPr>
              <w:t>"http://www.tei-c.org/ns/1.0"</w:t>
            </w:r>
            <w:r>
              <w:rPr>
                <w:rStyle w:val="Code"/>
              </w:rPr>
              <w:t xml:space="preserve"> </w:t>
            </w:r>
            <w:r>
              <w:rPr>
                <w:rStyle w:val="Codeattribute"/>
              </w:rPr>
              <w:t>xml:lang=</w:t>
            </w:r>
            <w:r>
              <w:rPr>
                <w:rStyle w:val="Codevalue"/>
              </w:rPr>
              <w:t>"eng"</w:t>
            </w:r>
            <w:r>
              <w:rPr>
                <w:rStyle w:val="Code"/>
              </w:rPr>
              <w:t>&gt;</w:t>
            </w:r>
          </w:p>
          <w:p w14:paraId="1D09D591" w14:textId="77777777">
            <w:pPr>
              <w:pStyle w:val="CodeParagraph"/>
              <w:rPr>
                <w:rStyle w:val="Code"/>
              </w:rPr>
            </w:pPr>
            <w:r>
              <w:rPr>
                <w:rStyle w:val="Code"/>
              </w:rPr>
              <w:t>...</w:t>
            </w:r>
          </w:p>
          <w:p w14:paraId="1D52D4EC" w14:textId="77777777">
            <w:pPr>
              <w:pStyle w:val="CodeParagraph"/>
            </w:pPr>
            <w:r>
              <w:rPr>
                <w:rStyle w:val="Code"/>
              </w:rPr>
              <w:t>&lt;/TEI&gt;</w:t>
            </w:r>
          </w:p>
        </w:tc>
      </w:tr>
    </w:tbl>
    <w:p w14:paraId="7B0FD713" w14:textId="77777777">
      <w:pPr>
        <w:pStyle w:val="Cmsor3"/>
      </w:pPr>
      <w:bookmarkStart w:id="46" w:name="_Ref233892229"/>
      <w:bookmarkStart w:id="47" w:name="_Toc243900243"/>
      <w:r>
        <w:t>The TEI header</w:t>
      </w:r>
      <w:bookmarkEnd w:id="46"/>
      <w:bookmarkEnd w:id="47"/>
    </w:p>
    <w:p w14:paraId="29BADEFA" w14:textId="77777777">
      <w:pPr>
        <w:pStyle w:val="Lista"/>
      </w:pPr>
      <w:r>
        <w:t>a header section identifying the digital document and containing additional descriptive information about the encoded text is a mandatory component of every TEI document</w:t>
      </w:r>
    </w:p>
    <w:p w14:paraId="0108E608" w14:textId="77777777">
      <w:pPr>
        <w:pStyle w:val="Lista"/>
      </w:pPr>
      <w:r>
        <w:t>the contents of the header are grouped into sections called statements and descriptions</w:t>
      </w:r>
    </w:p>
    <w:p w14:paraId="4D6D5FC7" w14:textId="77777777">
      <w:pPr>
        <w:pStyle w:val="Lista"/>
      </w:pPr>
      <w:r>
        <w:t>in several sections of the header, you will need to replace the default content from the template with specific content applicable to your edition</w:t>
      </w:r>
    </w:p>
    <w:p w14:paraId="780028D6" w14:textId="77777777">
      <w:pPr>
        <w:pStyle w:val="Lista2"/>
      </w:pPr>
      <w:r>
        <w:t>in some cases you will also need to add or modify elements in some sections of the header</w:t>
      </w:r>
    </w:p>
    <w:p w14:paraId="392B935A" w14:textId="77777777">
      <w:pPr>
        <w:pStyle w:val="Lista"/>
      </w:pPr>
      <w:r>
        <w:t>instructions for editing the TEI header are in §</w:t>
      </w:r>
      <w:r>
        <w:fldChar w:fldCharType="begin"/>
      </w:r>
      <w:r>
        <w:instrText xml:space="preserve"> REF _Ref43978719 \r \h </w:instrText>
      </w:r>
      <w:r>
        <w:fldChar w:fldCharType="separate"/>
      </w:r>
      <w:r>
        <w:t>15</w:t>
      </w:r>
      <w:r>
        <w:fldChar w:fldCharType="end"/>
      </w:r>
    </w:p>
    <w:tbl>
      <w:tblPr>
        <w:tblStyle w:val="CodeSampleTable"/>
        <w:tblW w:w="5000" w:type="pct"/>
        <w:tblLook w:val="04A0" w:firstRow="1" w:lastRow="0" w:firstColumn="1" w:lastColumn="0" w:noHBand="0" w:noVBand="1"/>
      </w:tblPr>
      <w:tblGrid>
        <w:gridCol w:w="9628"/>
      </w:tblGrid>
      <w:tr w14:paraId="17148F6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7C0B60A" w14:textId="77777777">
            <w:pPr>
              <w:pStyle w:val="Kpalrs"/>
            </w:pPr>
            <w:r>
              <w:t xml:space="preserve">Exhibit </w:t>
            </w:r>
            <w:fldSimple w:instr=" STYLEREF 2 \s ">
              <w:r>
                <w:rPr>
                  <w:noProof/>
                </w:rPr>
                <w:t>2.3</w:t>
              </w:r>
            </w:fldSimple>
            <w:r>
              <w:t>.</w:t>
            </w:r>
            <w:fldSimple w:instr=" SEQ Exhibit \* ALPHABETIC \s 2 ">
              <w:r>
                <w:rPr>
                  <w:noProof/>
                </w:rPr>
                <w:t>B</w:t>
              </w:r>
            </w:fldSimple>
            <w:r>
              <w:t>: the TEI header</w:t>
            </w:r>
          </w:p>
        </w:tc>
      </w:tr>
      <w:tr w14:paraId="61583729" w14:textId="77777777">
        <w:tc>
          <w:tcPr>
            <w:tcW w:w="5000" w:type="pct"/>
          </w:tcPr>
          <w:p w14:paraId="0ACD2561" w14:textId="77777777">
            <w:pPr>
              <w:pStyle w:val="CodeParagraph"/>
              <w:rPr>
                <w:rStyle w:val="Code"/>
              </w:rPr>
            </w:pPr>
            <w:r>
              <w:rPr>
                <w:rStyle w:val="Code"/>
              </w:rPr>
              <w:t>&lt;teiHeader&gt;</w:t>
            </w:r>
          </w:p>
          <w:p w14:paraId="7B1FA2FF" w14:textId="77777777">
            <w:pPr>
              <w:pStyle w:val="CodeParagraph"/>
              <w:rPr>
                <w:rStyle w:val="Code"/>
              </w:rPr>
            </w:pPr>
            <w:r>
              <w:rPr>
                <w:rStyle w:val="Code"/>
              </w:rPr>
              <w:t xml:space="preserve">  &lt;fileDesc&gt;</w:t>
            </w:r>
          </w:p>
          <w:p w14:paraId="07BD09A6" w14:textId="77777777">
            <w:pPr>
              <w:pStyle w:val="CodeParagraph"/>
              <w:rPr>
                <w:rStyle w:val="Code"/>
              </w:rPr>
            </w:pPr>
            <w:r>
              <w:rPr>
                <w:rStyle w:val="Code"/>
              </w:rPr>
              <w:t xml:space="preserve">    &lt;titleStmt&gt;</w:t>
            </w:r>
          </w:p>
          <w:p w14:paraId="7A27E644" w14:textId="77777777">
            <w:pPr>
              <w:pStyle w:val="CodeParagraph"/>
              <w:rPr>
                <w:rStyle w:val="Code"/>
              </w:rPr>
            </w:pPr>
            <w:r>
              <w:rPr>
                <w:rStyle w:val="Code"/>
              </w:rPr>
              <w:t xml:space="preserve">      ...</w:t>
            </w:r>
          </w:p>
          <w:p w14:paraId="67B9AB0C" w14:textId="77777777">
            <w:pPr>
              <w:pStyle w:val="CodeParagraph"/>
              <w:rPr>
                <w:rStyle w:val="Code"/>
              </w:rPr>
            </w:pPr>
            <w:r>
              <w:rPr>
                <w:rStyle w:val="Code"/>
              </w:rPr>
              <w:t xml:space="preserve">    &lt;/titleStmt&gt;</w:t>
            </w:r>
          </w:p>
          <w:p w14:paraId="58E3DE60" w14:textId="77777777">
            <w:pPr>
              <w:pStyle w:val="CodeParagraph"/>
              <w:rPr>
                <w:rStyle w:val="Code"/>
              </w:rPr>
            </w:pPr>
            <w:r>
              <w:rPr>
                <w:rStyle w:val="Code"/>
              </w:rPr>
              <w:t xml:space="preserve">    &lt;publicationStmt&gt;</w:t>
            </w:r>
          </w:p>
          <w:p w14:paraId="38D6DBBF" w14:textId="77777777">
            <w:pPr>
              <w:pStyle w:val="CodeParagraph"/>
              <w:rPr>
                <w:rStyle w:val="Code"/>
              </w:rPr>
            </w:pPr>
            <w:r>
              <w:rPr>
                <w:rStyle w:val="Code"/>
              </w:rPr>
              <w:t xml:space="preserve">      ...</w:t>
            </w:r>
          </w:p>
          <w:p w14:paraId="25B9042E" w14:textId="77777777">
            <w:pPr>
              <w:pStyle w:val="CodeParagraph"/>
              <w:rPr>
                <w:rStyle w:val="Code"/>
              </w:rPr>
            </w:pPr>
            <w:r>
              <w:rPr>
                <w:rStyle w:val="Code"/>
              </w:rPr>
              <w:t xml:space="preserve">    &lt;/publicationStmt&gt;</w:t>
            </w:r>
          </w:p>
          <w:p w14:paraId="45E231BA" w14:textId="77777777">
            <w:pPr>
              <w:pStyle w:val="CodeParagraph"/>
              <w:rPr>
                <w:rStyle w:val="Code"/>
              </w:rPr>
            </w:pPr>
            <w:r>
              <w:rPr>
                <w:rStyle w:val="Code"/>
              </w:rPr>
              <w:t xml:space="preserve">    &lt;sourceDesc&gt;</w:t>
            </w:r>
          </w:p>
          <w:p w14:paraId="119A7E52" w14:textId="77777777">
            <w:pPr>
              <w:pStyle w:val="CodeParagraph"/>
              <w:rPr>
                <w:rStyle w:val="Code"/>
              </w:rPr>
            </w:pPr>
            <w:r>
              <w:rPr>
                <w:rStyle w:val="Code"/>
              </w:rPr>
              <w:t xml:space="preserve">      ...</w:t>
            </w:r>
          </w:p>
          <w:p w14:paraId="6EECC9C8" w14:textId="77777777">
            <w:pPr>
              <w:pStyle w:val="CodeParagraph"/>
              <w:rPr>
                <w:rStyle w:val="Code"/>
              </w:rPr>
            </w:pPr>
            <w:r>
              <w:rPr>
                <w:rStyle w:val="Code"/>
              </w:rPr>
              <w:t xml:space="preserve">    &lt;/sourceDesc&gt;</w:t>
            </w:r>
          </w:p>
          <w:p w14:paraId="0D05EE21" w14:textId="77777777">
            <w:pPr>
              <w:pStyle w:val="CodeParagraph"/>
              <w:rPr>
                <w:rStyle w:val="Code"/>
              </w:rPr>
            </w:pPr>
            <w:r>
              <w:rPr>
                <w:rStyle w:val="Code"/>
              </w:rPr>
              <w:t xml:space="preserve">  &lt;/fileDesc&gt;</w:t>
            </w:r>
          </w:p>
          <w:p w14:paraId="378D0DD4" w14:textId="77777777">
            <w:pPr>
              <w:pStyle w:val="CodeParagraph"/>
              <w:rPr>
                <w:rStyle w:val="Code"/>
              </w:rPr>
            </w:pPr>
            <w:r>
              <w:rPr>
                <w:rStyle w:val="Code"/>
              </w:rPr>
              <w:t xml:space="preserve">  &lt;encodingDesc&gt;</w:t>
            </w:r>
          </w:p>
          <w:p w14:paraId="39584D71" w14:textId="77777777">
            <w:pPr>
              <w:pStyle w:val="CodeParagraph"/>
              <w:rPr>
                <w:rStyle w:val="Code"/>
              </w:rPr>
            </w:pPr>
            <w:r>
              <w:rPr>
                <w:rStyle w:val="Code"/>
              </w:rPr>
              <w:t xml:space="preserve">    ...</w:t>
            </w:r>
          </w:p>
          <w:p w14:paraId="0B9FB036" w14:textId="77777777">
            <w:pPr>
              <w:pStyle w:val="CodeParagraph"/>
              <w:rPr>
                <w:rStyle w:val="Code"/>
              </w:rPr>
            </w:pPr>
            <w:r>
              <w:rPr>
                <w:rStyle w:val="Code"/>
              </w:rPr>
              <w:t xml:space="preserve">  &lt;/encodingDesc&gt;</w:t>
            </w:r>
          </w:p>
          <w:p w14:paraId="0837B806" w14:textId="77777777">
            <w:pPr>
              <w:pStyle w:val="CodeParagraph"/>
              <w:rPr>
                <w:rStyle w:val="Code"/>
              </w:rPr>
            </w:pPr>
            <w:r>
              <w:rPr>
                <w:rStyle w:val="Code"/>
              </w:rPr>
              <w:t xml:space="preserve">  &lt;revisionDesc&gt;</w:t>
            </w:r>
          </w:p>
          <w:p w14:paraId="5C9B7EB1" w14:textId="77777777">
            <w:pPr>
              <w:pStyle w:val="CodeParagraph"/>
              <w:rPr>
                <w:rStyle w:val="Code"/>
              </w:rPr>
            </w:pPr>
            <w:r>
              <w:rPr>
                <w:rStyle w:val="Code"/>
              </w:rPr>
              <w:t xml:space="preserve">    ...</w:t>
            </w:r>
          </w:p>
          <w:p w14:paraId="54583533" w14:textId="77777777">
            <w:pPr>
              <w:pStyle w:val="CodeParagraph"/>
              <w:rPr>
                <w:rStyle w:val="Code"/>
              </w:rPr>
            </w:pPr>
            <w:r>
              <w:rPr>
                <w:rStyle w:val="Code"/>
              </w:rPr>
              <w:t xml:space="preserve">  &lt;/revisionDesc&gt;</w:t>
            </w:r>
          </w:p>
          <w:p w14:paraId="56FDCAC1" w14:textId="77777777">
            <w:pPr>
              <w:pStyle w:val="CodeParagraph"/>
            </w:pPr>
            <w:r>
              <w:rPr>
                <w:rStyle w:val="Code"/>
              </w:rPr>
              <w:t>&lt;/teiHeader&gt;</w:t>
            </w:r>
          </w:p>
        </w:tc>
      </w:tr>
    </w:tbl>
    <w:p w14:paraId="10491310" w14:textId="77777777">
      <w:pPr>
        <w:pStyle w:val="Cmsor3"/>
      </w:pPr>
      <w:bookmarkStart w:id="48" w:name="_Ref224739111"/>
      <w:bookmarkStart w:id="49" w:name="_Toc243900244"/>
      <w:r>
        <w:t>The body of the document</w:t>
      </w:r>
      <w:bookmarkEnd w:id="48"/>
      <w:bookmarkEnd w:id="49"/>
    </w:p>
    <w:p w14:paraId="5E6D0741" w14:textId="77777777">
      <w:pPr>
        <w:pStyle w:val="Lista"/>
      </w:pPr>
      <w:r>
        <w:t xml:space="preserve">the part of the XML file which contains a particular text is wrapped in the element </w:t>
      </w:r>
      <w:r>
        <w:rPr>
          <w:rStyle w:val="Code"/>
        </w:rPr>
        <w:t>&lt;text&gt;</w:t>
      </w:r>
    </w:p>
    <w:p w14:paraId="17BC3C88" w14:textId="77777777">
      <w:pPr>
        <w:pStyle w:val="Lista"/>
      </w:pPr>
      <w:r>
        <w:t xml:space="preserve">in TEI, the text container may include elements other than </w:t>
      </w:r>
      <w:r>
        <w:rPr>
          <w:rStyle w:val="Code"/>
        </w:rPr>
        <w:t>&lt;body&gt;</w:t>
      </w:r>
      <w:r>
        <w:t xml:space="preserve">, but EpiDoc convention does not use any of these elements, so all of the contents of </w:t>
      </w:r>
      <w:r>
        <w:rPr>
          <w:rStyle w:val="Code"/>
        </w:rPr>
        <w:t>&lt;text&gt;</w:t>
      </w:r>
      <w:r>
        <w:t xml:space="preserve"> are also wrapped in </w:t>
      </w:r>
      <w:r>
        <w:rPr>
          <w:rStyle w:val="Code"/>
        </w:rPr>
        <w:t>&lt;body&gt;</w:t>
      </w:r>
    </w:p>
    <w:p w14:paraId="2B6AE0CF" w14:textId="77777777">
      <w:pPr>
        <w:pStyle w:val="Lista"/>
      </w:pPr>
      <w:r>
        <w:t xml:space="preserve">the body consists of several divisions represented by </w:t>
      </w:r>
      <w:r>
        <w:rPr>
          <w:rStyle w:val="Code"/>
        </w:rPr>
        <w:t>&lt;div&gt;</w:t>
      </w:r>
      <w:r>
        <w:t xml:space="preserve"> elements, each of which contains various aspects of the text</w:t>
      </w:r>
    </w:p>
    <w:p w14:paraId="3E3F2FE7" w14:textId="77777777">
      <w:pPr>
        <w:pStyle w:val="Lista"/>
      </w:pPr>
      <w:r>
        <w:t>the edition division contains the digital edition of the primary text itself</w:t>
      </w:r>
    </w:p>
    <w:p w14:paraId="191D8E6E" w14:textId="77777777">
      <w:pPr>
        <w:pStyle w:val="Lista2"/>
      </w:pPr>
      <w:r>
        <w:t>instructions for encoding the edition comprise the bulk of this Guide, from §</w:t>
      </w:r>
      <w:r>
        <w:fldChar w:fldCharType="begin"/>
      </w:r>
      <w:r>
        <w:instrText xml:space="preserve"> REF _Ref43978632 \r \h </w:instrText>
      </w:r>
      <w:r>
        <w:fldChar w:fldCharType="separate"/>
      </w:r>
      <w:r>
        <w:t>3</w:t>
      </w:r>
      <w:r>
        <w:fldChar w:fldCharType="end"/>
      </w:r>
      <w:r>
        <w:t xml:space="preserve"> to §</w:t>
      </w:r>
      <w:r>
        <w:fldChar w:fldCharType="begin"/>
      </w:r>
      <w:r>
        <w:instrText xml:space="preserve"> REF _Ref232002354 \r \h </w:instrText>
      </w:r>
      <w:r>
        <w:fldChar w:fldCharType="separate"/>
      </w:r>
      <w:r>
        <w:t>9</w:t>
      </w:r>
      <w:r>
        <w:fldChar w:fldCharType="end"/>
      </w:r>
    </w:p>
    <w:p w14:paraId="1DEDDFD0" w14:textId="77777777">
      <w:pPr>
        <w:pStyle w:val="Lista"/>
      </w:pPr>
      <w:r>
        <w:t>the additional divisions are as follows:</w:t>
      </w:r>
    </w:p>
    <w:p w14:paraId="49AFFDD6" w14:textId="77777777">
      <w:pPr>
        <w:pStyle w:val="Lista2"/>
      </w:pPr>
      <w:r>
        <w:t>critical apparatus, discussed in §</w:t>
      </w:r>
      <w:r>
        <w:fldChar w:fldCharType="begin"/>
      </w:r>
      <w:r>
        <w:instrText xml:space="preserve"> REF _Ref43978773 \r \h </w:instrText>
      </w:r>
      <w:r>
        <w:fldChar w:fldCharType="separate"/>
      </w:r>
      <w:r>
        <w:t>10</w:t>
      </w:r>
      <w:r>
        <w:fldChar w:fldCharType="end"/>
      </w:r>
    </w:p>
    <w:p w14:paraId="7FA9DB52" w14:textId="77777777">
      <w:pPr>
        <w:pStyle w:val="Lista2"/>
      </w:pPr>
      <w:r>
        <w:lastRenderedPageBreak/>
        <w:t>one or more translations, discussed in §</w:t>
      </w:r>
      <w:r>
        <w:fldChar w:fldCharType="begin"/>
      </w:r>
      <w:r>
        <w:instrText xml:space="preserve"> REF _Ref43978780 \r \h </w:instrText>
      </w:r>
      <w:r>
        <w:fldChar w:fldCharType="separate"/>
      </w:r>
      <w:r>
        <w:t>11</w:t>
      </w:r>
      <w:r>
        <w:fldChar w:fldCharType="end"/>
      </w:r>
    </w:p>
    <w:p w14:paraId="324FDE2A" w14:textId="77777777">
      <w:pPr>
        <w:pStyle w:val="Lista2"/>
      </w:pPr>
      <w:r>
        <w:t>scholarly commentary, discussed in §</w:t>
      </w:r>
      <w:r>
        <w:fldChar w:fldCharType="begin"/>
      </w:r>
      <w:r>
        <w:instrText xml:space="preserve"> REF _Ref181352286 \r \h </w:instrText>
      </w:r>
      <w:r>
        <w:fldChar w:fldCharType="separate"/>
      </w:r>
      <w:r>
        <w:t>12</w:t>
      </w:r>
      <w:r>
        <w:fldChar w:fldCharType="end"/>
      </w:r>
    </w:p>
    <w:p w14:paraId="3D0AB106" w14:textId="77777777">
      <w:pPr>
        <w:pStyle w:val="Lista2"/>
      </w:pPr>
      <w:r>
        <w:t>bibliography, discussed in §</w:t>
      </w:r>
      <w:r>
        <w:fldChar w:fldCharType="begin"/>
      </w:r>
      <w:r>
        <w:instrText xml:space="preserve"> REF _Ref43978796 \r \h </w:instrText>
      </w:r>
      <w:r>
        <w:fldChar w:fldCharType="separate"/>
      </w:r>
      <w:r>
        <w:t>13</w:t>
      </w:r>
      <w:r>
        <w:fldChar w:fldCharType="end"/>
      </w:r>
    </w:p>
    <w:tbl>
      <w:tblPr>
        <w:tblStyle w:val="CodeSampleTable"/>
        <w:tblW w:w="5000" w:type="pct"/>
        <w:tblLook w:val="04A0" w:firstRow="1" w:lastRow="0" w:firstColumn="1" w:lastColumn="0" w:noHBand="0" w:noVBand="1"/>
      </w:tblPr>
      <w:tblGrid>
        <w:gridCol w:w="9628"/>
      </w:tblGrid>
      <w:tr w14:paraId="582E868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E35FCC2" w14:textId="77777777">
            <w:pPr>
              <w:pStyle w:val="Kpalrs"/>
            </w:pPr>
            <w:r>
              <w:t xml:space="preserve">Exhibit </w:t>
            </w:r>
            <w:fldSimple w:instr=" STYLEREF 2 \s ">
              <w:r>
                <w:rPr>
                  <w:noProof/>
                </w:rPr>
                <w:t>2.3</w:t>
              </w:r>
            </w:fldSimple>
            <w:r>
              <w:t>.</w:t>
            </w:r>
            <w:fldSimple w:instr=" SEQ Exhibit \* ALPHABETIC \s 2 ">
              <w:r>
                <w:rPr>
                  <w:noProof/>
                </w:rPr>
                <w:t>C</w:t>
              </w:r>
            </w:fldSimple>
            <w:r>
              <w:t>: the body of an EpiDoc edition</w:t>
            </w:r>
          </w:p>
        </w:tc>
      </w:tr>
      <w:tr w14:paraId="7DC8CFBD" w14:textId="77777777">
        <w:tc>
          <w:tcPr>
            <w:tcW w:w="5000" w:type="pct"/>
          </w:tcPr>
          <w:p w14:paraId="0BECB487" w14:textId="77777777">
            <w:pPr>
              <w:pStyle w:val="CodeParagraph"/>
              <w:rPr>
                <w:rStyle w:val="Code"/>
              </w:rPr>
            </w:pPr>
            <w:r>
              <w:rPr>
                <w:rStyle w:val="Code"/>
              </w:rPr>
              <w:t xml:space="preserve">&lt;text </w:t>
            </w:r>
            <w:r>
              <w:rPr>
                <w:rStyle w:val="Codeattribute"/>
              </w:rPr>
              <w:t>xml:space=</w:t>
            </w:r>
            <w:r>
              <w:rPr>
                <w:rStyle w:val="Codevalue"/>
              </w:rPr>
              <w:t>"preserve"</w:t>
            </w:r>
            <w:r>
              <w:rPr>
                <w:rStyle w:val="Code"/>
              </w:rPr>
              <w:t>&gt;</w:t>
            </w:r>
          </w:p>
          <w:p w14:paraId="12D668B3" w14:textId="77777777">
            <w:pPr>
              <w:pStyle w:val="CodeParagraph"/>
              <w:rPr>
                <w:rStyle w:val="Code"/>
              </w:rPr>
            </w:pPr>
            <w:r>
              <w:rPr>
                <w:rStyle w:val="Code"/>
              </w:rPr>
              <w:t xml:space="preserve">  &lt;body&gt;</w:t>
            </w:r>
          </w:p>
          <w:p w14:paraId="467B63B5" w14:textId="77777777">
            <w:pPr>
              <w:pStyle w:val="CodeParagraph"/>
              <w:rPr>
                <w:rStyle w:val="Code"/>
              </w:rPr>
            </w:pPr>
            <w:r>
              <w:rPr>
                <w:rStyle w:val="Code"/>
              </w:rPr>
              <w:t xml:space="preserve">    &lt;div </w:t>
            </w:r>
            <w:r>
              <w:rPr>
                <w:rStyle w:val="Codeattribute"/>
              </w:rPr>
              <w:t>type=</w:t>
            </w:r>
            <w:r>
              <w:rPr>
                <w:rStyle w:val="Codevalue"/>
              </w:rPr>
              <w:t>"edition"</w:t>
            </w:r>
            <w:r>
              <w:rPr>
                <w:rStyle w:val="Code"/>
              </w:rPr>
              <w:t>&gt;</w:t>
            </w:r>
          </w:p>
          <w:p w14:paraId="06ACF7F1" w14:textId="77777777">
            <w:pPr>
              <w:pStyle w:val="CodeParagraph"/>
              <w:rPr>
                <w:rStyle w:val="Code"/>
              </w:rPr>
            </w:pPr>
            <w:r>
              <w:rPr>
                <w:rStyle w:val="Code"/>
              </w:rPr>
              <w:t xml:space="preserve">      ...</w:t>
            </w:r>
          </w:p>
          <w:p w14:paraId="34B07C38" w14:textId="77777777">
            <w:pPr>
              <w:pStyle w:val="CodeParagraph"/>
              <w:rPr>
                <w:rStyle w:val="Code"/>
              </w:rPr>
            </w:pPr>
            <w:r>
              <w:rPr>
                <w:rStyle w:val="Code"/>
              </w:rPr>
              <w:t xml:space="preserve">    &lt;/div&gt;</w:t>
            </w:r>
          </w:p>
          <w:p w14:paraId="719A3580" w14:textId="77777777">
            <w:pPr>
              <w:pStyle w:val="CodeParagraph"/>
              <w:rPr>
                <w:rStyle w:val="Code"/>
              </w:rPr>
            </w:pPr>
            <w:r>
              <w:rPr>
                <w:rStyle w:val="Code"/>
              </w:rPr>
              <w:t xml:space="preserve">    &lt;div </w:t>
            </w:r>
            <w:r>
              <w:rPr>
                <w:rStyle w:val="Codeattribute"/>
              </w:rPr>
              <w:t>type=</w:t>
            </w:r>
            <w:r>
              <w:rPr>
                <w:rStyle w:val="Codevalue"/>
              </w:rPr>
              <w:t>"apparatus"</w:t>
            </w:r>
            <w:r>
              <w:rPr>
                <w:rStyle w:val="Code"/>
              </w:rPr>
              <w:t>&gt;</w:t>
            </w:r>
          </w:p>
          <w:p w14:paraId="44036271" w14:textId="77777777">
            <w:pPr>
              <w:pStyle w:val="CodeParagraph"/>
              <w:rPr>
                <w:rStyle w:val="Code"/>
              </w:rPr>
            </w:pPr>
            <w:r>
              <w:rPr>
                <w:rStyle w:val="Code"/>
              </w:rPr>
              <w:t xml:space="preserve">      ...</w:t>
            </w:r>
          </w:p>
          <w:p w14:paraId="50E4551A" w14:textId="77777777">
            <w:pPr>
              <w:pStyle w:val="CodeParagraph"/>
              <w:rPr>
                <w:rStyle w:val="Code"/>
              </w:rPr>
            </w:pPr>
            <w:r>
              <w:rPr>
                <w:rStyle w:val="Code"/>
              </w:rPr>
              <w:t xml:space="preserve">    &lt;/div&gt;</w:t>
            </w:r>
          </w:p>
          <w:p w14:paraId="62A1AE4B" w14:textId="77777777">
            <w:pPr>
              <w:pStyle w:val="CodeParagraph"/>
              <w:rPr>
                <w:rStyle w:val="Code"/>
              </w:rPr>
            </w:pPr>
            <w:r>
              <w:rPr>
                <w:rStyle w:val="Code"/>
              </w:rPr>
              <w:t xml:space="preserve">    &lt;div </w:t>
            </w:r>
            <w:r>
              <w:rPr>
                <w:rStyle w:val="Codeattribute"/>
              </w:rPr>
              <w:t>type=</w:t>
            </w:r>
            <w:r>
              <w:rPr>
                <w:rStyle w:val="Codevalue"/>
              </w:rPr>
              <w:t>"translation"</w:t>
            </w:r>
            <w:r>
              <w:rPr>
                <w:rStyle w:val="Code"/>
              </w:rPr>
              <w:t>&gt;</w:t>
            </w:r>
          </w:p>
          <w:p w14:paraId="6FA86A01" w14:textId="77777777">
            <w:pPr>
              <w:pStyle w:val="CodeParagraph"/>
              <w:rPr>
                <w:rStyle w:val="Code"/>
              </w:rPr>
            </w:pPr>
            <w:r>
              <w:rPr>
                <w:rStyle w:val="Code"/>
              </w:rPr>
              <w:t xml:space="preserve">      ...</w:t>
            </w:r>
          </w:p>
          <w:p w14:paraId="2AF7A4BF" w14:textId="77777777">
            <w:pPr>
              <w:pStyle w:val="CodeParagraph"/>
              <w:rPr>
                <w:rStyle w:val="Code"/>
              </w:rPr>
            </w:pPr>
            <w:r>
              <w:rPr>
                <w:rStyle w:val="Code"/>
              </w:rPr>
              <w:t xml:space="preserve">    &lt;/div&gt;</w:t>
            </w:r>
          </w:p>
          <w:p w14:paraId="7977FAF1" w14:textId="77777777">
            <w:pPr>
              <w:pStyle w:val="CodeParagraph"/>
              <w:rPr>
                <w:rStyle w:val="Code"/>
              </w:rPr>
            </w:pPr>
            <w:r>
              <w:rPr>
                <w:rStyle w:val="Code"/>
              </w:rPr>
              <w:t xml:space="preserve">    &lt;div </w:t>
            </w:r>
            <w:r>
              <w:rPr>
                <w:rStyle w:val="Codeattribute"/>
              </w:rPr>
              <w:t>type=</w:t>
            </w:r>
            <w:r>
              <w:rPr>
                <w:rStyle w:val="Codevalue"/>
              </w:rPr>
              <w:t>"commentary"</w:t>
            </w:r>
            <w:r>
              <w:rPr>
                <w:rStyle w:val="Code"/>
              </w:rPr>
              <w:t>&gt;</w:t>
            </w:r>
          </w:p>
          <w:p w14:paraId="0AE2DB4D" w14:textId="77777777">
            <w:pPr>
              <w:pStyle w:val="CodeParagraph"/>
              <w:rPr>
                <w:rStyle w:val="Code"/>
              </w:rPr>
            </w:pPr>
            <w:r>
              <w:rPr>
                <w:rStyle w:val="Code"/>
              </w:rPr>
              <w:t xml:space="preserve">      ...</w:t>
            </w:r>
          </w:p>
          <w:p w14:paraId="3C03D43E" w14:textId="77777777">
            <w:pPr>
              <w:pStyle w:val="CodeParagraph"/>
              <w:rPr>
                <w:rStyle w:val="Code"/>
              </w:rPr>
            </w:pPr>
            <w:r>
              <w:rPr>
                <w:rStyle w:val="Code"/>
              </w:rPr>
              <w:t xml:space="preserve">    &lt;/div&gt;</w:t>
            </w:r>
          </w:p>
          <w:p w14:paraId="79F21BFF" w14:textId="77777777">
            <w:pPr>
              <w:pStyle w:val="CodeParagraph"/>
              <w:rPr>
                <w:rStyle w:val="Code"/>
              </w:rPr>
            </w:pPr>
            <w:r>
              <w:rPr>
                <w:rStyle w:val="Code"/>
              </w:rPr>
              <w:t xml:space="preserve">    &lt;div </w:t>
            </w:r>
            <w:r>
              <w:rPr>
                <w:rStyle w:val="Codeattribute"/>
              </w:rPr>
              <w:t>type=</w:t>
            </w:r>
            <w:r>
              <w:rPr>
                <w:rStyle w:val="Codevalue"/>
              </w:rPr>
              <w:t>"bibliography"</w:t>
            </w:r>
            <w:r>
              <w:rPr>
                <w:rStyle w:val="Code"/>
              </w:rPr>
              <w:t>&gt;</w:t>
            </w:r>
          </w:p>
          <w:p w14:paraId="5828FECB" w14:textId="77777777">
            <w:pPr>
              <w:pStyle w:val="CodeParagraph"/>
              <w:rPr>
                <w:rStyle w:val="Code"/>
              </w:rPr>
            </w:pPr>
            <w:r>
              <w:rPr>
                <w:rStyle w:val="Code"/>
              </w:rPr>
              <w:t xml:space="preserve">      ...</w:t>
            </w:r>
          </w:p>
          <w:p w14:paraId="37C3A702" w14:textId="77777777">
            <w:pPr>
              <w:pStyle w:val="CodeParagraph"/>
              <w:rPr>
                <w:rStyle w:val="Code"/>
              </w:rPr>
            </w:pPr>
            <w:r>
              <w:rPr>
                <w:rStyle w:val="Code"/>
              </w:rPr>
              <w:t xml:space="preserve">    &lt;/div&gt;</w:t>
            </w:r>
          </w:p>
          <w:p w14:paraId="67EADBD4" w14:textId="77777777">
            <w:pPr>
              <w:pStyle w:val="CodeParagraph"/>
              <w:rPr>
                <w:rStyle w:val="Code"/>
              </w:rPr>
            </w:pPr>
            <w:r>
              <w:rPr>
                <w:rStyle w:val="Code"/>
              </w:rPr>
              <w:t xml:space="preserve">  &lt;/body&gt;</w:t>
            </w:r>
          </w:p>
          <w:p w14:paraId="380047A1" w14:textId="77777777">
            <w:pPr>
              <w:pStyle w:val="CodeParagraph"/>
            </w:pPr>
            <w:r>
              <w:rPr>
                <w:rStyle w:val="Code"/>
              </w:rPr>
              <w:t>&lt;/text&gt;</w:t>
            </w:r>
          </w:p>
        </w:tc>
      </w:tr>
    </w:tbl>
    <w:p w14:paraId="1BD68737" w14:textId="77777777"/>
    <w:p w14:paraId="100DFEB5" w14:textId="77777777">
      <w:pPr>
        <w:pStyle w:val="Cmsor1"/>
      </w:pPr>
      <w:bookmarkStart w:id="50" w:name="_a88bdnf7s1v4" w:colFirst="0" w:colLast="0"/>
      <w:bookmarkStart w:id="51" w:name="_Ref43978632"/>
      <w:bookmarkStart w:id="52" w:name="_Ref224890440"/>
      <w:bookmarkStart w:id="53" w:name="_Ref225153941"/>
      <w:bookmarkStart w:id="54" w:name="_Toc243900245"/>
      <w:bookmarkEnd w:id="50"/>
      <w:r>
        <w:lastRenderedPageBreak/>
        <w:t>Intrinsic structure</w:t>
      </w:r>
      <w:bookmarkEnd w:id="51"/>
      <w:bookmarkEnd w:id="52"/>
      <w:bookmarkEnd w:id="53"/>
      <w:bookmarkEnd w:id="54"/>
    </w:p>
    <w:p w14:paraId="03F1224D" w14:textId="77777777">
      <w:pPr>
        <w:pStyle w:val="Cmsor2"/>
      </w:pPr>
      <w:bookmarkStart w:id="55" w:name="_Ref225153755"/>
      <w:bookmarkStart w:id="56" w:name="_Toc243900246"/>
      <w:bookmarkStart w:id="57" w:name="_Ref43978813"/>
      <w:bookmarkStart w:id="58" w:name="_Ref149918441"/>
      <w:r>
        <w:t>Representing intrinsic structure</w:t>
      </w:r>
      <w:bookmarkEnd w:id="55"/>
      <w:bookmarkEnd w:id="56"/>
    </w:p>
    <w:p w14:paraId="54BD8E75" w14:textId="77777777">
      <w:r>
        <w:t xml:space="preserve">Of the various parallel, and more or less hierarchical, structures present in a written text, two are particularly relevant to encoding in the DHARMA scheme. By </w:t>
      </w:r>
      <w:r>
        <w:rPr>
          <w:i/>
          <w:iCs/>
        </w:rPr>
        <w:t>intrinsic structure</w:t>
      </w:r>
      <w:r>
        <w:t xml:space="preserve">, we refer to the structure of a text “as work” in the terminology of </w:t>
      </w:r>
      <w:r>
        <w:rPr>
          <w:noProof/>
        </w:rPr>
        <w:t>Tanselle</w:t>
      </w:r>
      <w:r>
        <w:t xml:space="preserve"> (1989), meaning the text as an entity abstracted from its physical medium. We contrast this with </w:t>
      </w:r>
      <w:r>
        <w:rPr>
          <w:i/>
          <w:iCs/>
        </w:rPr>
        <w:t>extrinsic structure</w:t>
      </w:r>
      <w:r>
        <w:t xml:space="preserve"> (§</w:t>
      </w:r>
      <w:r>
        <w:fldChar w:fldCharType="begin"/>
      </w:r>
      <w:r>
        <w:instrText xml:space="preserve"> REF _Ref225261475 \r \h </w:instrText>
      </w:r>
      <w:r>
        <w:fldChar w:fldCharType="separate"/>
      </w:r>
      <w:r>
        <w:t>4</w:t>
      </w:r>
      <w:r>
        <w:fldChar w:fldCharType="end"/>
      </w:r>
      <w:r>
        <w:t>), which is the structure of a text “as document” in a concrete physical manifestation. In a quintessential book, intrinsic structure might comprise several parts, each containing one or more chapters, each containing a number of paragraphs.</w:t>
      </w:r>
    </w:p>
    <w:p w14:paraId="070EF7F9" w14:textId="77777777">
      <w:pPr>
        <w:pStyle w:val="Normlbehzs"/>
      </w:pPr>
      <w:r>
        <w:t>TEI editions, and therefore also our digital editions, dedicate the primary hierarchy of XML elements (§</w:t>
      </w:r>
      <w:r>
        <w:fldChar w:fldCharType="begin"/>
      </w:r>
      <w:r>
        <w:instrText xml:space="preserve"> REF _Ref224893456 \r \h </w:instrText>
      </w:r>
      <w:r>
        <w:fldChar w:fldCharType="separate"/>
      </w:r>
      <w:r>
        <w:t>2.2.4</w:t>
      </w:r>
      <w:r>
        <w:fldChar w:fldCharType="end"/>
      </w:r>
      <w:r>
        <w:t xml:space="preserve">) to representing a text’s intrinsic structure. DHARMA documentary editions represent intrinsic structure in a simple, schematic hierarchy illustrated in </w:t>
      </w:r>
      <w:r>
        <w:fldChar w:fldCharType="begin"/>
      </w:r>
      <w:r>
        <w:instrText xml:space="preserve"> REF _Ref224805161 \h </w:instrText>
      </w:r>
      <w:r>
        <w:fldChar w:fldCharType="separate"/>
      </w:r>
      <w:r>
        <w:t xml:space="preserve">Exhibit </w:t>
      </w:r>
      <w:r>
        <w:rPr>
          <w:noProof/>
        </w:rPr>
        <w:t>3.1</w:t>
      </w:r>
      <w:r>
        <w:t>.</w:t>
      </w:r>
      <w:r>
        <w:rPr>
          <w:noProof/>
        </w:rPr>
        <w:t>A</w:t>
      </w:r>
      <w:r>
        <w:fldChar w:fldCharType="end"/>
      </w:r>
      <w:r>
        <w:t>. The labels in the Exhibit are shown in angle brackets to indicate that they correspond to XML elements, but the actual XML elements are introduced in the sections discussing their encoding.</w:t>
      </w:r>
    </w:p>
    <w:tbl>
      <w:tblPr>
        <w:tblStyle w:val="FigureTable"/>
        <w:tblW w:w="0" w:type="auto"/>
        <w:tblLook w:val="04A0" w:firstRow="1" w:lastRow="0" w:firstColumn="1" w:lastColumn="0" w:noHBand="0" w:noVBand="1"/>
      </w:tblPr>
      <w:tblGrid>
        <w:gridCol w:w="9628"/>
      </w:tblGrid>
      <w:tr w14:paraId="48367084"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644BBA49" w14:textId="77777777">
            <w:pPr>
              <w:pStyle w:val="Kpalrs"/>
            </w:pPr>
            <w:bookmarkStart w:id="59" w:name="_Ref224805161"/>
            <w:bookmarkStart w:id="60" w:name="_Ref224805068"/>
            <w:r>
              <w:t xml:space="preserve">Exhibit </w:t>
            </w:r>
            <w:fldSimple w:instr=" STYLEREF 2 \s ">
              <w:r>
                <w:rPr>
                  <w:noProof/>
                </w:rPr>
                <w:t>3.1</w:t>
              </w:r>
            </w:fldSimple>
            <w:r>
              <w:t>.</w:t>
            </w:r>
            <w:fldSimple w:instr=" SEQ Exhibit \* ALPHABETIC \s 2 ">
              <w:r>
                <w:rPr>
                  <w:noProof/>
                </w:rPr>
                <w:t>A</w:t>
              </w:r>
            </w:fldSimple>
            <w:bookmarkEnd w:id="59"/>
            <w:r>
              <w:t>. the encoding hierarchy of intrinsic structure</w:t>
            </w:r>
            <w:bookmarkEnd w:id="60"/>
          </w:p>
        </w:tc>
      </w:tr>
      <w:tr w14:paraId="048CBB0B" w14:textId="77777777">
        <w:tc>
          <w:tcPr>
            <w:tcW w:w="9628" w:type="dxa"/>
          </w:tcPr>
          <w:tbl>
            <w:tblPr>
              <w:tblStyle w:val="TGtableblank"/>
              <w:tblW w:w="0" w:type="auto"/>
              <w:jc w:val="center"/>
              <w:tblLook w:val="04A0" w:firstRow="1" w:lastRow="0" w:firstColumn="1" w:lastColumn="0" w:noHBand="0" w:noVBand="1"/>
            </w:tblPr>
            <w:tblGrid>
              <w:gridCol w:w="284"/>
              <w:gridCol w:w="284"/>
              <w:gridCol w:w="284"/>
              <w:gridCol w:w="2835"/>
              <w:gridCol w:w="1418"/>
              <w:gridCol w:w="284"/>
              <w:gridCol w:w="284"/>
              <w:gridCol w:w="284"/>
              <w:gridCol w:w="284"/>
            </w:tblGrid>
            <w:tr w14:paraId="3F5441B2" w14:textId="77777777">
              <w:trPr>
                <w:trHeight w:hRule="exact" w:val="397"/>
                <w:jc w:val="center"/>
              </w:trPr>
              <w:tc>
                <w:tcPr>
                  <w:tcW w:w="6241" w:type="dxa"/>
                  <w:gridSpan w:val="9"/>
                  <w:tcBorders>
                    <w:top w:val="double" w:sz="12" w:space="0" w:color="auto"/>
                    <w:left w:val="double" w:sz="12" w:space="0" w:color="auto"/>
                    <w:right w:val="double" w:sz="12" w:space="0" w:color="auto"/>
                  </w:tcBorders>
                  <w:shd w:val="clear" w:color="auto" w:fill="92D050"/>
                </w:tcPr>
                <w:p w14:paraId="6B87444D" w14:textId="77777777">
                  <w:pPr>
                    <w:pStyle w:val="Tabletext"/>
                    <w:keepNext/>
                  </w:pPr>
                  <w:r>
                    <w:t>&lt;edition&gt; contains</w:t>
                  </w:r>
                </w:p>
              </w:tc>
            </w:tr>
            <w:tr w14:paraId="0B5F5730" w14:textId="77777777">
              <w:trPr>
                <w:trHeight w:hRule="exact" w:val="284"/>
                <w:jc w:val="center"/>
              </w:trPr>
              <w:tc>
                <w:tcPr>
                  <w:tcW w:w="284" w:type="dxa"/>
                  <w:tcBorders>
                    <w:left w:val="double" w:sz="12" w:space="0" w:color="auto"/>
                    <w:right w:val="double" w:sz="4" w:space="0" w:color="auto"/>
                  </w:tcBorders>
                  <w:shd w:val="clear" w:color="auto" w:fill="92D050"/>
                </w:tcPr>
                <w:p w14:paraId="1E693018" w14:textId="77777777">
                  <w:pPr>
                    <w:pStyle w:val="Tabletext"/>
                    <w:keepNext/>
                  </w:pPr>
                  <w:r>
                    <w:t xml:space="preserve"> </w:t>
                  </w:r>
                </w:p>
              </w:tc>
              <w:tc>
                <w:tcPr>
                  <w:tcW w:w="5673" w:type="dxa"/>
                  <w:gridSpan w:val="7"/>
                  <w:tcBorders>
                    <w:top w:val="double" w:sz="4" w:space="0" w:color="auto"/>
                    <w:left w:val="double" w:sz="4" w:space="0" w:color="auto"/>
                    <w:right w:val="double" w:sz="4" w:space="0" w:color="auto"/>
                  </w:tcBorders>
                  <w:shd w:val="clear" w:color="auto" w:fill="CCFFCC"/>
                </w:tcPr>
                <w:p w14:paraId="4466C7CF" w14:textId="77777777">
                  <w:pPr>
                    <w:pStyle w:val="Tabletext"/>
                    <w:keepNext/>
                  </w:pPr>
                  <w:r>
                    <w:t>&lt;textpart A&gt; contains</w:t>
                  </w:r>
                </w:p>
              </w:tc>
              <w:tc>
                <w:tcPr>
                  <w:tcW w:w="284" w:type="dxa"/>
                  <w:tcBorders>
                    <w:left w:val="double" w:sz="4" w:space="0" w:color="auto"/>
                    <w:right w:val="double" w:sz="12" w:space="0" w:color="auto"/>
                  </w:tcBorders>
                  <w:shd w:val="clear" w:color="auto" w:fill="92D050"/>
                </w:tcPr>
                <w:p w14:paraId="360C27CB" w14:textId="77777777">
                  <w:pPr>
                    <w:pStyle w:val="Tabletext"/>
                    <w:keepNext/>
                  </w:pPr>
                </w:p>
              </w:tc>
            </w:tr>
            <w:tr w14:paraId="1ABFE8F6" w14:textId="77777777">
              <w:trPr>
                <w:trHeight w:hRule="exact" w:val="113"/>
                <w:jc w:val="center"/>
              </w:trPr>
              <w:tc>
                <w:tcPr>
                  <w:tcW w:w="284" w:type="dxa"/>
                  <w:tcBorders>
                    <w:left w:val="double" w:sz="12" w:space="0" w:color="auto"/>
                    <w:right w:val="double" w:sz="4" w:space="0" w:color="auto"/>
                  </w:tcBorders>
                  <w:shd w:val="clear" w:color="auto" w:fill="92D050"/>
                </w:tcPr>
                <w:p w14:paraId="63A08801" w14:textId="77777777">
                  <w:pPr>
                    <w:pStyle w:val="Tabletext"/>
                    <w:keepNext/>
                  </w:pPr>
                </w:p>
              </w:tc>
              <w:tc>
                <w:tcPr>
                  <w:tcW w:w="284" w:type="dxa"/>
                  <w:tcBorders>
                    <w:left w:val="double" w:sz="4" w:space="0" w:color="auto"/>
                    <w:right w:val="single" w:sz="4" w:space="0" w:color="auto"/>
                  </w:tcBorders>
                  <w:shd w:val="clear" w:color="auto" w:fill="CCFFCC"/>
                </w:tcPr>
                <w:p w14:paraId="208E77B7"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149369CC" w14:textId="77777777">
                  <w:pPr>
                    <w:pStyle w:val="Tabletext"/>
                    <w:keepNext/>
                  </w:pPr>
                  <w:r>
                    <w:t>&lt;paragraph&gt; contains</w:t>
                  </w:r>
                </w:p>
              </w:tc>
              <w:tc>
                <w:tcPr>
                  <w:tcW w:w="1418" w:type="dxa"/>
                  <w:tcBorders>
                    <w:top w:val="single" w:sz="4" w:space="0" w:color="auto"/>
                  </w:tcBorders>
                  <w:shd w:val="clear" w:color="auto" w:fill="CC99FF"/>
                </w:tcPr>
                <w:p w14:paraId="764E6111" w14:textId="77777777">
                  <w:pPr>
                    <w:pStyle w:val="Tabletext"/>
                    <w:keepNext/>
                    <w:jc w:val="center"/>
                    <w:rPr>
                      <w:i/>
                      <w:iCs/>
                    </w:rPr>
                  </w:pPr>
                </w:p>
              </w:tc>
              <w:tc>
                <w:tcPr>
                  <w:tcW w:w="284" w:type="dxa"/>
                  <w:tcBorders>
                    <w:top w:val="single" w:sz="4" w:space="0" w:color="auto"/>
                  </w:tcBorders>
                  <w:shd w:val="clear" w:color="auto" w:fill="CC99FF"/>
                </w:tcPr>
                <w:p w14:paraId="37EEBE97" w14:textId="77777777">
                  <w:pPr>
                    <w:pStyle w:val="Tabletext"/>
                    <w:keepNext/>
                    <w:jc w:val="center"/>
                  </w:pPr>
                </w:p>
              </w:tc>
              <w:tc>
                <w:tcPr>
                  <w:tcW w:w="284" w:type="dxa"/>
                  <w:tcBorders>
                    <w:top w:val="single" w:sz="4" w:space="0" w:color="auto"/>
                    <w:right w:val="single" w:sz="4" w:space="0" w:color="auto"/>
                  </w:tcBorders>
                  <w:shd w:val="clear" w:color="auto" w:fill="CC99FF"/>
                </w:tcPr>
                <w:p w14:paraId="5D12729B" w14:textId="77777777">
                  <w:pPr>
                    <w:pStyle w:val="Tabletext"/>
                    <w:keepNext/>
                  </w:pPr>
                </w:p>
              </w:tc>
              <w:tc>
                <w:tcPr>
                  <w:tcW w:w="284" w:type="dxa"/>
                  <w:tcBorders>
                    <w:left w:val="single" w:sz="4" w:space="0" w:color="auto"/>
                    <w:right w:val="double" w:sz="4" w:space="0" w:color="auto"/>
                  </w:tcBorders>
                  <w:shd w:val="clear" w:color="auto" w:fill="CCFFCC"/>
                </w:tcPr>
                <w:p w14:paraId="27C396A7" w14:textId="77777777">
                  <w:pPr>
                    <w:pStyle w:val="Tabletext"/>
                    <w:keepNext/>
                  </w:pPr>
                </w:p>
              </w:tc>
              <w:tc>
                <w:tcPr>
                  <w:tcW w:w="284" w:type="dxa"/>
                  <w:tcBorders>
                    <w:left w:val="double" w:sz="4" w:space="0" w:color="auto"/>
                    <w:right w:val="double" w:sz="12" w:space="0" w:color="auto"/>
                  </w:tcBorders>
                  <w:shd w:val="clear" w:color="auto" w:fill="92D050"/>
                </w:tcPr>
                <w:p w14:paraId="15773F31" w14:textId="77777777">
                  <w:pPr>
                    <w:pStyle w:val="Tabletext"/>
                    <w:keepNext/>
                  </w:pPr>
                </w:p>
              </w:tc>
            </w:tr>
            <w:tr w14:paraId="743CB9A0" w14:textId="77777777">
              <w:trPr>
                <w:trHeight w:hRule="exact" w:val="284"/>
                <w:jc w:val="center"/>
              </w:trPr>
              <w:tc>
                <w:tcPr>
                  <w:tcW w:w="284" w:type="dxa"/>
                  <w:tcBorders>
                    <w:left w:val="double" w:sz="12" w:space="0" w:color="auto"/>
                    <w:right w:val="double" w:sz="4" w:space="0" w:color="auto"/>
                  </w:tcBorders>
                  <w:shd w:val="clear" w:color="auto" w:fill="92D050"/>
                </w:tcPr>
                <w:p w14:paraId="4F58D4A5" w14:textId="77777777">
                  <w:pPr>
                    <w:pStyle w:val="Tabletext"/>
                    <w:keepNext/>
                  </w:pPr>
                </w:p>
              </w:tc>
              <w:tc>
                <w:tcPr>
                  <w:tcW w:w="284" w:type="dxa"/>
                  <w:tcBorders>
                    <w:left w:val="double" w:sz="4" w:space="0" w:color="auto"/>
                    <w:right w:val="single" w:sz="4" w:space="0" w:color="auto"/>
                  </w:tcBorders>
                  <w:shd w:val="clear" w:color="auto" w:fill="CCFFCC"/>
                </w:tcPr>
                <w:p w14:paraId="1DE2AF63" w14:textId="77777777">
                  <w:pPr>
                    <w:pStyle w:val="Tabletext"/>
                    <w:keepNext/>
                  </w:pPr>
                </w:p>
              </w:tc>
              <w:tc>
                <w:tcPr>
                  <w:tcW w:w="3119" w:type="dxa"/>
                  <w:gridSpan w:val="2"/>
                  <w:vMerge/>
                  <w:tcBorders>
                    <w:left w:val="single" w:sz="4" w:space="0" w:color="auto"/>
                  </w:tcBorders>
                  <w:shd w:val="clear" w:color="auto" w:fill="CC99FF"/>
                </w:tcPr>
                <w:p w14:paraId="1C6F1C98" w14:textId="77777777">
                  <w:pPr>
                    <w:pStyle w:val="Tabletext"/>
                    <w:keepNext/>
                  </w:pPr>
                </w:p>
              </w:tc>
              <w:tc>
                <w:tcPr>
                  <w:tcW w:w="1418" w:type="dxa"/>
                  <w:shd w:val="clear" w:color="auto" w:fill="FFFF00"/>
                </w:tcPr>
                <w:p w14:paraId="6DA8AC76" w14:textId="77777777">
                  <w:pPr>
                    <w:pStyle w:val="Tabletext"/>
                    <w:keepNext/>
                    <w:jc w:val="center"/>
                    <w:rPr>
                      <w:i/>
                      <w:iCs/>
                      <w:noProof/>
                    </w:rPr>
                  </w:pPr>
                  <w:r>
                    <w:rPr>
                      <w:i/>
                      <w:iCs/>
                      <w:noProof/>
                    </w:rPr>
                    <w:t>… text abc…</w:t>
                  </w:r>
                </w:p>
              </w:tc>
              <w:tc>
                <w:tcPr>
                  <w:tcW w:w="284" w:type="dxa"/>
                  <w:shd w:val="clear" w:color="auto" w:fill="CC99FF"/>
                </w:tcPr>
                <w:p w14:paraId="7AED2260" w14:textId="77777777">
                  <w:pPr>
                    <w:pStyle w:val="Tabletext"/>
                    <w:keepNext/>
                    <w:jc w:val="center"/>
                  </w:pPr>
                </w:p>
              </w:tc>
              <w:tc>
                <w:tcPr>
                  <w:tcW w:w="284" w:type="dxa"/>
                  <w:tcBorders>
                    <w:right w:val="single" w:sz="4" w:space="0" w:color="auto"/>
                  </w:tcBorders>
                  <w:shd w:val="clear" w:color="auto" w:fill="CC99FF"/>
                </w:tcPr>
                <w:p w14:paraId="764CB249" w14:textId="77777777">
                  <w:pPr>
                    <w:pStyle w:val="Tabletext"/>
                    <w:keepNext/>
                  </w:pPr>
                </w:p>
              </w:tc>
              <w:tc>
                <w:tcPr>
                  <w:tcW w:w="284" w:type="dxa"/>
                  <w:tcBorders>
                    <w:left w:val="single" w:sz="4" w:space="0" w:color="auto"/>
                    <w:right w:val="double" w:sz="4" w:space="0" w:color="auto"/>
                  </w:tcBorders>
                  <w:shd w:val="clear" w:color="auto" w:fill="CCFFCC"/>
                </w:tcPr>
                <w:p w14:paraId="77608CA2" w14:textId="77777777">
                  <w:pPr>
                    <w:pStyle w:val="Tabletext"/>
                    <w:keepNext/>
                  </w:pPr>
                </w:p>
              </w:tc>
              <w:tc>
                <w:tcPr>
                  <w:tcW w:w="284" w:type="dxa"/>
                  <w:tcBorders>
                    <w:left w:val="double" w:sz="4" w:space="0" w:color="auto"/>
                    <w:right w:val="double" w:sz="12" w:space="0" w:color="auto"/>
                  </w:tcBorders>
                  <w:shd w:val="clear" w:color="auto" w:fill="92D050"/>
                </w:tcPr>
                <w:p w14:paraId="4E001544" w14:textId="77777777">
                  <w:pPr>
                    <w:pStyle w:val="Tabletext"/>
                    <w:keepNext/>
                  </w:pPr>
                </w:p>
              </w:tc>
            </w:tr>
            <w:tr w14:paraId="5B5B22C5" w14:textId="77777777">
              <w:trPr>
                <w:trHeight w:hRule="exact" w:val="113"/>
                <w:jc w:val="center"/>
              </w:trPr>
              <w:tc>
                <w:tcPr>
                  <w:tcW w:w="284" w:type="dxa"/>
                  <w:tcBorders>
                    <w:left w:val="double" w:sz="12" w:space="0" w:color="auto"/>
                    <w:right w:val="double" w:sz="4" w:space="0" w:color="auto"/>
                  </w:tcBorders>
                  <w:shd w:val="clear" w:color="auto" w:fill="92D050"/>
                </w:tcPr>
                <w:p w14:paraId="58AA2CDA" w14:textId="77777777">
                  <w:pPr>
                    <w:pStyle w:val="Tabletext"/>
                    <w:keepNext/>
                  </w:pPr>
                </w:p>
              </w:tc>
              <w:tc>
                <w:tcPr>
                  <w:tcW w:w="284" w:type="dxa"/>
                  <w:tcBorders>
                    <w:left w:val="double" w:sz="4" w:space="0" w:color="auto"/>
                    <w:right w:val="single" w:sz="4" w:space="0" w:color="auto"/>
                  </w:tcBorders>
                  <w:shd w:val="clear" w:color="auto" w:fill="CCFFCC"/>
                </w:tcPr>
                <w:p w14:paraId="13879F9C" w14:textId="77777777">
                  <w:pPr>
                    <w:pStyle w:val="Tabletext"/>
                    <w:keepNext/>
                  </w:pPr>
                </w:p>
              </w:tc>
              <w:tc>
                <w:tcPr>
                  <w:tcW w:w="3119" w:type="dxa"/>
                  <w:gridSpan w:val="2"/>
                  <w:tcBorders>
                    <w:left w:val="single" w:sz="4" w:space="0" w:color="auto"/>
                    <w:bottom w:val="single" w:sz="4" w:space="0" w:color="auto"/>
                  </w:tcBorders>
                  <w:shd w:val="clear" w:color="auto" w:fill="CC99FF"/>
                </w:tcPr>
                <w:p w14:paraId="5502D32D" w14:textId="77777777">
                  <w:pPr>
                    <w:pStyle w:val="Tabletext"/>
                    <w:keepNext/>
                  </w:pPr>
                </w:p>
              </w:tc>
              <w:tc>
                <w:tcPr>
                  <w:tcW w:w="1418" w:type="dxa"/>
                  <w:tcBorders>
                    <w:bottom w:val="single" w:sz="4" w:space="0" w:color="auto"/>
                  </w:tcBorders>
                  <w:shd w:val="clear" w:color="auto" w:fill="CC99FF"/>
                </w:tcPr>
                <w:p w14:paraId="686C4554" w14:textId="77777777">
                  <w:pPr>
                    <w:pStyle w:val="Tabletext"/>
                    <w:keepNext/>
                    <w:jc w:val="center"/>
                    <w:rPr>
                      <w:i/>
                      <w:iCs/>
                      <w:noProof/>
                    </w:rPr>
                  </w:pPr>
                </w:p>
              </w:tc>
              <w:tc>
                <w:tcPr>
                  <w:tcW w:w="284" w:type="dxa"/>
                  <w:tcBorders>
                    <w:bottom w:val="single" w:sz="4" w:space="0" w:color="auto"/>
                  </w:tcBorders>
                  <w:shd w:val="clear" w:color="auto" w:fill="CC99FF"/>
                </w:tcPr>
                <w:p w14:paraId="1CAC9B82" w14:textId="77777777">
                  <w:pPr>
                    <w:pStyle w:val="Tabletext"/>
                    <w:keepNext/>
                    <w:jc w:val="center"/>
                  </w:pPr>
                </w:p>
              </w:tc>
              <w:tc>
                <w:tcPr>
                  <w:tcW w:w="284" w:type="dxa"/>
                  <w:tcBorders>
                    <w:bottom w:val="single" w:sz="4" w:space="0" w:color="auto"/>
                    <w:right w:val="single" w:sz="4" w:space="0" w:color="auto"/>
                  </w:tcBorders>
                  <w:shd w:val="clear" w:color="auto" w:fill="CC99FF"/>
                </w:tcPr>
                <w:p w14:paraId="24D68499" w14:textId="77777777">
                  <w:pPr>
                    <w:pStyle w:val="Tabletext"/>
                    <w:keepNext/>
                  </w:pPr>
                </w:p>
              </w:tc>
              <w:tc>
                <w:tcPr>
                  <w:tcW w:w="284" w:type="dxa"/>
                  <w:tcBorders>
                    <w:left w:val="single" w:sz="4" w:space="0" w:color="auto"/>
                    <w:right w:val="double" w:sz="4" w:space="0" w:color="auto"/>
                  </w:tcBorders>
                  <w:shd w:val="clear" w:color="auto" w:fill="CCFFCC"/>
                </w:tcPr>
                <w:p w14:paraId="54A9A82A" w14:textId="77777777">
                  <w:pPr>
                    <w:pStyle w:val="Tabletext"/>
                    <w:keepNext/>
                  </w:pPr>
                </w:p>
              </w:tc>
              <w:tc>
                <w:tcPr>
                  <w:tcW w:w="284" w:type="dxa"/>
                  <w:tcBorders>
                    <w:left w:val="double" w:sz="4" w:space="0" w:color="auto"/>
                    <w:right w:val="double" w:sz="12" w:space="0" w:color="auto"/>
                  </w:tcBorders>
                  <w:shd w:val="clear" w:color="auto" w:fill="92D050"/>
                </w:tcPr>
                <w:p w14:paraId="0BA53125" w14:textId="77777777">
                  <w:pPr>
                    <w:pStyle w:val="Tabletext"/>
                    <w:keepNext/>
                  </w:pPr>
                </w:p>
              </w:tc>
            </w:tr>
            <w:tr w14:paraId="57DE4B6C" w14:textId="77777777">
              <w:trPr>
                <w:trHeight w:hRule="exact" w:val="113"/>
                <w:jc w:val="center"/>
              </w:trPr>
              <w:tc>
                <w:tcPr>
                  <w:tcW w:w="284" w:type="dxa"/>
                  <w:tcBorders>
                    <w:left w:val="double" w:sz="12" w:space="0" w:color="auto"/>
                    <w:right w:val="double" w:sz="4" w:space="0" w:color="auto"/>
                  </w:tcBorders>
                  <w:shd w:val="clear" w:color="auto" w:fill="92D050"/>
                </w:tcPr>
                <w:p w14:paraId="5251C099" w14:textId="77777777">
                  <w:pPr>
                    <w:pStyle w:val="Tabletext"/>
                    <w:keepNext/>
                  </w:pPr>
                </w:p>
              </w:tc>
              <w:tc>
                <w:tcPr>
                  <w:tcW w:w="284" w:type="dxa"/>
                  <w:tcBorders>
                    <w:left w:val="double" w:sz="4" w:space="0" w:color="auto"/>
                    <w:right w:val="single" w:sz="4" w:space="0" w:color="auto"/>
                  </w:tcBorders>
                  <w:shd w:val="clear" w:color="auto" w:fill="CCFFCC"/>
                </w:tcPr>
                <w:p w14:paraId="2556900A" w14:textId="77777777">
                  <w:pPr>
                    <w:pStyle w:val="Tabletext"/>
                    <w:keepNext/>
                  </w:pPr>
                </w:p>
              </w:tc>
              <w:tc>
                <w:tcPr>
                  <w:tcW w:w="3119" w:type="dxa"/>
                  <w:gridSpan w:val="2"/>
                  <w:vMerge w:val="restart"/>
                  <w:tcBorders>
                    <w:top w:val="single" w:sz="4" w:space="0" w:color="auto"/>
                    <w:left w:val="single" w:sz="4" w:space="0" w:color="auto"/>
                  </w:tcBorders>
                  <w:shd w:val="clear" w:color="auto" w:fill="FF66CC"/>
                </w:tcPr>
                <w:p w14:paraId="04E09D0A" w14:textId="77777777">
                  <w:pPr>
                    <w:pStyle w:val="Tabletext"/>
                    <w:keepNext/>
                  </w:pPr>
                  <w:r>
                    <w:t>&lt;anonymous block&gt; contains</w:t>
                  </w:r>
                </w:p>
              </w:tc>
              <w:tc>
                <w:tcPr>
                  <w:tcW w:w="1418" w:type="dxa"/>
                  <w:tcBorders>
                    <w:top w:val="single" w:sz="4" w:space="0" w:color="auto"/>
                  </w:tcBorders>
                  <w:shd w:val="clear" w:color="auto" w:fill="FF66CC"/>
                </w:tcPr>
                <w:p w14:paraId="37F52E19" w14:textId="77777777">
                  <w:pPr>
                    <w:pStyle w:val="Tabletext"/>
                    <w:keepNext/>
                    <w:jc w:val="center"/>
                    <w:rPr>
                      <w:i/>
                      <w:iCs/>
                      <w:noProof/>
                    </w:rPr>
                  </w:pPr>
                </w:p>
              </w:tc>
              <w:tc>
                <w:tcPr>
                  <w:tcW w:w="284" w:type="dxa"/>
                  <w:tcBorders>
                    <w:top w:val="single" w:sz="4" w:space="0" w:color="auto"/>
                  </w:tcBorders>
                  <w:shd w:val="clear" w:color="auto" w:fill="FF66CC"/>
                </w:tcPr>
                <w:p w14:paraId="53F64807" w14:textId="77777777">
                  <w:pPr>
                    <w:pStyle w:val="Tabletext"/>
                    <w:keepNext/>
                    <w:jc w:val="center"/>
                  </w:pPr>
                </w:p>
              </w:tc>
              <w:tc>
                <w:tcPr>
                  <w:tcW w:w="284" w:type="dxa"/>
                  <w:tcBorders>
                    <w:top w:val="single" w:sz="4" w:space="0" w:color="auto"/>
                    <w:right w:val="single" w:sz="4" w:space="0" w:color="auto"/>
                  </w:tcBorders>
                  <w:shd w:val="clear" w:color="auto" w:fill="FF66CC"/>
                </w:tcPr>
                <w:p w14:paraId="2A36114E" w14:textId="77777777">
                  <w:pPr>
                    <w:pStyle w:val="Tabletext"/>
                    <w:keepNext/>
                  </w:pPr>
                </w:p>
              </w:tc>
              <w:tc>
                <w:tcPr>
                  <w:tcW w:w="284" w:type="dxa"/>
                  <w:tcBorders>
                    <w:left w:val="single" w:sz="4" w:space="0" w:color="auto"/>
                    <w:right w:val="double" w:sz="4" w:space="0" w:color="auto"/>
                  </w:tcBorders>
                  <w:shd w:val="clear" w:color="auto" w:fill="CCFFCC"/>
                </w:tcPr>
                <w:p w14:paraId="7742B23A" w14:textId="77777777">
                  <w:pPr>
                    <w:pStyle w:val="Tabletext"/>
                    <w:keepNext/>
                  </w:pPr>
                </w:p>
              </w:tc>
              <w:tc>
                <w:tcPr>
                  <w:tcW w:w="284" w:type="dxa"/>
                  <w:tcBorders>
                    <w:left w:val="double" w:sz="4" w:space="0" w:color="auto"/>
                    <w:right w:val="double" w:sz="12" w:space="0" w:color="auto"/>
                  </w:tcBorders>
                  <w:shd w:val="clear" w:color="auto" w:fill="92D050"/>
                </w:tcPr>
                <w:p w14:paraId="54BC538E" w14:textId="77777777">
                  <w:pPr>
                    <w:pStyle w:val="Tabletext"/>
                    <w:keepNext/>
                  </w:pPr>
                </w:p>
              </w:tc>
            </w:tr>
            <w:tr w14:paraId="5E6F5CEA" w14:textId="77777777">
              <w:trPr>
                <w:trHeight w:hRule="exact" w:val="284"/>
                <w:jc w:val="center"/>
              </w:trPr>
              <w:tc>
                <w:tcPr>
                  <w:tcW w:w="284" w:type="dxa"/>
                  <w:tcBorders>
                    <w:left w:val="double" w:sz="12" w:space="0" w:color="auto"/>
                    <w:right w:val="double" w:sz="4" w:space="0" w:color="auto"/>
                  </w:tcBorders>
                  <w:shd w:val="clear" w:color="auto" w:fill="92D050"/>
                </w:tcPr>
                <w:p w14:paraId="06004A1A" w14:textId="77777777">
                  <w:pPr>
                    <w:pStyle w:val="Tabletext"/>
                    <w:keepNext/>
                  </w:pPr>
                </w:p>
              </w:tc>
              <w:tc>
                <w:tcPr>
                  <w:tcW w:w="284" w:type="dxa"/>
                  <w:tcBorders>
                    <w:left w:val="double" w:sz="4" w:space="0" w:color="auto"/>
                    <w:right w:val="single" w:sz="4" w:space="0" w:color="auto"/>
                  </w:tcBorders>
                  <w:shd w:val="clear" w:color="auto" w:fill="CCFFCC"/>
                </w:tcPr>
                <w:p w14:paraId="54276F15" w14:textId="77777777">
                  <w:pPr>
                    <w:pStyle w:val="Tabletext"/>
                    <w:keepNext/>
                  </w:pPr>
                </w:p>
              </w:tc>
              <w:tc>
                <w:tcPr>
                  <w:tcW w:w="3119" w:type="dxa"/>
                  <w:gridSpan w:val="2"/>
                  <w:vMerge/>
                  <w:tcBorders>
                    <w:left w:val="single" w:sz="4" w:space="0" w:color="auto"/>
                  </w:tcBorders>
                  <w:shd w:val="clear" w:color="auto" w:fill="FF66CC"/>
                </w:tcPr>
                <w:p w14:paraId="07DD55D8" w14:textId="77777777">
                  <w:pPr>
                    <w:pStyle w:val="Tabletext"/>
                    <w:keepNext/>
                  </w:pPr>
                </w:p>
              </w:tc>
              <w:tc>
                <w:tcPr>
                  <w:tcW w:w="1418" w:type="dxa"/>
                  <w:shd w:val="clear" w:color="auto" w:fill="FFFF00"/>
                </w:tcPr>
                <w:p w14:paraId="5132F172" w14:textId="77777777">
                  <w:pPr>
                    <w:pStyle w:val="Tabletext"/>
                    <w:keepNext/>
                    <w:jc w:val="center"/>
                    <w:rPr>
                      <w:i/>
                      <w:iCs/>
                      <w:noProof/>
                    </w:rPr>
                  </w:pPr>
                  <w:r>
                    <w:rPr>
                      <w:i/>
                      <w:iCs/>
                      <w:noProof/>
                    </w:rPr>
                    <w:t>… text def…</w:t>
                  </w:r>
                </w:p>
              </w:tc>
              <w:tc>
                <w:tcPr>
                  <w:tcW w:w="284" w:type="dxa"/>
                  <w:shd w:val="clear" w:color="auto" w:fill="FF66CC"/>
                </w:tcPr>
                <w:p w14:paraId="2A65822D" w14:textId="77777777">
                  <w:pPr>
                    <w:pStyle w:val="Tabletext"/>
                    <w:keepNext/>
                    <w:jc w:val="center"/>
                  </w:pPr>
                </w:p>
              </w:tc>
              <w:tc>
                <w:tcPr>
                  <w:tcW w:w="284" w:type="dxa"/>
                  <w:tcBorders>
                    <w:right w:val="single" w:sz="4" w:space="0" w:color="auto"/>
                  </w:tcBorders>
                  <w:shd w:val="clear" w:color="auto" w:fill="FF66CC"/>
                </w:tcPr>
                <w:p w14:paraId="133FB112" w14:textId="77777777">
                  <w:pPr>
                    <w:pStyle w:val="Tabletext"/>
                    <w:keepNext/>
                  </w:pPr>
                </w:p>
              </w:tc>
              <w:tc>
                <w:tcPr>
                  <w:tcW w:w="284" w:type="dxa"/>
                  <w:tcBorders>
                    <w:left w:val="single" w:sz="4" w:space="0" w:color="auto"/>
                    <w:right w:val="double" w:sz="4" w:space="0" w:color="auto"/>
                  </w:tcBorders>
                  <w:shd w:val="clear" w:color="auto" w:fill="CCFFCC"/>
                </w:tcPr>
                <w:p w14:paraId="0D78C646" w14:textId="77777777">
                  <w:pPr>
                    <w:pStyle w:val="Tabletext"/>
                    <w:keepNext/>
                  </w:pPr>
                </w:p>
              </w:tc>
              <w:tc>
                <w:tcPr>
                  <w:tcW w:w="284" w:type="dxa"/>
                  <w:tcBorders>
                    <w:left w:val="double" w:sz="4" w:space="0" w:color="auto"/>
                    <w:right w:val="double" w:sz="12" w:space="0" w:color="auto"/>
                  </w:tcBorders>
                  <w:shd w:val="clear" w:color="auto" w:fill="92D050"/>
                </w:tcPr>
                <w:p w14:paraId="6D5B30E3" w14:textId="77777777">
                  <w:pPr>
                    <w:pStyle w:val="Tabletext"/>
                    <w:keepNext/>
                  </w:pPr>
                </w:p>
              </w:tc>
            </w:tr>
            <w:tr w14:paraId="4E200460" w14:textId="77777777">
              <w:trPr>
                <w:trHeight w:hRule="exact" w:val="113"/>
                <w:jc w:val="center"/>
              </w:trPr>
              <w:tc>
                <w:tcPr>
                  <w:tcW w:w="284" w:type="dxa"/>
                  <w:tcBorders>
                    <w:left w:val="double" w:sz="12" w:space="0" w:color="auto"/>
                    <w:right w:val="double" w:sz="4" w:space="0" w:color="auto"/>
                  </w:tcBorders>
                  <w:shd w:val="clear" w:color="auto" w:fill="92D050"/>
                </w:tcPr>
                <w:p w14:paraId="714C5EF0" w14:textId="77777777">
                  <w:pPr>
                    <w:pStyle w:val="Tabletext"/>
                    <w:keepNext/>
                  </w:pPr>
                </w:p>
              </w:tc>
              <w:tc>
                <w:tcPr>
                  <w:tcW w:w="284" w:type="dxa"/>
                  <w:tcBorders>
                    <w:left w:val="double" w:sz="4" w:space="0" w:color="auto"/>
                    <w:right w:val="single" w:sz="4" w:space="0" w:color="auto"/>
                  </w:tcBorders>
                  <w:shd w:val="clear" w:color="auto" w:fill="CCFFCC"/>
                </w:tcPr>
                <w:p w14:paraId="19E3068A" w14:textId="77777777">
                  <w:pPr>
                    <w:pStyle w:val="Tabletext"/>
                    <w:keepNext/>
                  </w:pPr>
                </w:p>
              </w:tc>
              <w:tc>
                <w:tcPr>
                  <w:tcW w:w="3119" w:type="dxa"/>
                  <w:gridSpan w:val="2"/>
                  <w:tcBorders>
                    <w:left w:val="single" w:sz="4" w:space="0" w:color="auto"/>
                    <w:bottom w:val="single" w:sz="4" w:space="0" w:color="auto"/>
                  </w:tcBorders>
                  <w:shd w:val="clear" w:color="auto" w:fill="FF66CC"/>
                </w:tcPr>
                <w:p w14:paraId="357E9E98" w14:textId="77777777">
                  <w:pPr>
                    <w:pStyle w:val="Tabletext"/>
                    <w:keepNext/>
                  </w:pPr>
                </w:p>
              </w:tc>
              <w:tc>
                <w:tcPr>
                  <w:tcW w:w="1418" w:type="dxa"/>
                  <w:tcBorders>
                    <w:bottom w:val="single" w:sz="4" w:space="0" w:color="auto"/>
                  </w:tcBorders>
                  <w:shd w:val="clear" w:color="auto" w:fill="FF66CC"/>
                </w:tcPr>
                <w:p w14:paraId="55970B7A" w14:textId="77777777">
                  <w:pPr>
                    <w:pStyle w:val="Tabletext"/>
                    <w:keepNext/>
                    <w:jc w:val="center"/>
                    <w:rPr>
                      <w:i/>
                      <w:iCs/>
                      <w:noProof/>
                    </w:rPr>
                  </w:pPr>
                </w:p>
              </w:tc>
              <w:tc>
                <w:tcPr>
                  <w:tcW w:w="284" w:type="dxa"/>
                  <w:tcBorders>
                    <w:bottom w:val="single" w:sz="4" w:space="0" w:color="auto"/>
                  </w:tcBorders>
                  <w:shd w:val="clear" w:color="auto" w:fill="FF66CC"/>
                </w:tcPr>
                <w:p w14:paraId="1EA0347E" w14:textId="77777777">
                  <w:pPr>
                    <w:pStyle w:val="Tabletext"/>
                    <w:keepNext/>
                    <w:jc w:val="center"/>
                  </w:pPr>
                </w:p>
              </w:tc>
              <w:tc>
                <w:tcPr>
                  <w:tcW w:w="284" w:type="dxa"/>
                  <w:tcBorders>
                    <w:bottom w:val="single" w:sz="4" w:space="0" w:color="auto"/>
                    <w:right w:val="single" w:sz="4" w:space="0" w:color="auto"/>
                  </w:tcBorders>
                  <w:shd w:val="clear" w:color="auto" w:fill="FF66CC"/>
                </w:tcPr>
                <w:p w14:paraId="030A9234" w14:textId="77777777">
                  <w:pPr>
                    <w:pStyle w:val="Tabletext"/>
                    <w:keepNext/>
                  </w:pPr>
                </w:p>
              </w:tc>
              <w:tc>
                <w:tcPr>
                  <w:tcW w:w="284" w:type="dxa"/>
                  <w:tcBorders>
                    <w:left w:val="single" w:sz="4" w:space="0" w:color="auto"/>
                    <w:right w:val="double" w:sz="4" w:space="0" w:color="auto"/>
                  </w:tcBorders>
                  <w:shd w:val="clear" w:color="auto" w:fill="CCFFCC"/>
                </w:tcPr>
                <w:p w14:paraId="479792DB" w14:textId="77777777">
                  <w:pPr>
                    <w:pStyle w:val="Tabletext"/>
                    <w:keepNext/>
                  </w:pPr>
                </w:p>
              </w:tc>
              <w:tc>
                <w:tcPr>
                  <w:tcW w:w="284" w:type="dxa"/>
                  <w:tcBorders>
                    <w:left w:val="double" w:sz="4" w:space="0" w:color="auto"/>
                    <w:right w:val="double" w:sz="12" w:space="0" w:color="auto"/>
                  </w:tcBorders>
                  <w:shd w:val="clear" w:color="auto" w:fill="92D050"/>
                </w:tcPr>
                <w:p w14:paraId="1CE9BDB8" w14:textId="77777777">
                  <w:pPr>
                    <w:pStyle w:val="Tabletext"/>
                    <w:keepNext/>
                  </w:pPr>
                </w:p>
              </w:tc>
            </w:tr>
            <w:tr w14:paraId="4FEA3CBA" w14:textId="77777777">
              <w:trPr>
                <w:trHeight w:hRule="exact" w:val="284"/>
                <w:jc w:val="center"/>
              </w:trPr>
              <w:tc>
                <w:tcPr>
                  <w:tcW w:w="284" w:type="dxa"/>
                  <w:tcBorders>
                    <w:left w:val="double" w:sz="12" w:space="0" w:color="auto"/>
                    <w:right w:val="double" w:sz="4" w:space="0" w:color="auto"/>
                  </w:tcBorders>
                  <w:shd w:val="clear" w:color="auto" w:fill="92D050"/>
                </w:tcPr>
                <w:p w14:paraId="3D54AA1F" w14:textId="77777777">
                  <w:pPr>
                    <w:pStyle w:val="Tabletext"/>
                    <w:keepNext/>
                  </w:pPr>
                </w:p>
              </w:tc>
              <w:tc>
                <w:tcPr>
                  <w:tcW w:w="284" w:type="dxa"/>
                  <w:tcBorders>
                    <w:left w:val="double" w:sz="4" w:space="0" w:color="auto"/>
                    <w:right w:val="single" w:sz="4" w:space="0" w:color="auto"/>
                  </w:tcBorders>
                  <w:shd w:val="clear" w:color="auto" w:fill="CCFFCC"/>
                </w:tcPr>
                <w:p w14:paraId="740F3988" w14:textId="77777777">
                  <w:pPr>
                    <w:pStyle w:val="Tabletext"/>
                    <w:keepNext/>
                  </w:pPr>
                </w:p>
              </w:tc>
              <w:tc>
                <w:tcPr>
                  <w:tcW w:w="4821" w:type="dxa"/>
                  <w:gridSpan w:val="4"/>
                  <w:tcBorders>
                    <w:top w:val="single" w:sz="4" w:space="0" w:color="auto"/>
                    <w:left w:val="single" w:sz="4" w:space="0" w:color="auto"/>
                  </w:tcBorders>
                  <w:shd w:val="clear" w:color="auto" w:fill="00B0F0"/>
                </w:tcPr>
                <w:p w14:paraId="071F012F" w14:textId="77777777">
                  <w:pPr>
                    <w:pStyle w:val="Tabletext"/>
                    <w:keepNext/>
                    <w:rPr>
                      <w:noProof/>
                    </w:rPr>
                  </w:pPr>
                  <w:r>
                    <w:rPr>
                      <w:noProof/>
                    </w:rPr>
                    <w:t>&lt;stanza 1&gt; contains</w:t>
                  </w:r>
                </w:p>
              </w:tc>
              <w:tc>
                <w:tcPr>
                  <w:tcW w:w="284" w:type="dxa"/>
                  <w:tcBorders>
                    <w:top w:val="single" w:sz="4" w:space="0" w:color="auto"/>
                    <w:right w:val="single" w:sz="4" w:space="0" w:color="auto"/>
                  </w:tcBorders>
                  <w:shd w:val="clear" w:color="auto" w:fill="00B0F0"/>
                </w:tcPr>
                <w:p w14:paraId="4B7D1568" w14:textId="77777777">
                  <w:pPr>
                    <w:pStyle w:val="Tabletext"/>
                    <w:keepNext/>
                  </w:pPr>
                </w:p>
              </w:tc>
              <w:tc>
                <w:tcPr>
                  <w:tcW w:w="284" w:type="dxa"/>
                  <w:tcBorders>
                    <w:left w:val="single" w:sz="4" w:space="0" w:color="auto"/>
                    <w:right w:val="double" w:sz="4" w:space="0" w:color="auto"/>
                  </w:tcBorders>
                  <w:shd w:val="clear" w:color="auto" w:fill="CCFFCC"/>
                </w:tcPr>
                <w:p w14:paraId="18AB0C80" w14:textId="77777777">
                  <w:pPr>
                    <w:pStyle w:val="Tabletext"/>
                    <w:keepNext/>
                  </w:pPr>
                </w:p>
              </w:tc>
              <w:tc>
                <w:tcPr>
                  <w:tcW w:w="284" w:type="dxa"/>
                  <w:tcBorders>
                    <w:left w:val="double" w:sz="4" w:space="0" w:color="auto"/>
                    <w:right w:val="double" w:sz="12" w:space="0" w:color="auto"/>
                  </w:tcBorders>
                  <w:shd w:val="clear" w:color="auto" w:fill="92D050"/>
                </w:tcPr>
                <w:p w14:paraId="750B5C8B" w14:textId="77777777">
                  <w:pPr>
                    <w:pStyle w:val="Tabletext"/>
                    <w:keepNext/>
                  </w:pPr>
                </w:p>
              </w:tc>
            </w:tr>
            <w:tr w14:paraId="0394A90A" w14:textId="77777777">
              <w:trPr>
                <w:trHeight w:hRule="exact" w:val="113"/>
                <w:jc w:val="center"/>
              </w:trPr>
              <w:tc>
                <w:tcPr>
                  <w:tcW w:w="284" w:type="dxa"/>
                  <w:tcBorders>
                    <w:left w:val="double" w:sz="12" w:space="0" w:color="auto"/>
                    <w:right w:val="double" w:sz="4" w:space="0" w:color="auto"/>
                  </w:tcBorders>
                  <w:shd w:val="clear" w:color="auto" w:fill="92D050"/>
                </w:tcPr>
                <w:p w14:paraId="68288BB4" w14:textId="77777777">
                  <w:pPr>
                    <w:pStyle w:val="Tabletext"/>
                    <w:keepNext/>
                  </w:pPr>
                </w:p>
              </w:tc>
              <w:tc>
                <w:tcPr>
                  <w:tcW w:w="284" w:type="dxa"/>
                  <w:tcBorders>
                    <w:left w:val="double" w:sz="4" w:space="0" w:color="auto"/>
                    <w:right w:val="single" w:sz="4" w:space="0" w:color="auto"/>
                  </w:tcBorders>
                  <w:shd w:val="clear" w:color="auto" w:fill="CCFFCC"/>
                </w:tcPr>
                <w:p w14:paraId="768453F3" w14:textId="77777777">
                  <w:pPr>
                    <w:pStyle w:val="Tabletext"/>
                    <w:keepNext/>
                  </w:pPr>
                </w:p>
              </w:tc>
              <w:tc>
                <w:tcPr>
                  <w:tcW w:w="284" w:type="dxa"/>
                  <w:tcBorders>
                    <w:left w:val="single" w:sz="4" w:space="0" w:color="auto"/>
                    <w:right w:val="single" w:sz="4" w:space="0" w:color="auto"/>
                  </w:tcBorders>
                  <w:shd w:val="clear" w:color="auto" w:fill="00B0F0"/>
                </w:tcPr>
                <w:p w14:paraId="4D959021" w14:textId="77777777">
                  <w:pPr>
                    <w:pStyle w:val="Tabletext"/>
                    <w:keepNext/>
                  </w:pPr>
                </w:p>
              </w:tc>
              <w:tc>
                <w:tcPr>
                  <w:tcW w:w="2835" w:type="dxa"/>
                  <w:vMerge w:val="restart"/>
                  <w:tcBorders>
                    <w:top w:val="single" w:sz="4" w:space="0" w:color="auto"/>
                    <w:left w:val="single" w:sz="4" w:space="0" w:color="auto"/>
                  </w:tcBorders>
                  <w:shd w:val="clear" w:color="auto" w:fill="FF6600"/>
                </w:tcPr>
                <w:p w14:paraId="7DC72FC1" w14:textId="77777777">
                  <w:pPr>
                    <w:pStyle w:val="Tabletext"/>
                    <w:keepNext/>
                  </w:pPr>
                  <w:r>
                    <w:t>&lt;line a&gt; contains</w:t>
                  </w:r>
                </w:p>
              </w:tc>
              <w:tc>
                <w:tcPr>
                  <w:tcW w:w="1418" w:type="dxa"/>
                  <w:tcBorders>
                    <w:top w:val="single" w:sz="4" w:space="0" w:color="auto"/>
                  </w:tcBorders>
                  <w:shd w:val="clear" w:color="auto" w:fill="FF6600"/>
                </w:tcPr>
                <w:p w14:paraId="5D800349" w14:textId="77777777">
                  <w:pPr>
                    <w:pStyle w:val="Tabletext"/>
                    <w:keepNext/>
                    <w:jc w:val="center"/>
                    <w:rPr>
                      <w:i/>
                      <w:iCs/>
                      <w:noProof/>
                    </w:rPr>
                  </w:pPr>
                </w:p>
              </w:tc>
              <w:tc>
                <w:tcPr>
                  <w:tcW w:w="284" w:type="dxa"/>
                  <w:tcBorders>
                    <w:top w:val="single" w:sz="4" w:space="0" w:color="auto"/>
                    <w:right w:val="single" w:sz="4" w:space="0" w:color="auto"/>
                  </w:tcBorders>
                  <w:shd w:val="clear" w:color="auto" w:fill="FF6600"/>
                </w:tcPr>
                <w:p w14:paraId="130AF13F" w14:textId="77777777">
                  <w:pPr>
                    <w:pStyle w:val="Tabletext"/>
                    <w:keepNext/>
                    <w:jc w:val="center"/>
                  </w:pPr>
                </w:p>
              </w:tc>
              <w:tc>
                <w:tcPr>
                  <w:tcW w:w="284" w:type="dxa"/>
                  <w:tcBorders>
                    <w:left w:val="single" w:sz="4" w:space="0" w:color="auto"/>
                    <w:right w:val="single" w:sz="4" w:space="0" w:color="auto"/>
                  </w:tcBorders>
                  <w:shd w:val="clear" w:color="auto" w:fill="00B0F0"/>
                </w:tcPr>
                <w:p w14:paraId="25D5BCAE" w14:textId="77777777">
                  <w:pPr>
                    <w:pStyle w:val="Tabletext"/>
                    <w:keepNext/>
                  </w:pPr>
                </w:p>
              </w:tc>
              <w:tc>
                <w:tcPr>
                  <w:tcW w:w="284" w:type="dxa"/>
                  <w:tcBorders>
                    <w:left w:val="single" w:sz="4" w:space="0" w:color="auto"/>
                    <w:right w:val="double" w:sz="4" w:space="0" w:color="auto"/>
                  </w:tcBorders>
                  <w:shd w:val="clear" w:color="auto" w:fill="CCFFCC"/>
                </w:tcPr>
                <w:p w14:paraId="13B41AEF" w14:textId="77777777">
                  <w:pPr>
                    <w:pStyle w:val="Tabletext"/>
                    <w:keepNext/>
                  </w:pPr>
                </w:p>
              </w:tc>
              <w:tc>
                <w:tcPr>
                  <w:tcW w:w="284" w:type="dxa"/>
                  <w:tcBorders>
                    <w:left w:val="double" w:sz="4" w:space="0" w:color="auto"/>
                    <w:right w:val="double" w:sz="12" w:space="0" w:color="auto"/>
                  </w:tcBorders>
                  <w:shd w:val="clear" w:color="auto" w:fill="92D050"/>
                </w:tcPr>
                <w:p w14:paraId="7F79ED61" w14:textId="77777777">
                  <w:pPr>
                    <w:pStyle w:val="Tabletext"/>
                    <w:keepNext/>
                  </w:pPr>
                </w:p>
              </w:tc>
            </w:tr>
            <w:tr w14:paraId="5884ED1F" w14:textId="77777777">
              <w:trPr>
                <w:trHeight w:hRule="exact" w:val="284"/>
                <w:jc w:val="center"/>
              </w:trPr>
              <w:tc>
                <w:tcPr>
                  <w:tcW w:w="284" w:type="dxa"/>
                  <w:tcBorders>
                    <w:left w:val="double" w:sz="12" w:space="0" w:color="auto"/>
                    <w:right w:val="double" w:sz="4" w:space="0" w:color="auto"/>
                  </w:tcBorders>
                  <w:shd w:val="clear" w:color="auto" w:fill="92D050"/>
                </w:tcPr>
                <w:p w14:paraId="79258F6A" w14:textId="77777777">
                  <w:pPr>
                    <w:pStyle w:val="Tabletext"/>
                    <w:keepNext/>
                  </w:pPr>
                </w:p>
              </w:tc>
              <w:tc>
                <w:tcPr>
                  <w:tcW w:w="284" w:type="dxa"/>
                  <w:tcBorders>
                    <w:left w:val="double" w:sz="4" w:space="0" w:color="auto"/>
                    <w:right w:val="single" w:sz="4" w:space="0" w:color="auto"/>
                  </w:tcBorders>
                  <w:shd w:val="clear" w:color="auto" w:fill="CCFFCC"/>
                </w:tcPr>
                <w:p w14:paraId="30FBCAD9" w14:textId="77777777">
                  <w:pPr>
                    <w:pStyle w:val="Tabletext"/>
                    <w:keepNext/>
                  </w:pPr>
                </w:p>
              </w:tc>
              <w:tc>
                <w:tcPr>
                  <w:tcW w:w="284" w:type="dxa"/>
                  <w:tcBorders>
                    <w:left w:val="single" w:sz="4" w:space="0" w:color="auto"/>
                    <w:right w:val="single" w:sz="4" w:space="0" w:color="auto"/>
                  </w:tcBorders>
                  <w:shd w:val="clear" w:color="auto" w:fill="00B0F0"/>
                </w:tcPr>
                <w:p w14:paraId="46A1ABB1" w14:textId="77777777">
                  <w:pPr>
                    <w:pStyle w:val="Tabletext"/>
                    <w:keepNext/>
                  </w:pPr>
                </w:p>
              </w:tc>
              <w:tc>
                <w:tcPr>
                  <w:tcW w:w="2835" w:type="dxa"/>
                  <w:vMerge/>
                  <w:tcBorders>
                    <w:left w:val="single" w:sz="4" w:space="0" w:color="auto"/>
                  </w:tcBorders>
                  <w:shd w:val="clear" w:color="auto" w:fill="FF6600"/>
                </w:tcPr>
                <w:p w14:paraId="43447C5E" w14:textId="77777777">
                  <w:pPr>
                    <w:pStyle w:val="Tabletext"/>
                    <w:keepNext/>
                  </w:pPr>
                </w:p>
              </w:tc>
              <w:tc>
                <w:tcPr>
                  <w:tcW w:w="1418" w:type="dxa"/>
                  <w:shd w:val="clear" w:color="auto" w:fill="FFFF00"/>
                </w:tcPr>
                <w:p w14:paraId="3563FE89" w14:textId="77777777">
                  <w:pPr>
                    <w:pStyle w:val="Tabletext"/>
                    <w:keepNext/>
                    <w:jc w:val="center"/>
                    <w:rPr>
                      <w:i/>
                      <w:iCs/>
                      <w:noProof/>
                    </w:rPr>
                  </w:pPr>
                  <w:r>
                    <w:rPr>
                      <w:i/>
                      <w:iCs/>
                      <w:noProof/>
                    </w:rPr>
                    <w:t>… text ghi…</w:t>
                  </w:r>
                </w:p>
              </w:tc>
              <w:tc>
                <w:tcPr>
                  <w:tcW w:w="284" w:type="dxa"/>
                  <w:tcBorders>
                    <w:right w:val="single" w:sz="4" w:space="0" w:color="auto"/>
                  </w:tcBorders>
                  <w:shd w:val="clear" w:color="auto" w:fill="FF6600"/>
                </w:tcPr>
                <w:p w14:paraId="5828A62F" w14:textId="77777777">
                  <w:pPr>
                    <w:pStyle w:val="Tabletext"/>
                    <w:keepNext/>
                    <w:jc w:val="center"/>
                  </w:pPr>
                </w:p>
              </w:tc>
              <w:tc>
                <w:tcPr>
                  <w:tcW w:w="284" w:type="dxa"/>
                  <w:tcBorders>
                    <w:left w:val="single" w:sz="4" w:space="0" w:color="auto"/>
                    <w:right w:val="single" w:sz="4" w:space="0" w:color="auto"/>
                  </w:tcBorders>
                  <w:shd w:val="clear" w:color="auto" w:fill="00B0F0"/>
                </w:tcPr>
                <w:p w14:paraId="2A7C3FCD" w14:textId="77777777">
                  <w:pPr>
                    <w:pStyle w:val="Tabletext"/>
                    <w:keepNext/>
                  </w:pPr>
                </w:p>
              </w:tc>
              <w:tc>
                <w:tcPr>
                  <w:tcW w:w="284" w:type="dxa"/>
                  <w:tcBorders>
                    <w:left w:val="single" w:sz="4" w:space="0" w:color="auto"/>
                    <w:right w:val="double" w:sz="4" w:space="0" w:color="auto"/>
                  </w:tcBorders>
                  <w:shd w:val="clear" w:color="auto" w:fill="CCFFCC"/>
                </w:tcPr>
                <w:p w14:paraId="7BA8766F" w14:textId="77777777">
                  <w:pPr>
                    <w:pStyle w:val="Tabletext"/>
                    <w:keepNext/>
                  </w:pPr>
                </w:p>
              </w:tc>
              <w:tc>
                <w:tcPr>
                  <w:tcW w:w="284" w:type="dxa"/>
                  <w:tcBorders>
                    <w:left w:val="double" w:sz="4" w:space="0" w:color="auto"/>
                    <w:right w:val="double" w:sz="12" w:space="0" w:color="auto"/>
                  </w:tcBorders>
                  <w:shd w:val="clear" w:color="auto" w:fill="92D050"/>
                </w:tcPr>
                <w:p w14:paraId="08D46DCC" w14:textId="77777777">
                  <w:pPr>
                    <w:pStyle w:val="Tabletext"/>
                    <w:keepNext/>
                  </w:pPr>
                </w:p>
              </w:tc>
            </w:tr>
            <w:tr w14:paraId="2888D8A1" w14:textId="77777777">
              <w:trPr>
                <w:trHeight w:hRule="exact" w:val="113"/>
                <w:jc w:val="center"/>
              </w:trPr>
              <w:tc>
                <w:tcPr>
                  <w:tcW w:w="284" w:type="dxa"/>
                  <w:tcBorders>
                    <w:left w:val="double" w:sz="12" w:space="0" w:color="auto"/>
                    <w:right w:val="double" w:sz="4" w:space="0" w:color="auto"/>
                  </w:tcBorders>
                  <w:shd w:val="clear" w:color="auto" w:fill="92D050"/>
                </w:tcPr>
                <w:p w14:paraId="7E899912" w14:textId="77777777">
                  <w:pPr>
                    <w:pStyle w:val="Tabletext"/>
                    <w:keepNext/>
                  </w:pPr>
                </w:p>
              </w:tc>
              <w:tc>
                <w:tcPr>
                  <w:tcW w:w="284" w:type="dxa"/>
                  <w:tcBorders>
                    <w:left w:val="double" w:sz="4" w:space="0" w:color="auto"/>
                    <w:right w:val="single" w:sz="4" w:space="0" w:color="auto"/>
                  </w:tcBorders>
                  <w:shd w:val="clear" w:color="auto" w:fill="CCFFCC"/>
                </w:tcPr>
                <w:p w14:paraId="7FC24D6F" w14:textId="77777777">
                  <w:pPr>
                    <w:pStyle w:val="Tabletext"/>
                    <w:keepNext/>
                  </w:pPr>
                </w:p>
              </w:tc>
              <w:tc>
                <w:tcPr>
                  <w:tcW w:w="284" w:type="dxa"/>
                  <w:tcBorders>
                    <w:left w:val="single" w:sz="4" w:space="0" w:color="auto"/>
                    <w:right w:val="single" w:sz="4" w:space="0" w:color="auto"/>
                  </w:tcBorders>
                  <w:shd w:val="clear" w:color="auto" w:fill="00B0F0"/>
                </w:tcPr>
                <w:p w14:paraId="5C218BF1" w14:textId="77777777">
                  <w:pPr>
                    <w:pStyle w:val="Tabletext"/>
                    <w:keepNext/>
                  </w:pPr>
                </w:p>
              </w:tc>
              <w:tc>
                <w:tcPr>
                  <w:tcW w:w="2835" w:type="dxa"/>
                  <w:tcBorders>
                    <w:left w:val="single" w:sz="4" w:space="0" w:color="auto"/>
                    <w:bottom w:val="dashed" w:sz="4" w:space="0" w:color="auto"/>
                  </w:tcBorders>
                  <w:shd w:val="clear" w:color="auto" w:fill="FF6600"/>
                </w:tcPr>
                <w:p w14:paraId="0E0276B1" w14:textId="77777777">
                  <w:pPr>
                    <w:pStyle w:val="Tabletext"/>
                    <w:keepNext/>
                  </w:pPr>
                </w:p>
              </w:tc>
              <w:tc>
                <w:tcPr>
                  <w:tcW w:w="1418" w:type="dxa"/>
                  <w:tcBorders>
                    <w:bottom w:val="dashed" w:sz="4" w:space="0" w:color="auto"/>
                  </w:tcBorders>
                  <w:shd w:val="clear" w:color="auto" w:fill="FF6600"/>
                </w:tcPr>
                <w:p w14:paraId="0F902B7C"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28E0FCF4" w14:textId="77777777">
                  <w:pPr>
                    <w:pStyle w:val="Tabletext"/>
                    <w:keepNext/>
                    <w:jc w:val="center"/>
                  </w:pPr>
                </w:p>
              </w:tc>
              <w:tc>
                <w:tcPr>
                  <w:tcW w:w="284" w:type="dxa"/>
                  <w:tcBorders>
                    <w:left w:val="single" w:sz="4" w:space="0" w:color="auto"/>
                    <w:right w:val="single" w:sz="4" w:space="0" w:color="auto"/>
                  </w:tcBorders>
                  <w:shd w:val="clear" w:color="auto" w:fill="00B0F0"/>
                </w:tcPr>
                <w:p w14:paraId="5A54EC5D" w14:textId="77777777">
                  <w:pPr>
                    <w:pStyle w:val="Tabletext"/>
                    <w:keepNext/>
                  </w:pPr>
                </w:p>
              </w:tc>
              <w:tc>
                <w:tcPr>
                  <w:tcW w:w="284" w:type="dxa"/>
                  <w:tcBorders>
                    <w:left w:val="single" w:sz="4" w:space="0" w:color="auto"/>
                    <w:right w:val="double" w:sz="4" w:space="0" w:color="auto"/>
                  </w:tcBorders>
                  <w:shd w:val="clear" w:color="auto" w:fill="CCFFCC"/>
                </w:tcPr>
                <w:p w14:paraId="06FC8FD1" w14:textId="77777777">
                  <w:pPr>
                    <w:pStyle w:val="Tabletext"/>
                    <w:keepNext/>
                  </w:pPr>
                </w:p>
              </w:tc>
              <w:tc>
                <w:tcPr>
                  <w:tcW w:w="284" w:type="dxa"/>
                  <w:tcBorders>
                    <w:left w:val="double" w:sz="4" w:space="0" w:color="auto"/>
                    <w:right w:val="double" w:sz="12" w:space="0" w:color="auto"/>
                  </w:tcBorders>
                  <w:shd w:val="clear" w:color="auto" w:fill="92D050"/>
                </w:tcPr>
                <w:p w14:paraId="22260B36" w14:textId="77777777">
                  <w:pPr>
                    <w:pStyle w:val="Tabletext"/>
                    <w:keepNext/>
                  </w:pPr>
                </w:p>
              </w:tc>
            </w:tr>
            <w:tr w14:paraId="25E5EA2F" w14:textId="77777777">
              <w:trPr>
                <w:trHeight w:hRule="exact" w:val="113"/>
                <w:jc w:val="center"/>
              </w:trPr>
              <w:tc>
                <w:tcPr>
                  <w:tcW w:w="284" w:type="dxa"/>
                  <w:tcBorders>
                    <w:left w:val="double" w:sz="12" w:space="0" w:color="auto"/>
                    <w:right w:val="double" w:sz="4" w:space="0" w:color="auto"/>
                  </w:tcBorders>
                  <w:shd w:val="clear" w:color="auto" w:fill="92D050"/>
                </w:tcPr>
                <w:p w14:paraId="24EB734E" w14:textId="77777777">
                  <w:pPr>
                    <w:pStyle w:val="Tabletext"/>
                    <w:keepNext/>
                  </w:pPr>
                </w:p>
              </w:tc>
              <w:tc>
                <w:tcPr>
                  <w:tcW w:w="284" w:type="dxa"/>
                  <w:tcBorders>
                    <w:left w:val="double" w:sz="4" w:space="0" w:color="auto"/>
                    <w:right w:val="single" w:sz="4" w:space="0" w:color="auto"/>
                  </w:tcBorders>
                  <w:shd w:val="clear" w:color="auto" w:fill="CCFFCC"/>
                </w:tcPr>
                <w:p w14:paraId="77B33081" w14:textId="77777777">
                  <w:pPr>
                    <w:pStyle w:val="Tabletext"/>
                    <w:keepNext/>
                  </w:pPr>
                </w:p>
              </w:tc>
              <w:tc>
                <w:tcPr>
                  <w:tcW w:w="284" w:type="dxa"/>
                  <w:tcBorders>
                    <w:left w:val="single" w:sz="4" w:space="0" w:color="auto"/>
                    <w:right w:val="single" w:sz="4" w:space="0" w:color="auto"/>
                  </w:tcBorders>
                  <w:shd w:val="clear" w:color="auto" w:fill="00B0F0"/>
                </w:tcPr>
                <w:p w14:paraId="3058B568" w14:textId="77777777">
                  <w:pPr>
                    <w:pStyle w:val="Tabletext"/>
                    <w:keepNext/>
                  </w:pPr>
                </w:p>
              </w:tc>
              <w:tc>
                <w:tcPr>
                  <w:tcW w:w="2835" w:type="dxa"/>
                  <w:vMerge w:val="restart"/>
                  <w:tcBorders>
                    <w:top w:val="dashed" w:sz="4" w:space="0" w:color="auto"/>
                    <w:left w:val="single" w:sz="4" w:space="0" w:color="auto"/>
                  </w:tcBorders>
                  <w:shd w:val="clear" w:color="auto" w:fill="FF6600"/>
                </w:tcPr>
                <w:p w14:paraId="56342A07" w14:textId="77777777">
                  <w:pPr>
                    <w:pStyle w:val="Tabletext"/>
                    <w:keepNext/>
                  </w:pPr>
                  <w:r>
                    <w:t>&lt;line b&gt; contains</w:t>
                  </w:r>
                </w:p>
              </w:tc>
              <w:tc>
                <w:tcPr>
                  <w:tcW w:w="1418" w:type="dxa"/>
                  <w:tcBorders>
                    <w:top w:val="dashed" w:sz="4" w:space="0" w:color="auto"/>
                  </w:tcBorders>
                  <w:shd w:val="clear" w:color="auto" w:fill="FF6600"/>
                </w:tcPr>
                <w:p w14:paraId="2A3D20D1"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0620B657" w14:textId="77777777">
                  <w:pPr>
                    <w:pStyle w:val="Tabletext"/>
                    <w:keepNext/>
                    <w:jc w:val="center"/>
                  </w:pPr>
                </w:p>
              </w:tc>
              <w:tc>
                <w:tcPr>
                  <w:tcW w:w="284" w:type="dxa"/>
                  <w:tcBorders>
                    <w:left w:val="single" w:sz="4" w:space="0" w:color="auto"/>
                    <w:right w:val="single" w:sz="4" w:space="0" w:color="auto"/>
                  </w:tcBorders>
                  <w:shd w:val="clear" w:color="auto" w:fill="00B0F0"/>
                </w:tcPr>
                <w:p w14:paraId="2FFFD4DD" w14:textId="77777777">
                  <w:pPr>
                    <w:pStyle w:val="Tabletext"/>
                    <w:keepNext/>
                  </w:pPr>
                </w:p>
              </w:tc>
              <w:tc>
                <w:tcPr>
                  <w:tcW w:w="284" w:type="dxa"/>
                  <w:tcBorders>
                    <w:left w:val="single" w:sz="4" w:space="0" w:color="auto"/>
                    <w:right w:val="double" w:sz="4" w:space="0" w:color="auto"/>
                  </w:tcBorders>
                  <w:shd w:val="clear" w:color="auto" w:fill="CCFFCC"/>
                </w:tcPr>
                <w:p w14:paraId="0495F10A" w14:textId="77777777">
                  <w:pPr>
                    <w:pStyle w:val="Tabletext"/>
                    <w:keepNext/>
                  </w:pPr>
                </w:p>
              </w:tc>
              <w:tc>
                <w:tcPr>
                  <w:tcW w:w="284" w:type="dxa"/>
                  <w:tcBorders>
                    <w:left w:val="double" w:sz="4" w:space="0" w:color="auto"/>
                    <w:right w:val="double" w:sz="12" w:space="0" w:color="auto"/>
                  </w:tcBorders>
                  <w:shd w:val="clear" w:color="auto" w:fill="92D050"/>
                </w:tcPr>
                <w:p w14:paraId="074CBC71" w14:textId="77777777">
                  <w:pPr>
                    <w:pStyle w:val="Tabletext"/>
                    <w:keepNext/>
                  </w:pPr>
                </w:p>
              </w:tc>
            </w:tr>
            <w:tr w14:paraId="3BE4B0E1" w14:textId="77777777">
              <w:trPr>
                <w:trHeight w:hRule="exact" w:val="284"/>
                <w:jc w:val="center"/>
              </w:trPr>
              <w:tc>
                <w:tcPr>
                  <w:tcW w:w="284" w:type="dxa"/>
                  <w:tcBorders>
                    <w:left w:val="double" w:sz="12" w:space="0" w:color="auto"/>
                    <w:right w:val="double" w:sz="4" w:space="0" w:color="auto"/>
                  </w:tcBorders>
                  <w:shd w:val="clear" w:color="auto" w:fill="92D050"/>
                </w:tcPr>
                <w:p w14:paraId="0055CA38" w14:textId="77777777">
                  <w:pPr>
                    <w:pStyle w:val="Tabletext"/>
                    <w:keepNext/>
                  </w:pPr>
                </w:p>
              </w:tc>
              <w:tc>
                <w:tcPr>
                  <w:tcW w:w="284" w:type="dxa"/>
                  <w:tcBorders>
                    <w:left w:val="double" w:sz="4" w:space="0" w:color="auto"/>
                    <w:right w:val="single" w:sz="4" w:space="0" w:color="auto"/>
                  </w:tcBorders>
                  <w:shd w:val="clear" w:color="auto" w:fill="CCFFCC"/>
                </w:tcPr>
                <w:p w14:paraId="763B8235" w14:textId="77777777">
                  <w:pPr>
                    <w:pStyle w:val="Tabletext"/>
                    <w:keepNext/>
                  </w:pPr>
                </w:p>
              </w:tc>
              <w:tc>
                <w:tcPr>
                  <w:tcW w:w="284" w:type="dxa"/>
                  <w:tcBorders>
                    <w:left w:val="single" w:sz="4" w:space="0" w:color="auto"/>
                    <w:right w:val="single" w:sz="4" w:space="0" w:color="auto"/>
                  </w:tcBorders>
                  <w:shd w:val="clear" w:color="auto" w:fill="00B0F0"/>
                </w:tcPr>
                <w:p w14:paraId="63FF307A" w14:textId="77777777">
                  <w:pPr>
                    <w:pStyle w:val="Tabletext"/>
                    <w:keepNext/>
                  </w:pPr>
                </w:p>
              </w:tc>
              <w:tc>
                <w:tcPr>
                  <w:tcW w:w="2835" w:type="dxa"/>
                  <w:vMerge/>
                  <w:tcBorders>
                    <w:left w:val="single" w:sz="4" w:space="0" w:color="auto"/>
                  </w:tcBorders>
                  <w:shd w:val="clear" w:color="auto" w:fill="FF6600"/>
                </w:tcPr>
                <w:p w14:paraId="4FF39EE6" w14:textId="77777777">
                  <w:pPr>
                    <w:pStyle w:val="Tabletext"/>
                    <w:keepNext/>
                  </w:pPr>
                </w:p>
              </w:tc>
              <w:tc>
                <w:tcPr>
                  <w:tcW w:w="1418" w:type="dxa"/>
                  <w:shd w:val="clear" w:color="auto" w:fill="FFFF00"/>
                </w:tcPr>
                <w:p w14:paraId="5023AA95" w14:textId="77777777">
                  <w:pPr>
                    <w:pStyle w:val="Tabletext"/>
                    <w:keepNext/>
                    <w:jc w:val="center"/>
                    <w:rPr>
                      <w:i/>
                      <w:iCs/>
                      <w:noProof/>
                    </w:rPr>
                  </w:pPr>
                  <w:r>
                    <w:rPr>
                      <w:i/>
                      <w:iCs/>
                      <w:noProof/>
                    </w:rPr>
                    <w:t>… text jkl…</w:t>
                  </w:r>
                </w:p>
              </w:tc>
              <w:tc>
                <w:tcPr>
                  <w:tcW w:w="284" w:type="dxa"/>
                  <w:tcBorders>
                    <w:right w:val="single" w:sz="4" w:space="0" w:color="auto"/>
                  </w:tcBorders>
                  <w:shd w:val="clear" w:color="auto" w:fill="FF6600"/>
                </w:tcPr>
                <w:p w14:paraId="0353E57B" w14:textId="77777777">
                  <w:pPr>
                    <w:pStyle w:val="Tabletext"/>
                    <w:keepNext/>
                    <w:jc w:val="center"/>
                  </w:pPr>
                </w:p>
              </w:tc>
              <w:tc>
                <w:tcPr>
                  <w:tcW w:w="284" w:type="dxa"/>
                  <w:tcBorders>
                    <w:left w:val="single" w:sz="4" w:space="0" w:color="auto"/>
                    <w:right w:val="single" w:sz="4" w:space="0" w:color="auto"/>
                  </w:tcBorders>
                  <w:shd w:val="clear" w:color="auto" w:fill="00B0F0"/>
                </w:tcPr>
                <w:p w14:paraId="449760DF" w14:textId="77777777">
                  <w:pPr>
                    <w:pStyle w:val="Tabletext"/>
                    <w:keepNext/>
                  </w:pPr>
                </w:p>
              </w:tc>
              <w:tc>
                <w:tcPr>
                  <w:tcW w:w="284" w:type="dxa"/>
                  <w:tcBorders>
                    <w:left w:val="single" w:sz="4" w:space="0" w:color="auto"/>
                    <w:right w:val="double" w:sz="4" w:space="0" w:color="auto"/>
                  </w:tcBorders>
                  <w:shd w:val="clear" w:color="auto" w:fill="CCFFCC"/>
                </w:tcPr>
                <w:p w14:paraId="7E6C25E6" w14:textId="77777777">
                  <w:pPr>
                    <w:pStyle w:val="Tabletext"/>
                    <w:keepNext/>
                  </w:pPr>
                </w:p>
              </w:tc>
              <w:tc>
                <w:tcPr>
                  <w:tcW w:w="284" w:type="dxa"/>
                  <w:tcBorders>
                    <w:left w:val="double" w:sz="4" w:space="0" w:color="auto"/>
                    <w:right w:val="double" w:sz="12" w:space="0" w:color="auto"/>
                  </w:tcBorders>
                  <w:shd w:val="clear" w:color="auto" w:fill="92D050"/>
                </w:tcPr>
                <w:p w14:paraId="15F6E610" w14:textId="77777777">
                  <w:pPr>
                    <w:pStyle w:val="Tabletext"/>
                    <w:keepNext/>
                  </w:pPr>
                </w:p>
              </w:tc>
            </w:tr>
            <w:tr w14:paraId="4F1FF72D" w14:textId="77777777">
              <w:trPr>
                <w:trHeight w:hRule="exact" w:val="113"/>
                <w:jc w:val="center"/>
              </w:trPr>
              <w:tc>
                <w:tcPr>
                  <w:tcW w:w="284" w:type="dxa"/>
                  <w:tcBorders>
                    <w:left w:val="double" w:sz="12" w:space="0" w:color="auto"/>
                    <w:right w:val="double" w:sz="4" w:space="0" w:color="auto"/>
                  </w:tcBorders>
                  <w:shd w:val="clear" w:color="auto" w:fill="92D050"/>
                </w:tcPr>
                <w:p w14:paraId="4F628300" w14:textId="77777777">
                  <w:pPr>
                    <w:pStyle w:val="Tabletext"/>
                    <w:keepNext/>
                  </w:pPr>
                </w:p>
              </w:tc>
              <w:tc>
                <w:tcPr>
                  <w:tcW w:w="284" w:type="dxa"/>
                  <w:tcBorders>
                    <w:left w:val="double" w:sz="4" w:space="0" w:color="auto"/>
                    <w:right w:val="single" w:sz="4" w:space="0" w:color="auto"/>
                  </w:tcBorders>
                  <w:shd w:val="clear" w:color="auto" w:fill="CCFFCC"/>
                </w:tcPr>
                <w:p w14:paraId="114879FC" w14:textId="77777777">
                  <w:pPr>
                    <w:pStyle w:val="Tabletext"/>
                    <w:keepNext/>
                  </w:pPr>
                </w:p>
              </w:tc>
              <w:tc>
                <w:tcPr>
                  <w:tcW w:w="284" w:type="dxa"/>
                  <w:tcBorders>
                    <w:left w:val="single" w:sz="4" w:space="0" w:color="auto"/>
                    <w:right w:val="single" w:sz="4" w:space="0" w:color="auto"/>
                  </w:tcBorders>
                  <w:shd w:val="clear" w:color="auto" w:fill="00B0F0"/>
                </w:tcPr>
                <w:p w14:paraId="247C6A00" w14:textId="77777777">
                  <w:pPr>
                    <w:pStyle w:val="Tabletext"/>
                    <w:keepNext/>
                  </w:pPr>
                </w:p>
              </w:tc>
              <w:tc>
                <w:tcPr>
                  <w:tcW w:w="2835" w:type="dxa"/>
                  <w:tcBorders>
                    <w:left w:val="single" w:sz="4" w:space="0" w:color="auto"/>
                    <w:bottom w:val="dashed" w:sz="4" w:space="0" w:color="auto"/>
                  </w:tcBorders>
                  <w:shd w:val="clear" w:color="auto" w:fill="FF6600"/>
                </w:tcPr>
                <w:p w14:paraId="53FB5758" w14:textId="77777777">
                  <w:pPr>
                    <w:pStyle w:val="Tabletext"/>
                    <w:keepNext/>
                  </w:pPr>
                </w:p>
              </w:tc>
              <w:tc>
                <w:tcPr>
                  <w:tcW w:w="1418" w:type="dxa"/>
                  <w:tcBorders>
                    <w:bottom w:val="dashed" w:sz="4" w:space="0" w:color="auto"/>
                  </w:tcBorders>
                  <w:shd w:val="clear" w:color="auto" w:fill="FF6600"/>
                </w:tcPr>
                <w:p w14:paraId="6C52A089"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38E5923E" w14:textId="77777777">
                  <w:pPr>
                    <w:pStyle w:val="Tabletext"/>
                    <w:keepNext/>
                    <w:jc w:val="center"/>
                  </w:pPr>
                </w:p>
              </w:tc>
              <w:tc>
                <w:tcPr>
                  <w:tcW w:w="284" w:type="dxa"/>
                  <w:tcBorders>
                    <w:left w:val="single" w:sz="4" w:space="0" w:color="auto"/>
                    <w:right w:val="single" w:sz="4" w:space="0" w:color="auto"/>
                  </w:tcBorders>
                  <w:shd w:val="clear" w:color="auto" w:fill="00B0F0"/>
                </w:tcPr>
                <w:p w14:paraId="5A2832B5" w14:textId="77777777">
                  <w:pPr>
                    <w:pStyle w:val="Tabletext"/>
                    <w:keepNext/>
                  </w:pPr>
                </w:p>
              </w:tc>
              <w:tc>
                <w:tcPr>
                  <w:tcW w:w="284" w:type="dxa"/>
                  <w:tcBorders>
                    <w:left w:val="single" w:sz="4" w:space="0" w:color="auto"/>
                    <w:right w:val="double" w:sz="4" w:space="0" w:color="auto"/>
                  </w:tcBorders>
                  <w:shd w:val="clear" w:color="auto" w:fill="CCFFCC"/>
                </w:tcPr>
                <w:p w14:paraId="532E2FF5" w14:textId="77777777">
                  <w:pPr>
                    <w:pStyle w:val="Tabletext"/>
                    <w:keepNext/>
                  </w:pPr>
                </w:p>
              </w:tc>
              <w:tc>
                <w:tcPr>
                  <w:tcW w:w="284" w:type="dxa"/>
                  <w:tcBorders>
                    <w:left w:val="double" w:sz="4" w:space="0" w:color="auto"/>
                    <w:right w:val="double" w:sz="12" w:space="0" w:color="auto"/>
                  </w:tcBorders>
                  <w:shd w:val="clear" w:color="auto" w:fill="92D050"/>
                </w:tcPr>
                <w:p w14:paraId="2DF29A8E" w14:textId="77777777">
                  <w:pPr>
                    <w:pStyle w:val="Tabletext"/>
                    <w:keepNext/>
                  </w:pPr>
                </w:p>
              </w:tc>
            </w:tr>
            <w:tr w14:paraId="7C55A63A" w14:textId="77777777">
              <w:trPr>
                <w:trHeight w:hRule="exact" w:val="113"/>
                <w:jc w:val="center"/>
              </w:trPr>
              <w:tc>
                <w:tcPr>
                  <w:tcW w:w="284" w:type="dxa"/>
                  <w:tcBorders>
                    <w:left w:val="double" w:sz="12" w:space="0" w:color="auto"/>
                    <w:right w:val="double" w:sz="4" w:space="0" w:color="auto"/>
                  </w:tcBorders>
                  <w:shd w:val="clear" w:color="auto" w:fill="92D050"/>
                </w:tcPr>
                <w:p w14:paraId="185A5F07" w14:textId="77777777">
                  <w:pPr>
                    <w:pStyle w:val="Tabletext"/>
                    <w:keepNext/>
                  </w:pPr>
                </w:p>
              </w:tc>
              <w:tc>
                <w:tcPr>
                  <w:tcW w:w="284" w:type="dxa"/>
                  <w:tcBorders>
                    <w:left w:val="double" w:sz="4" w:space="0" w:color="auto"/>
                    <w:right w:val="single" w:sz="4" w:space="0" w:color="auto"/>
                  </w:tcBorders>
                  <w:shd w:val="clear" w:color="auto" w:fill="CCFFCC"/>
                </w:tcPr>
                <w:p w14:paraId="5DFC55AD" w14:textId="77777777">
                  <w:pPr>
                    <w:pStyle w:val="Tabletext"/>
                    <w:keepNext/>
                  </w:pPr>
                </w:p>
              </w:tc>
              <w:tc>
                <w:tcPr>
                  <w:tcW w:w="284" w:type="dxa"/>
                  <w:tcBorders>
                    <w:left w:val="single" w:sz="4" w:space="0" w:color="auto"/>
                    <w:right w:val="single" w:sz="4" w:space="0" w:color="auto"/>
                  </w:tcBorders>
                  <w:shd w:val="clear" w:color="auto" w:fill="00B0F0"/>
                </w:tcPr>
                <w:p w14:paraId="346FA84A" w14:textId="77777777">
                  <w:pPr>
                    <w:pStyle w:val="Tabletext"/>
                    <w:keepNext/>
                  </w:pPr>
                </w:p>
              </w:tc>
              <w:tc>
                <w:tcPr>
                  <w:tcW w:w="2835" w:type="dxa"/>
                  <w:vMerge w:val="restart"/>
                  <w:tcBorders>
                    <w:top w:val="dashed" w:sz="4" w:space="0" w:color="auto"/>
                    <w:left w:val="single" w:sz="4" w:space="0" w:color="auto"/>
                  </w:tcBorders>
                  <w:shd w:val="clear" w:color="auto" w:fill="FF6600"/>
                </w:tcPr>
                <w:p w14:paraId="3A97DB93" w14:textId="77777777">
                  <w:pPr>
                    <w:pStyle w:val="Tabletext"/>
                    <w:keepNext/>
                  </w:pPr>
                  <w:r>
                    <w:t>&lt;line c&gt; contains</w:t>
                  </w:r>
                </w:p>
              </w:tc>
              <w:tc>
                <w:tcPr>
                  <w:tcW w:w="1418" w:type="dxa"/>
                  <w:tcBorders>
                    <w:top w:val="dashed" w:sz="4" w:space="0" w:color="auto"/>
                  </w:tcBorders>
                  <w:shd w:val="clear" w:color="auto" w:fill="FF6600"/>
                </w:tcPr>
                <w:p w14:paraId="6ECF752F"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27CF83A9" w14:textId="77777777">
                  <w:pPr>
                    <w:pStyle w:val="Tabletext"/>
                    <w:keepNext/>
                    <w:jc w:val="center"/>
                  </w:pPr>
                </w:p>
              </w:tc>
              <w:tc>
                <w:tcPr>
                  <w:tcW w:w="284" w:type="dxa"/>
                  <w:tcBorders>
                    <w:left w:val="single" w:sz="4" w:space="0" w:color="auto"/>
                    <w:right w:val="single" w:sz="4" w:space="0" w:color="auto"/>
                  </w:tcBorders>
                  <w:shd w:val="clear" w:color="auto" w:fill="00B0F0"/>
                </w:tcPr>
                <w:p w14:paraId="5EFAC056" w14:textId="77777777">
                  <w:pPr>
                    <w:pStyle w:val="Tabletext"/>
                    <w:keepNext/>
                  </w:pPr>
                </w:p>
              </w:tc>
              <w:tc>
                <w:tcPr>
                  <w:tcW w:w="284" w:type="dxa"/>
                  <w:tcBorders>
                    <w:left w:val="single" w:sz="4" w:space="0" w:color="auto"/>
                    <w:right w:val="double" w:sz="4" w:space="0" w:color="auto"/>
                  </w:tcBorders>
                  <w:shd w:val="clear" w:color="auto" w:fill="CCFFCC"/>
                </w:tcPr>
                <w:p w14:paraId="54B18A31" w14:textId="77777777">
                  <w:pPr>
                    <w:pStyle w:val="Tabletext"/>
                    <w:keepNext/>
                  </w:pPr>
                </w:p>
              </w:tc>
              <w:tc>
                <w:tcPr>
                  <w:tcW w:w="284" w:type="dxa"/>
                  <w:tcBorders>
                    <w:left w:val="double" w:sz="4" w:space="0" w:color="auto"/>
                    <w:right w:val="double" w:sz="12" w:space="0" w:color="auto"/>
                  </w:tcBorders>
                  <w:shd w:val="clear" w:color="auto" w:fill="92D050"/>
                </w:tcPr>
                <w:p w14:paraId="3A0F69AB" w14:textId="77777777">
                  <w:pPr>
                    <w:pStyle w:val="Tabletext"/>
                    <w:keepNext/>
                  </w:pPr>
                </w:p>
              </w:tc>
            </w:tr>
            <w:tr w14:paraId="3306891B" w14:textId="77777777">
              <w:trPr>
                <w:trHeight w:hRule="exact" w:val="284"/>
                <w:jc w:val="center"/>
              </w:trPr>
              <w:tc>
                <w:tcPr>
                  <w:tcW w:w="284" w:type="dxa"/>
                  <w:tcBorders>
                    <w:left w:val="double" w:sz="12" w:space="0" w:color="auto"/>
                    <w:right w:val="double" w:sz="4" w:space="0" w:color="auto"/>
                  </w:tcBorders>
                  <w:shd w:val="clear" w:color="auto" w:fill="92D050"/>
                </w:tcPr>
                <w:p w14:paraId="7CD6E87E" w14:textId="77777777">
                  <w:pPr>
                    <w:pStyle w:val="Tabletext"/>
                    <w:keepNext/>
                  </w:pPr>
                </w:p>
              </w:tc>
              <w:tc>
                <w:tcPr>
                  <w:tcW w:w="284" w:type="dxa"/>
                  <w:tcBorders>
                    <w:left w:val="double" w:sz="4" w:space="0" w:color="auto"/>
                    <w:right w:val="single" w:sz="4" w:space="0" w:color="auto"/>
                  </w:tcBorders>
                  <w:shd w:val="clear" w:color="auto" w:fill="CCFFCC"/>
                </w:tcPr>
                <w:p w14:paraId="5BA2197D" w14:textId="77777777">
                  <w:pPr>
                    <w:pStyle w:val="Tabletext"/>
                    <w:keepNext/>
                  </w:pPr>
                </w:p>
              </w:tc>
              <w:tc>
                <w:tcPr>
                  <w:tcW w:w="284" w:type="dxa"/>
                  <w:tcBorders>
                    <w:left w:val="single" w:sz="4" w:space="0" w:color="auto"/>
                    <w:right w:val="single" w:sz="4" w:space="0" w:color="auto"/>
                  </w:tcBorders>
                  <w:shd w:val="clear" w:color="auto" w:fill="00B0F0"/>
                </w:tcPr>
                <w:p w14:paraId="74B8CA04" w14:textId="77777777">
                  <w:pPr>
                    <w:pStyle w:val="Tabletext"/>
                    <w:keepNext/>
                  </w:pPr>
                </w:p>
              </w:tc>
              <w:tc>
                <w:tcPr>
                  <w:tcW w:w="2835" w:type="dxa"/>
                  <w:vMerge/>
                  <w:tcBorders>
                    <w:left w:val="single" w:sz="4" w:space="0" w:color="auto"/>
                  </w:tcBorders>
                  <w:shd w:val="clear" w:color="auto" w:fill="FF6600"/>
                </w:tcPr>
                <w:p w14:paraId="702AF416" w14:textId="77777777">
                  <w:pPr>
                    <w:pStyle w:val="Tabletext"/>
                    <w:keepNext/>
                  </w:pPr>
                </w:p>
              </w:tc>
              <w:tc>
                <w:tcPr>
                  <w:tcW w:w="1418" w:type="dxa"/>
                  <w:shd w:val="clear" w:color="auto" w:fill="FFFF00"/>
                </w:tcPr>
                <w:p w14:paraId="3AE2DAEA" w14:textId="77777777">
                  <w:pPr>
                    <w:pStyle w:val="Tabletext"/>
                    <w:keepNext/>
                    <w:jc w:val="center"/>
                    <w:rPr>
                      <w:i/>
                      <w:iCs/>
                      <w:noProof/>
                    </w:rPr>
                  </w:pPr>
                  <w:r>
                    <w:rPr>
                      <w:i/>
                      <w:iCs/>
                      <w:noProof/>
                    </w:rPr>
                    <w:t>… text mno…</w:t>
                  </w:r>
                </w:p>
              </w:tc>
              <w:tc>
                <w:tcPr>
                  <w:tcW w:w="284" w:type="dxa"/>
                  <w:tcBorders>
                    <w:right w:val="single" w:sz="4" w:space="0" w:color="auto"/>
                  </w:tcBorders>
                  <w:shd w:val="clear" w:color="auto" w:fill="FF6600"/>
                </w:tcPr>
                <w:p w14:paraId="2BF524A4" w14:textId="77777777">
                  <w:pPr>
                    <w:pStyle w:val="Tabletext"/>
                    <w:keepNext/>
                    <w:jc w:val="center"/>
                  </w:pPr>
                </w:p>
              </w:tc>
              <w:tc>
                <w:tcPr>
                  <w:tcW w:w="284" w:type="dxa"/>
                  <w:tcBorders>
                    <w:left w:val="single" w:sz="4" w:space="0" w:color="auto"/>
                    <w:right w:val="single" w:sz="4" w:space="0" w:color="auto"/>
                  </w:tcBorders>
                  <w:shd w:val="clear" w:color="auto" w:fill="00B0F0"/>
                </w:tcPr>
                <w:p w14:paraId="768B750D" w14:textId="77777777">
                  <w:pPr>
                    <w:pStyle w:val="Tabletext"/>
                    <w:keepNext/>
                  </w:pPr>
                </w:p>
              </w:tc>
              <w:tc>
                <w:tcPr>
                  <w:tcW w:w="284" w:type="dxa"/>
                  <w:tcBorders>
                    <w:left w:val="single" w:sz="4" w:space="0" w:color="auto"/>
                    <w:right w:val="double" w:sz="4" w:space="0" w:color="auto"/>
                  </w:tcBorders>
                  <w:shd w:val="clear" w:color="auto" w:fill="CCFFCC"/>
                </w:tcPr>
                <w:p w14:paraId="5F166CE1" w14:textId="77777777">
                  <w:pPr>
                    <w:pStyle w:val="Tabletext"/>
                    <w:keepNext/>
                  </w:pPr>
                </w:p>
              </w:tc>
              <w:tc>
                <w:tcPr>
                  <w:tcW w:w="284" w:type="dxa"/>
                  <w:tcBorders>
                    <w:left w:val="double" w:sz="4" w:space="0" w:color="auto"/>
                    <w:right w:val="double" w:sz="12" w:space="0" w:color="auto"/>
                  </w:tcBorders>
                  <w:shd w:val="clear" w:color="auto" w:fill="92D050"/>
                </w:tcPr>
                <w:p w14:paraId="7A5BE8FF" w14:textId="77777777">
                  <w:pPr>
                    <w:pStyle w:val="Tabletext"/>
                    <w:keepNext/>
                  </w:pPr>
                </w:p>
              </w:tc>
            </w:tr>
            <w:tr w14:paraId="766EA844" w14:textId="77777777">
              <w:trPr>
                <w:trHeight w:hRule="exact" w:val="113"/>
                <w:jc w:val="center"/>
              </w:trPr>
              <w:tc>
                <w:tcPr>
                  <w:tcW w:w="284" w:type="dxa"/>
                  <w:tcBorders>
                    <w:left w:val="double" w:sz="12" w:space="0" w:color="auto"/>
                    <w:right w:val="double" w:sz="4" w:space="0" w:color="auto"/>
                  </w:tcBorders>
                  <w:shd w:val="clear" w:color="auto" w:fill="92D050"/>
                </w:tcPr>
                <w:p w14:paraId="1CC69E10" w14:textId="77777777">
                  <w:pPr>
                    <w:pStyle w:val="Tabletext"/>
                    <w:keepNext/>
                  </w:pPr>
                </w:p>
              </w:tc>
              <w:tc>
                <w:tcPr>
                  <w:tcW w:w="284" w:type="dxa"/>
                  <w:tcBorders>
                    <w:left w:val="double" w:sz="4" w:space="0" w:color="auto"/>
                    <w:right w:val="single" w:sz="4" w:space="0" w:color="auto"/>
                  </w:tcBorders>
                  <w:shd w:val="clear" w:color="auto" w:fill="CCFFCC"/>
                </w:tcPr>
                <w:p w14:paraId="0AAA89B5" w14:textId="77777777">
                  <w:pPr>
                    <w:pStyle w:val="Tabletext"/>
                    <w:keepNext/>
                  </w:pPr>
                </w:p>
              </w:tc>
              <w:tc>
                <w:tcPr>
                  <w:tcW w:w="284" w:type="dxa"/>
                  <w:tcBorders>
                    <w:left w:val="single" w:sz="4" w:space="0" w:color="auto"/>
                    <w:right w:val="single" w:sz="4" w:space="0" w:color="auto"/>
                  </w:tcBorders>
                  <w:shd w:val="clear" w:color="auto" w:fill="00B0F0"/>
                </w:tcPr>
                <w:p w14:paraId="4B719994" w14:textId="77777777">
                  <w:pPr>
                    <w:pStyle w:val="Tabletext"/>
                    <w:keepNext/>
                  </w:pPr>
                </w:p>
              </w:tc>
              <w:tc>
                <w:tcPr>
                  <w:tcW w:w="2835" w:type="dxa"/>
                  <w:tcBorders>
                    <w:left w:val="single" w:sz="4" w:space="0" w:color="auto"/>
                    <w:bottom w:val="dashed" w:sz="4" w:space="0" w:color="auto"/>
                  </w:tcBorders>
                  <w:shd w:val="clear" w:color="auto" w:fill="FF6600"/>
                </w:tcPr>
                <w:p w14:paraId="601D9EC7" w14:textId="77777777">
                  <w:pPr>
                    <w:pStyle w:val="Tabletext"/>
                    <w:keepNext/>
                  </w:pPr>
                </w:p>
              </w:tc>
              <w:tc>
                <w:tcPr>
                  <w:tcW w:w="1418" w:type="dxa"/>
                  <w:tcBorders>
                    <w:bottom w:val="dashed" w:sz="4" w:space="0" w:color="auto"/>
                  </w:tcBorders>
                  <w:shd w:val="clear" w:color="auto" w:fill="FF6600"/>
                </w:tcPr>
                <w:p w14:paraId="6B61143A" w14:textId="77777777">
                  <w:pPr>
                    <w:pStyle w:val="Tabletext"/>
                    <w:keepNext/>
                    <w:jc w:val="center"/>
                    <w:rPr>
                      <w:i/>
                      <w:iCs/>
                      <w:noProof/>
                    </w:rPr>
                  </w:pPr>
                </w:p>
              </w:tc>
              <w:tc>
                <w:tcPr>
                  <w:tcW w:w="284" w:type="dxa"/>
                  <w:tcBorders>
                    <w:bottom w:val="dashed" w:sz="4" w:space="0" w:color="auto"/>
                    <w:right w:val="single" w:sz="4" w:space="0" w:color="auto"/>
                  </w:tcBorders>
                  <w:shd w:val="clear" w:color="auto" w:fill="FF6600"/>
                </w:tcPr>
                <w:p w14:paraId="0651F068" w14:textId="77777777">
                  <w:pPr>
                    <w:pStyle w:val="Tabletext"/>
                    <w:keepNext/>
                    <w:jc w:val="center"/>
                  </w:pPr>
                </w:p>
              </w:tc>
              <w:tc>
                <w:tcPr>
                  <w:tcW w:w="284" w:type="dxa"/>
                  <w:tcBorders>
                    <w:left w:val="single" w:sz="4" w:space="0" w:color="auto"/>
                    <w:right w:val="single" w:sz="4" w:space="0" w:color="auto"/>
                  </w:tcBorders>
                  <w:shd w:val="clear" w:color="auto" w:fill="00B0F0"/>
                </w:tcPr>
                <w:p w14:paraId="108078A9" w14:textId="77777777">
                  <w:pPr>
                    <w:pStyle w:val="Tabletext"/>
                    <w:keepNext/>
                  </w:pPr>
                </w:p>
              </w:tc>
              <w:tc>
                <w:tcPr>
                  <w:tcW w:w="284" w:type="dxa"/>
                  <w:tcBorders>
                    <w:left w:val="single" w:sz="4" w:space="0" w:color="auto"/>
                    <w:right w:val="double" w:sz="4" w:space="0" w:color="auto"/>
                  </w:tcBorders>
                  <w:shd w:val="clear" w:color="auto" w:fill="CCFFCC"/>
                </w:tcPr>
                <w:p w14:paraId="2BA1ABAF" w14:textId="77777777">
                  <w:pPr>
                    <w:pStyle w:val="Tabletext"/>
                    <w:keepNext/>
                  </w:pPr>
                </w:p>
              </w:tc>
              <w:tc>
                <w:tcPr>
                  <w:tcW w:w="284" w:type="dxa"/>
                  <w:tcBorders>
                    <w:left w:val="double" w:sz="4" w:space="0" w:color="auto"/>
                    <w:right w:val="double" w:sz="12" w:space="0" w:color="auto"/>
                  </w:tcBorders>
                  <w:shd w:val="clear" w:color="auto" w:fill="92D050"/>
                </w:tcPr>
                <w:p w14:paraId="74442C91" w14:textId="77777777">
                  <w:pPr>
                    <w:pStyle w:val="Tabletext"/>
                    <w:keepNext/>
                  </w:pPr>
                </w:p>
              </w:tc>
            </w:tr>
            <w:tr w14:paraId="307BF9B9" w14:textId="77777777">
              <w:trPr>
                <w:trHeight w:hRule="exact" w:val="113"/>
                <w:jc w:val="center"/>
              </w:trPr>
              <w:tc>
                <w:tcPr>
                  <w:tcW w:w="284" w:type="dxa"/>
                  <w:tcBorders>
                    <w:left w:val="double" w:sz="12" w:space="0" w:color="auto"/>
                    <w:right w:val="double" w:sz="4" w:space="0" w:color="auto"/>
                  </w:tcBorders>
                  <w:shd w:val="clear" w:color="auto" w:fill="92D050"/>
                </w:tcPr>
                <w:p w14:paraId="0E3A20A2" w14:textId="77777777">
                  <w:pPr>
                    <w:pStyle w:val="Tabletext"/>
                    <w:keepNext/>
                  </w:pPr>
                </w:p>
              </w:tc>
              <w:tc>
                <w:tcPr>
                  <w:tcW w:w="284" w:type="dxa"/>
                  <w:tcBorders>
                    <w:left w:val="double" w:sz="4" w:space="0" w:color="auto"/>
                    <w:right w:val="single" w:sz="4" w:space="0" w:color="auto"/>
                  </w:tcBorders>
                  <w:shd w:val="clear" w:color="auto" w:fill="CCFFCC"/>
                </w:tcPr>
                <w:p w14:paraId="670297ED" w14:textId="77777777">
                  <w:pPr>
                    <w:pStyle w:val="Tabletext"/>
                    <w:keepNext/>
                  </w:pPr>
                </w:p>
              </w:tc>
              <w:tc>
                <w:tcPr>
                  <w:tcW w:w="284" w:type="dxa"/>
                  <w:tcBorders>
                    <w:left w:val="single" w:sz="4" w:space="0" w:color="auto"/>
                    <w:right w:val="single" w:sz="4" w:space="0" w:color="auto"/>
                  </w:tcBorders>
                  <w:shd w:val="clear" w:color="auto" w:fill="00B0F0"/>
                </w:tcPr>
                <w:p w14:paraId="698B5E53" w14:textId="77777777">
                  <w:pPr>
                    <w:pStyle w:val="Tabletext"/>
                    <w:keepNext/>
                  </w:pPr>
                </w:p>
              </w:tc>
              <w:tc>
                <w:tcPr>
                  <w:tcW w:w="2835" w:type="dxa"/>
                  <w:vMerge w:val="restart"/>
                  <w:tcBorders>
                    <w:top w:val="dashed" w:sz="4" w:space="0" w:color="auto"/>
                    <w:left w:val="single" w:sz="4" w:space="0" w:color="auto"/>
                  </w:tcBorders>
                  <w:shd w:val="clear" w:color="auto" w:fill="FF6600"/>
                </w:tcPr>
                <w:p w14:paraId="22AE8054" w14:textId="77777777">
                  <w:pPr>
                    <w:pStyle w:val="Tabletext"/>
                    <w:keepNext/>
                  </w:pPr>
                  <w:r>
                    <w:t>&lt;line d&gt; contains</w:t>
                  </w:r>
                </w:p>
              </w:tc>
              <w:tc>
                <w:tcPr>
                  <w:tcW w:w="1418" w:type="dxa"/>
                  <w:tcBorders>
                    <w:top w:val="dashed" w:sz="4" w:space="0" w:color="auto"/>
                  </w:tcBorders>
                  <w:shd w:val="clear" w:color="auto" w:fill="FF6600"/>
                </w:tcPr>
                <w:p w14:paraId="1B7DD8C1" w14:textId="77777777">
                  <w:pPr>
                    <w:pStyle w:val="Tabletext"/>
                    <w:keepNext/>
                    <w:jc w:val="center"/>
                    <w:rPr>
                      <w:i/>
                      <w:iCs/>
                      <w:noProof/>
                    </w:rPr>
                  </w:pPr>
                </w:p>
              </w:tc>
              <w:tc>
                <w:tcPr>
                  <w:tcW w:w="284" w:type="dxa"/>
                  <w:tcBorders>
                    <w:top w:val="dashed" w:sz="4" w:space="0" w:color="auto"/>
                    <w:right w:val="single" w:sz="4" w:space="0" w:color="auto"/>
                  </w:tcBorders>
                  <w:shd w:val="clear" w:color="auto" w:fill="FF6600"/>
                </w:tcPr>
                <w:p w14:paraId="45F12D78" w14:textId="77777777">
                  <w:pPr>
                    <w:pStyle w:val="Tabletext"/>
                    <w:keepNext/>
                    <w:jc w:val="center"/>
                  </w:pPr>
                </w:p>
              </w:tc>
              <w:tc>
                <w:tcPr>
                  <w:tcW w:w="284" w:type="dxa"/>
                  <w:tcBorders>
                    <w:left w:val="single" w:sz="4" w:space="0" w:color="auto"/>
                    <w:right w:val="single" w:sz="4" w:space="0" w:color="auto"/>
                  </w:tcBorders>
                  <w:shd w:val="clear" w:color="auto" w:fill="00B0F0"/>
                </w:tcPr>
                <w:p w14:paraId="506A27C3" w14:textId="77777777">
                  <w:pPr>
                    <w:pStyle w:val="Tabletext"/>
                    <w:keepNext/>
                  </w:pPr>
                </w:p>
              </w:tc>
              <w:tc>
                <w:tcPr>
                  <w:tcW w:w="284" w:type="dxa"/>
                  <w:tcBorders>
                    <w:left w:val="single" w:sz="4" w:space="0" w:color="auto"/>
                    <w:right w:val="double" w:sz="4" w:space="0" w:color="auto"/>
                  </w:tcBorders>
                  <w:shd w:val="clear" w:color="auto" w:fill="CCFFCC"/>
                </w:tcPr>
                <w:p w14:paraId="13845582" w14:textId="77777777">
                  <w:pPr>
                    <w:pStyle w:val="Tabletext"/>
                    <w:keepNext/>
                  </w:pPr>
                </w:p>
              </w:tc>
              <w:tc>
                <w:tcPr>
                  <w:tcW w:w="284" w:type="dxa"/>
                  <w:tcBorders>
                    <w:left w:val="double" w:sz="4" w:space="0" w:color="auto"/>
                    <w:right w:val="double" w:sz="12" w:space="0" w:color="auto"/>
                  </w:tcBorders>
                  <w:shd w:val="clear" w:color="auto" w:fill="92D050"/>
                </w:tcPr>
                <w:p w14:paraId="56D124C2" w14:textId="77777777">
                  <w:pPr>
                    <w:pStyle w:val="Tabletext"/>
                    <w:keepNext/>
                  </w:pPr>
                </w:p>
              </w:tc>
            </w:tr>
            <w:tr w14:paraId="11409665" w14:textId="77777777">
              <w:trPr>
                <w:trHeight w:hRule="exact" w:val="284"/>
                <w:jc w:val="center"/>
              </w:trPr>
              <w:tc>
                <w:tcPr>
                  <w:tcW w:w="284" w:type="dxa"/>
                  <w:tcBorders>
                    <w:left w:val="double" w:sz="12" w:space="0" w:color="auto"/>
                    <w:right w:val="double" w:sz="4" w:space="0" w:color="auto"/>
                  </w:tcBorders>
                  <w:shd w:val="clear" w:color="auto" w:fill="92D050"/>
                </w:tcPr>
                <w:p w14:paraId="1F28007B" w14:textId="77777777">
                  <w:pPr>
                    <w:pStyle w:val="Tabletext"/>
                    <w:keepNext/>
                  </w:pPr>
                </w:p>
              </w:tc>
              <w:tc>
                <w:tcPr>
                  <w:tcW w:w="284" w:type="dxa"/>
                  <w:tcBorders>
                    <w:left w:val="double" w:sz="4" w:space="0" w:color="auto"/>
                    <w:right w:val="single" w:sz="4" w:space="0" w:color="auto"/>
                  </w:tcBorders>
                  <w:shd w:val="clear" w:color="auto" w:fill="CCFFCC"/>
                </w:tcPr>
                <w:p w14:paraId="5CA73317" w14:textId="77777777">
                  <w:pPr>
                    <w:pStyle w:val="Tabletext"/>
                    <w:keepNext/>
                  </w:pPr>
                </w:p>
              </w:tc>
              <w:tc>
                <w:tcPr>
                  <w:tcW w:w="284" w:type="dxa"/>
                  <w:tcBorders>
                    <w:left w:val="single" w:sz="4" w:space="0" w:color="auto"/>
                    <w:right w:val="single" w:sz="4" w:space="0" w:color="auto"/>
                  </w:tcBorders>
                  <w:shd w:val="clear" w:color="auto" w:fill="00B0F0"/>
                </w:tcPr>
                <w:p w14:paraId="155FF357" w14:textId="77777777">
                  <w:pPr>
                    <w:pStyle w:val="Tabletext"/>
                    <w:keepNext/>
                  </w:pPr>
                </w:p>
              </w:tc>
              <w:tc>
                <w:tcPr>
                  <w:tcW w:w="2835" w:type="dxa"/>
                  <w:vMerge/>
                  <w:tcBorders>
                    <w:left w:val="single" w:sz="4" w:space="0" w:color="auto"/>
                  </w:tcBorders>
                  <w:shd w:val="clear" w:color="auto" w:fill="FF6600"/>
                </w:tcPr>
                <w:p w14:paraId="1D071F5C" w14:textId="77777777">
                  <w:pPr>
                    <w:pStyle w:val="Tabletext"/>
                    <w:keepNext/>
                  </w:pPr>
                </w:p>
              </w:tc>
              <w:tc>
                <w:tcPr>
                  <w:tcW w:w="1418" w:type="dxa"/>
                  <w:shd w:val="clear" w:color="auto" w:fill="FFFF00"/>
                </w:tcPr>
                <w:p w14:paraId="354ABC3A" w14:textId="77777777">
                  <w:pPr>
                    <w:pStyle w:val="Tabletext"/>
                    <w:keepNext/>
                    <w:jc w:val="center"/>
                    <w:rPr>
                      <w:i/>
                      <w:iCs/>
                      <w:noProof/>
                    </w:rPr>
                  </w:pPr>
                  <w:r>
                    <w:rPr>
                      <w:i/>
                      <w:iCs/>
                      <w:noProof/>
                    </w:rPr>
                    <w:t>… text pqr…</w:t>
                  </w:r>
                </w:p>
              </w:tc>
              <w:tc>
                <w:tcPr>
                  <w:tcW w:w="284" w:type="dxa"/>
                  <w:tcBorders>
                    <w:right w:val="single" w:sz="4" w:space="0" w:color="auto"/>
                  </w:tcBorders>
                  <w:shd w:val="clear" w:color="auto" w:fill="FF6600"/>
                </w:tcPr>
                <w:p w14:paraId="0F23D291" w14:textId="77777777">
                  <w:pPr>
                    <w:pStyle w:val="Tabletext"/>
                    <w:keepNext/>
                    <w:jc w:val="center"/>
                  </w:pPr>
                </w:p>
              </w:tc>
              <w:tc>
                <w:tcPr>
                  <w:tcW w:w="284" w:type="dxa"/>
                  <w:tcBorders>
                    <w:left w:val="single" w:sz="4" w:space="0" w:color="auto"/>
                    <w:right w:val="single" w:sz="4" w:space="0" w:color="auto"/>
                  </w:tcBorders>
                  <w:shd w:val="clear" w:color="auto" w:fill="00B0F0"/>
                </w:tcPr>
                <w:p w14:paraId="6C51C1D1" w14:textId="77777777">
                  <w:pPr>
                    <w:pStyle w:val="Tabletext"/>
                    <w:keepNext/>
                  </w:pPr>
                </w:p>
              </w:tc>
              <w:tc>
                <w:tcPr>
                  <w:tcW w:w="284" w:type="dxa"/>
                  <w:tcBorders>
                    <w:left w:val="single" w:sz="4" w:space="0" w:color="auto"/>
                    <w:right w:val="double" w:sz="4" w:space="0" w:color="auto"/>
                  </w:tcBorders>
                  <w:shd w:val="clear" w:color="auto" w:fill="CCFFCC"/>
                </w:tcPr>
                <w:p w14:paraId="17855129" w14:textId="77777777">
                  <w:pPr>
                    <w:pStyle w:val="Tabletext"/>
                    <w:keepNext/>
                  </w:pPr>
                </w:p>
              </w:tc>
              <w:tc>
                <w:tcPr>
                  <w:tcW w:w="284" w:type="dxa"/>
                  <w:tcBorders>
                    <w:left w:val="double" w:sz="4" w:space="0" w:color="auto"/>
                    <w:right w:val="double" w:sz="12" w:space="0" w:color="auto"/>
                  </w:tcBorders>
                  <w:shd w:val="clear" w:color="auto" w:fill="92D050"/>
                </w:tcPr>
                <w:p w14:paraId="70874A76" w14:textId="77777777">
                  <w:pPr>
                    <w:pStyle w:val="Tabletext"/>
                    <w:keepNext/>
                  </w:pPr>
                </w:p>
              </w:tc>
            </w:tr>
            <w:tr w14:paraId="779D4331" w14:textId="77777777">
              <w:trPr>
                <w:trHeight w:hRule="exact" w:val="113"/>
                <w:jc w:val="center"/>
              </w:trPr>
              <w:tc>
                <w:tcPr>
                  <w:tcW w:w="284" w:type="dxa"/>
                  <w:tcBorders>
                    <w:left w:val="double" w:sz="12" w:space="0" w:color="auto"/>
                    <w:right w:val="double" w:sz="4" w:space="0" w:color="auto"/>
                  </w:tcBorders>
                  <w:shd w:val="clear" w:color="auto" w:fill="92D050"/>
                </w:tcPr>
                <w:p w14:paraId="75D6482D" w14:textId="77777777">
                  <w:pPr>
                    <w:pStyle w:val="Tabletext"/>
                    <w:keepNext/>
                  </w:pPr>
                </w:p>
              </w:tc>
              <w:tc>
                <w:tcPr>
                  <w:tcW w:w="284" w:type="dxa"/>
                  <w:tcBorders>
                    <w:left w:val="double" w:sz="4" w:space="0" w:color="auto"/>
                    <w:right w:val="single" w:sz="4" w:space="0" w:color="auto"/>
                  </w:tcBorders>
                  <w:shd w:val="clear" w:color="auto" w:fill="CCFFCC"/>
                </w:tcPr>
                <w:p w14:paraId="389BDBFC" w14:textId="77777777">
                  <w:pPr>
                    <w:pStyle w:val="Tabletext"/>
                    <w:keepNext/>
                  </w:pPr>
                </w:p>
              </w:tc>
              <w:tc>
                <w:tcPr>
                  <w:tcW w:w="284" w:type="dxa"/>
                  <w:tcBorders>
                    <w:left w:val="single" w:sz="4" w:space="0" w:color="auto"/>
                    <w:right w:val="single" w:sz="4" w:space="0" w:color="auto"/>
                  </w:tcBorders>
                  <w:shd w:val="clear" w:color="auto" w:fill="00B0F0"/>
                </w:tcPr>
                <w:p w14:paraId="4E533347" w14:textId="77777777">
                  <w:pPr>
                    <w:pStyle w:val="Tabletext"/>
                    <w:keepNext/>
                  </w:pPr>
                </w:p>
              </w:tc>
              <w:tc>
                <w:tcPr>
                  <w:tcW w:w="2835" w:type="dxa"/>
                  <w:tcBorders>
                    <w:left w:val="single" w:sz="4" w:space="0" w:color="auto"/>
                    <w:bottom w:val="single" w:sz="4" w:space="0" w:color="auto"/>
                  </w:tcBorders>
                  <w:shd w:val="clear" w:color="auto" w:fill="FF6600"/>
                </w:tcPr>
                <w:p w14:paraId="68E317BD" w14:textId="77777777">
                  <w:pPr>
                    <w:pStyle w:val="Tabletext"/>
                    <w:keepNext/>
                  </w:pPr>
                </w:p>
              </w:tc>
              <w:tc>
                <w:tcPr>
                  <w:tcW w:w="1418" w:type="dxa"/>
                  <w:tcBorders>
                    <w:bottom w:val="single" w:sz="4" w:space="0" w:color="auto"/>
                  </w:tcBorders>
                  <w:shd w:val="clear" w:color="auto" w:fill="FF6600"/>
                </w:tcPr>
                <w:p w14:paraId="6B128B8B" w14:textId="77777777">
                  <w:pPr>
                    <w:pStyle w:val="Tabletext"/>
                    <w:keepNext/>
                    <w:jc w:val="center"/>
                    <w:rPr>
                      <w:i/>
                      <w:iCs/>
                      <w:noProof/>
                    </w:rPr>
                  </w:pPr>
                </w:p>
              </w:tc>
              <w:tc>
                <w:tcPr>
                  <w:tcW w:w="284" w:type="dxa"/>
                  <w:tcBorders>
                    <w:bottom w:val="single" w:sz="4" w:space="0" w:color="auto"/>
                    <w:right w:val="single" w:sz="4" w:space="0" w:color="auto"/>
                  </w:tcBorders>
                  <w:shd w:val="clear" w:color="auto" w:fill="FF6600"/>
                </w:tcPr>
                <w:p w14:paraId="41804430" w14:textId="77777777">
                  <w:pPr>
                    <w:pStyle w:val="Tabletext"/>
                    <w:keepNext/>
                    <w:jc w:val="center"/>
                  </w:pPr>
                </w:p>
              </w:tc>
              <w:tc>
                <w:tcPr>
                  <w:tcW w:w="284" w:type="dxa"/>
                  <w:tcBorders>
                    <w:left w:val="single" w:sz="4" w:space="0" w:color="auto"/>
                    <w:right w:val="single" w:sz="4" w:space="0" w:color="auto"/>
                  </w:tcBorders>
                  <w:shd w:val="clear" w:color="auto" w:fill="00B0F0"/>
                </w:tcPr>
                <w:p w14:paraId="70C4C678" w14:textId="77777777">
                  <w:pPr>
                    <w:pStyle w:val="Tabletext"/>
                    <w:keepNext/>
                  </w:pPr>
                </w:p>
              </w:tc>
              <w:tc>
                <w:tcPr>
                  <w:tcW w:w="284" w:type="dxa"/>
                  <w:tcBorders>
                    <w:left w:val="single" w:sz="4" w:space="0" w:color="auto"/>
                    <w:right w:val="double" w:sz="4" w:space="0" w:color="auto"/>
                  </w:tcBorders>
                  <w:shd w:val="clear" w:color="auto" w:fill="CCFFCC"/>
                </w:tcPr>
                <w:p w14:paraId="47FECC0D" w14:textId="77777777">
                  <w:pPr>
                    <w:pStyle w:val="Tabletext"/>
                    <w:keepNext/>
                  </w:pPr>
                </w:p>
              </w:tc>
              <w:tc>
                <w:tcPr>
                  <w:tcW w:w="284" w:type="dxa"/>
                  <w:tcBorders>
                    <w:left w:val="double" w:sz="4" w:space="0" w:color="auto"/>
                    <w:right w:val="double" w:sz="12" w:space="0" w:color="auto"/>
                  </w:tcBorders>
                  <w:shd w:val="clear" w:color="auto" w:fill="92D050"/>
                </w:tcPr>
                <w:p w14:paraId="14E6DC47" w14:textId="77777777">
                  <w:pPr>
                    <w:pStyle w:val="Tabletext"/>
                    <w:keepNext/>
                  </w:pPr>
                </w:p>
              </w:tc>
            </w:tr>
            <w:tr w14:paraId="75619CAA" w14:textId="77777777">
              <w:trPr>
                <w:trHeight w:hRule="exact" w:val="284"/>
                <w:jc w:val="center"/>
              </w:trPr>
              <w:tc>
                <w:tcPr>
                  <w:tcW w:w="284" w:type="dxa"/>
                  <w:tcBorders>
                    <w:left w:val="double" w:sz="12" w:space="0" w:color="auto"/>
                    <w:right w:val="double" w:sz="4" w:space="0" w:color="auto"/>
                  </w:tcBorders>
                  <w:shd w:val="clear" w:color="auto" w:fill="92D050"/>
                </w:tcPr>
                <w:p w14:paraId="67279FDE" w14:textId="77777777">
                  <w:pPr>
                    <w:pStyle w:val="Tabletext"/>
                    <w:keepNext/>
                  </w:pPr>
                </w:p>
              </w:tc>
              <w:tc>
                <w:tcPr>
                  <w:tcW w:w="284" w:type="dxa"/>
                  <w:tcBorders>
                    <w:left w:val="double" w:sz="4" w:space="0" w:color="auto"/>
                    <w:right w:val="single" w:sz="4" w:space="0" w:color="auto"/>
                  </w:tcBorders>
                  <w:shd w:val="clear" w:color="auto" w:fill="CCFFCC"/>
                </w:tcPr>
                <w:p w14:paraId="762CE53B" w14:textId="77777777">
                  <w:pPr>
                    <w:pStyle w:val="Tabletext"/>
                    <w:keepNext/>
                  </w:pPr>
                </w:p>
              </w:tc>
              <w:tc>
                <w:tcPr>
                  <w:tcW w:w="284" w:type="dxa"/>
                  <w:tcBorders>
                    <w:left w:val="single" w:sz="4" w:space="0" w:color="auto"/>
                    <w:bottom w:val="single" w:sz="4" w:space="0" w:color="auto"/>
                  </w:tcBorders>
                  <w:shd w:val="clear" w:color="auto" w:fill="00B0F0"/>
                </w:tcPr>
                <w:p w14:paraId="3363039E" w14:textId="77777777">
                  <w:pPr>
                    <w:pStyle w:val="Tabletext"/>
                    <w:keepNext/>
                  </w:pPr>
                </w:p>
              </w:tc>
              <w:tc>
                <w:tcPr>
                  <w:tcW w:w="2835" w:type="dxa"/>
                  <w:tcBorders>
                    <w:top w:val="single" w:sz="4" w:space="0" w:color="auto"/>
                    <w:bottom w:val="single" w:sz="4" w:space="0" w:color="auto"/>
                  </w:tcBorders>
                  <w:shd w:val="clear" w:color="auto" w:fill="00B0F0"/>
                </w:tcPr>
                <w:p w14:paraId="788E8F8C" w14:textId="77777777">
                  <w:pPr>
                    <w:pStyle w:val="Tabletext"/>
                    <w:keepNext/>
                  </w:pPr>
                </w:p>
              </w:tc>
              <w:tc>
                <w:tcPr>
                  <w:tcW w:w="1418" w:type="dxa"/>
                  <w:tcBorders>
                    <w:top w:val="single" w:sz="4" w:space="0" w:color="auto"/>
                    <w:bottom w:val="single" w:sz="4" w:space="0" w:color="auto"/>
                  </w:tcBorders>
                  <w:shd w:val="clear" w:color="auto" w:fill="00B0F0"/>
                </w:tcPr>
                <w:p w14:paraId="1025F52F" w14:textId="77777777">
                  <w:pPr>
                    <w:pStyle w:val="Tabletext"/>
                    <w:keepNext/>
                    <w:jc w:val="center"/>
                    <w:rPr>
                      <w:i/>
                      <w:iCs/>
                      <w:noProof/>
                    </w:rPr>
                  </w:pPr>
                </w:p>
              </w:tc>
              <w:tc>
                <w:tcPr>
                  <w:tcW w:w="284" w:type="dxa"/>
                  <w:tcBorders>
                    <w:top w:val="single" w:sz="4" w:space="0" w:color="auto"/>
                    <w:bottom w:val="single" w:sz="4" w:space="0" w:color="auto"/>
                  </w:tcBorders>
                  <w:shd w:val="clear" w:color="auto" w:fill="00B0F0"/>
                </w:tcPr>
                <w:p w14:paraId="1B3BC15A" w14:textId="77777777">
                  <w:pPr>
                    <w:pStyle w:val="Tabletext"/>
                    <w:keepNext/>
                    <w:jc w:val="center"/>
                  </w:pPr>
                </w:p>
              </w:tc>
              <w:tc>
                <w:tcPr>
                  <w:tcW w:w="284" w:type="dxa"/>
                  <w:tcBorders>
                    <w:bottom w:val="single" w:sz="4" w:space="0" w:color="auto"/>
                    <w:right w:val="single" w:sz="4" w:space="0" w:color="auto"/>
                  </w:tcBorders>
                  <w:shd w:val="clear" w:color="auto" w:fill="00B0F0"/>
                </w:tcPr>
                <w:p w14:paraId="5E7552CA" w14:textId="77777777">
                  <w:pPr>
                    <w:pStyle w:val="Tabletext"/>
                    <w:keepNext/>
                  </w:pPr>
                </w:p>
              </w:tc>
              <w:tc>
                <w:tcPr>
                  <w:tcW w:w="284" w:type="dxa"/>
                  <w:tcBorders>
                    <w:left w:val="single" w:sz="4" w:space="0" w:color="auto"/>
                    <w:right w:val="double" w:sz="4" w:space="0" w:color="auto"/>
                  </w:tcBorders>
                  <w:shd w:val="clear" w:color="auto" w:fill="CCFFCC"/>
                </w:tcPr>
                <w:p w14:paraId="55F5F8F5" w14:textId="77777777">
                  <w:pPr>
                    <w:pStyle w:val="Tabletext"/>
                    <w:keepNext/>
                  </w:pPr>
                </w:p>
              </w:tc>
              <w:tc>
                <w:tcPr>
                  <w:tcW w:w="284" w:type="dxa"/>
                  <w:tcBorders>
                    <w:left w:val="double" w:sz="4" w:space="0" w:color="auto"/>
                    <w:right w:val="double" w:sz="12" w:space="0" w:color="auto"/>
                  </w:tcBorders>
                  <w:shd w:val="clear" w:color="auto" w:fill="92D050"/>
                </w:tcPr>
                <w:p w14:paraId="585CA638" w14:textId="77777777">
                  <w:pPr>
                    <w:pStyle w:val="Tabletext"/>
                    <w:keepNext/>
                  </w:pPr>
                </w:p>
              </w:tc>
            </w:tr>
            <w:tr w14:paraId="06255CDD" w14:textId="77777777">
              <w:trPr>
                <w:trHeight w:hRule="exact" w:val="284"/>
                <w:jc w:val="center"/>
              </w:trPr>
              <w:tc>
                <w:tcPr>
                  <w:tcW w:w="284" w:type="dxa"/>
                  <w:tcBorders>
                    <w:left w:val="double" w:sz="12" w:space="0" w:color="auto"/>
                    <w:right w:val="double" w:sz="4" w:space="0" w:color="auto"/>
                  </w:tcBorders>
                  <w:shd w:val="clear" w:color="auto" w:fill="92D050"/>
                </w:tcPr>
                <w:p w14:paraId="3CC41C4B" w14:textId="77777777">
                  <w:pPr>
                    <w:pStyle w:val="Tabletext"/>
                    <w:keepNext/>
                  </w:pPr>
                </w:p>
              </w:tc>
              <w:tc>
                <w:tcPr>
                  <w:tcW w:w="284" w:type="dxa"/>
                  <w:tcBorders>
                    <w:left w:val="double" w:sz="4" w:space="0" w:color="auto"/>
                    <w:bottom w:val="double" w:sz="4" w:space="0" w:color="auto"/>
                  </w:tcBorders>
                  <w:shd w:val="clear" w:color="auto" w:fill="CCFFCC"/>
                </w:tcPr>
                <w:p w14:paraId="4A7E50DF" w14:textId="77777777">
                  <w:pPr>
                    <w:pStyle w:val="Tabletext"/>
                    <w:keepNext/>
                  </w:pPr>
                </w:p>
              </w:tc>
              <w:tc>
                <w:tcPr>
                  <w:tcW w:w="284" w:type="dxa"/>
                  <w:tcBorders>
                    <w:top w:val="single" w:sz="4" w:space="0" w:color="auto"/>
                    <w:bottom w:val="double" w:sz="4" w:space="0" w:color="auto"/>
                  </w:tcBorders>
                  <w:shd w:val="clear" w:color="auto" w:fill="CCFFCC"/>
                </w:tcPr>
                <w:p w14:paraId="6AF15CDE" w14:textId="77777777">
                  <w:pPr>
                    <w:pStyle w:val="Tabletext"/>
                    <w:keepNext/>
                  </w:pPr>
                </w:p>
              </w:tc>
              <w:tc>
                <w:tcPr>
                  <w:tcW w:w="2835" w:type="dxa"/>
                  <w:tcBorders>
                    <w:top w:val="single" w:sz="4" w:space="0" w:color="auto"/>
                    <w:bottom w:val="double" w:sz="4" w:space="0" w:color="auto"/>
                  </w:tcBorders>
                  <w:shd w:val="clear" w:color="auto" w:fill="CCFFCC"/>
                </w:tcPr>
                <w:p w14:paraId="48849307" w14:textId="77777777">
                  <w:pPr>
                    <w:pStyle w:val="Tabletext"/>
                    <w:keepNext/>
                  </w:pPr>
                </w:p>
              </w:tc>
              <w:tc>
                <w:tcPr>
                  <w:tcW w:w="1418" w:type="dxa"/>
                  <w:tcBorders>
                    <w:top w:val="single" w:sz="4" w:space="0" w:color="auto"/>
                    <w:bottom w:val="double" w:sz="4" w:space="0" w:color="auto"/>
                  </w:tcBorders>
                  <w:shd w:val="clear" w:color="auto" w:fill="CCFFCC"/>
                </w:tcPr>
                <w:p w14:paraId="2109606A" w14:textId="77777777">
                  <w:pPr>
                    <w:pStyle w:val="Tabletext"/>
                    <w:keepNext/>
                    <w:jc w:val="center"/>
                    <w:rPr>
                      <w:i/>
                      <w:iCs/>
                      <w:noProof/>
                    </w:rPr>
                  </w:pPr>
                </w:p>
              </w:tc>
              <w:tc>
                <w:tcPr>
                  <w:tcW w:w="284" w:type="dxa"/>
                  <w:tcBorders>
                    <w:top w:val="single" w:sz="4" w:space="0" w:color="auto"/>
                    <w:bottom w:val="double" w:sz="4" w:space="0" w:color="auto"/>
                  </w:tcBorders>
                  <w:shd w:val="clear" w:color="auto" w:fill="CCFFCC"/>
                </w:tcPr>
                <w:p w14:paraId="7FC4996C" w14:textId="77777777">
                  <w:pPr>
                    <w:pStyle w:val="Tabletext"/>
                    <w:keepNext/>
                    <w:jc w:val="center"/>
                  </w:pPr>
                </w:p>
              </w:tc>
              <w:tc>
                <w:tcPr>
                  <w:tcW w:w="284" w:type="dxa"/>
                  <w:tcBorders>
                    <w:top w:val="single" w:sz="4" w:space="0" w:color="auto"/>
                    <w:bottom w:val="double" w:sz="4" w:space="0" w:color="auto"/>
                  </w:tcBorders>
                  <w:shd w:val="clear" w:color="auto" w:fill="CCFFCC"/>
                </w:tcPr>
                <w:p w14:paraId="343EB90C" w14:textId="77777777">
                  <w:pPr>
                    <w:pStyle w:val="Tabletext"/>
                    <w:keepNext/>
                  </w:pPr>
                </w:p>
              </w:tc>
              <w:tc>
                <w:tcPr>
                  <w:tcW w:w="284" w:type="dxa"/>
                  <w:tcBorders>
                    <w:bottom w:val="double" w:sz="4" w:space="0" w:color="auto"/>
                    <w:right w:val="double" w:sz="4" w:space="0" w:color="auto"/>
                  </w:tcBorders>
                  <w:shd w:val="clear" w:color="auto" w:fill="CCFFCC"/>
                </w:tcPr>
                <w:p w14:paraId="654DE217" w14:textId="77777777">
                  <w:pPr>
                    <w:pStyle w:val="Tabletext"/>
                    <w:keepNext/>
                  </w:pPr>
                </w:p>
              </w:tc>
              <w:tc>
                <w:tcPr>
                  <w:tcW w:w="284" w:type="dxa"/>
                  <w:tcBorders>
                    <w:left w:val="double" w:sz="4" w:space="0" w:color="auto"/>
                    <w:right w:val="double" w:sz="12" w:space="0" w:color="auto"/>
                  </w:tcBorders>
                  <w:shd w:val="clear" w:color="auto" w:fill="92D050"/>
                </w:tcPr>
                <w:p w14:paraId="77E7794C" w14:textId="77777777">
                  <w:pPr>
                    <w:pStyle w:val="Tabletext"/>
                    <w:keepNext/>
                  </w:pPr>
                </w:p>
              </w:tc>
            </w:tr>
            <w:tr w14:paraId="16C73EA4" w14:textId="77777777">
              <w:trPr>
                <w:trHeight w:hRule="exact" w:val="284"/>
                <w:jc w:val="center"/>
              </w:trPr>
              <w:tc>
                <w:tcPr>
                  <w:tcW w:w="284" w:type="dxa"/>
                  <w:tcBorders>
                    <w:left w:val="double" w:sz="12" w:space="0" w:color="auto"/>
                    <w:right w:val="double" w:sz="4" w:space="0" w:color="auto"/>
                  </w:tcBorders>
                  <w:shd w:val="clear" w:color="auto" w:fill="92D050"/>
                </w:tcPr>
                <w:p w14:paraId="62682E53" w14:textId="77777777">
                  <w:pPr>
                    <w:pStyle w:val="Tabletext"/>
                    <w:keepNext/>
                  </w:pPr>
                </w:p>
              </w:tc>
              <w:tc>
                <w:tcPr>
                  <w:tcW w:w="5673" w:type="dxa"/>
                  <w:gridSpan w:val="7"/>
                  <w:tcBorders>
                    <w:top w:val="double" w:sz="4" w:space="0" w:color="auto"/>
                    <w:left w:val="double" w:sz="4" w:space="0" w:color="auto"/>
                    <w:right w:val="double" w:sz="4" w:space="0" w:color="auto"/>
                  </w:tcBorders>
                  <w:shd w:val="clear" w:color="auto" w:fill="CCFFCC"/>
                </w:tcPr>
                <w:p w14:paraId="51C60E27" w14:textId="77777777">
                  <w:pPr>
                    <w:pStyle w:val="Tabletext"/>
                    <w:keepNext/>
                    <w:rPr>
                      <w:noProof/>
                    </w:rPr>
                  </w:pPr>
                  <w:r>
                    <w:rPr>
                      <w:noProof/>
                    </w:rPr>
                    <w:t>&lt;textpart B&gt; contains</w:t>
                  </w:r>
                </w:p>
              </w:tc>
              <w:tc>
                <w:tcPr>
                  <w:tcW w:w="284" w:type="dxa"/>
                  <w:tcBorders>
                    <w:left w:val="double" w:sz="4" w:space="0" w:color="auto"/>
                    <w:right w:val="double" w:sz="12" w:space="0" w:color="auto"/>
                  </w:tcBorders>
                  <w:shd w:val="clear" w:color="auto" w:fill="92D050"/>
                </w:tcPr>
                <w:p w14:paraId="3619CC81" w14:textId="77777777">
                  <w:pPr>
                    <w:pStyle w:val="Tabletext"/>
                    <w:keepNext/>
                  </w:pPr>
                </w:p>
              </w:tc>
            </w:tr>
            <w:tr w14:paraId="65491606" w14:textId="77777777">
              <w:trPr>
                <w:trHeight w:hRule="exact" w:val="113"/>
                <w:jc w:val="center"/>
              </w:trPr>
              <w:tc>
                <w:tcPr>
                  <w:tcW w:w="284" w:type="dxa"/>
                  <w:tcBorders>
                    <w:left w:val="double" w:sz="12" w:space="0" w:color="auto"/>
                    <w:right w:val="double" w:sz="4" w:space="0" w:color="auto"/>
                  </w:tcBorders>
                  <w:shd w:val="clear" w:color="auto" w:fill="92D050"/>
                </w:tcPr>
                <w:p w14:paraId="74BAE1E2" w14:textId="77777777">
                  <w:pPr>
                    <w:pStyle w:val="Tabletext"/>
                    <w:keepNext/>
                  </w:pPr>
                </w:p>
              </w:tc>
              <w:tc>
                <w:tcPr>
                  <w:tcW w:w="284" w:type="dxa"/>
                  <w:tcBorders>
                    <w:left w:val="double" w:sz="4" w:space="0" w:color="auto"/>
                    <w:right w:val="single" w:sz="4" w:space="0" w:color="auto"/>
                  </w:tcBorders>
                  <w:shd w:val="clear" w:color="auto" w:fill="CCFFCC"/>
                </w:tcPr>
                <w:p w14:paraId="40787FCE"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69CBE078" w14:textId="77777777">
                  <w:pPr>
                    <w:pStyle w:val="Tabletext"/>
                    <w:keepNext/>
                  </w:pPr>
                  <w:r>
                    <w:t>&lt;paragraph&gt; contains</w:t>
                  </w:r>
                </w:p>
              </w:tc>
              <w:tc>
                <w:tcPr>
                  <w:tcW w:w="1418" w:type="dxa"/>
                  <w:tcBorders>
                    <w:top w:val="single" w:sz="4" w:space="0" w:color="auto"/>
                  </w:tcBorders>
                  <w:shd w:val="clear" w:color="auto" w:fill="CC99FF"/>
                </w:tcPr>
                <w:p w14:paraId="4D6F453E" w14:textId="77777777">
                  <w:pPr>
                    <w:pStyle w:val="Tabletext"/>
                    <w:keepNext/>
                    <w:jc w:val="center"/>
                    <w:rPr>
                      <w:i/>
                      <w:iCs/>
                      <w:noProof/>
                    </w:rPr>
                  </w:pPr>
                </w:p>
              </w:tc>
              <w:tc>
                <w:tcPr>
                  <w:tcW w:w="284" w:type="dxa"/>
                  <w:tcBorders>
                    <w:top w:val="single" w:sz="4" w:space="0" w:color="auto"/>
                  </w:tcBorders>
                  <w:shd w:val="clear" w:color="auto" w:fill="CC99FF"/>
                </w:tcPr>
                <w:p w14:paraId="40C039B5" w14:textId="77777777">
                  <w:pPr>
                    <w:pStyle w:val="Tabletext"/>
                    <w:keepNext/>
                    <w:jc w:val="center"/>
                  </w:pPr>
                </w:p>
              </w:tc>
              <w:tc>
                <w:tcPr>
                  <w:tcW w:w="284" w:type="dxa"/>
                  <w:tcBorders>
                    <w:top w:val="single" w:sz="4" w:space="0" w:color="auto"/>
                    <w:right w:val="single" w:sz="4" w:space="0" w:color="auto"/>
                  </w:tcBorders>
                  <w:shd w:val="clear" w:color="auto" w:fill="CC99FF"/>
                </w:tcPr>
                <w:p w14:paraId="2972BAF5" w14:textId="77777777">
                  <w:pPr>
                    <w:pStyle w:val="Tabletext"/>
                    <w:keepNext/>
                  </w:pPr>
                </w:p>
              </w:tc>
              <w:tc>
                <w:tcPr>
                  <w:tcW w:w="284" w:type="dxa"/>
                  <w:tcBorders>
                    <w:left w:val="single" w:sz="4" w:space="0" w:color="auto"/>
                    <w:right w:val="double" w:sz="4" w:space="0" w:color="auto"/>
                  </w:tcBorders>
                  <w:shd w:val="clear" w:color="auto" w:fill="CCFFCC"/>
                </w:tcPr>
                <w:p w14:paraId="317B198E" w14:textId="77777777">
                  <w:pPr>
                    <w:pStyle w:val="Tabletext"/>
                    <w:keepNext/>
                  </w:pPr>
                </w:p>
              </w:tc>
              <w:tc>
                <w:tcPr>
                  <w:tcW w:w="284" w:type="dxa"/>
                  <w:tcBorders>
                    <w:left w:val="double" w:sz="4" w:space="0" w:color="auto"/>
                    <w:right w:val="double" w:sz="12" w:space="0" w:color="auto"/>
                  </w:tcBorders>
                  <w:shd w:val="clear" w:color="auto" w:fill="92D050"/>
                </w:tcPr>
                <w:p w14:paraId="5A901A2D" w14:textId="77777777">
                  <w:pPr>
                    <w:pStyle w:val="Tabletext"/>
                    <w:keepNext/>
                  </w:pPr>
                </w:p>
              </w:tc>
            </w:tr>
            <w:tr w14:paraId="668D013A" w14:textId="77777777">
              <w:trPr>
                <w:trHeight w:hRule="exact" w:val="284"/>
                <w:jc w:val="center"/>
              </w:trPr>
              <w:tc>
                <w:tcPr>
                  <w:tcW w:w="284" w:type="dxa"/>
                  <w:tcBorders>
                    <w:left w:val="double" w:sz="12" w:space="0" w:color="auto"/>
                    <w:right w:val="double" w:sz="4" w:space="0" w:color="auto"/>
                  </w:tcBorders>
                  <w:shd w:val="clear" w:color="auto" w:fill="92D050"/>
                </w:tcPr>
                <w:p w14:paraId="3FDED0AD" w14:textId="77777777">
                  <w:pPr>
                    <w:pStyle w:val="Tabletext"/>
                    <w:keepNext/>
                  </w:pPr>
                </w:p>
              </w:tc>
              <w:tc>
                <w:tcPr>
                  <w:tcW w:w="284" w:type="dxa"/>
                  <w:tcBorders>
                    <w:left w:val="double" w:sz="4" w:space="0" w:color="auto"/>
                    <w:right w:val="single" w:sz="4" w:space="0" w:color="auto"/>
                  </w:tcBorders>
                  <w:shd w:val="clear" w:color="auto" w:fill="CCFFCC"/>
                </w:tcPr>
                <w:p w14:paraId="61F85749" w14:textId="77777777">
                  <w:pPr>
                    <w:pStyle w:val="Tabletext"/>
                    <w:keepNext/>
                  </w:pPr>
                </w:p>
              </w:tc>
              <w:tc>
                <w:tcPr>
                  <w:tcW w:w="3119" w:type="dxa"/>
                  <w:gridSpan w:val="2"/>
                  <w:vMerge/>
                  <w:tcBorders>
                    <w:left w:val="single" w:sz="4" w:space="0" w:color="auto"/>
                  </w:tcBorders>
                  <w:shd w:val="clear" w:color="auto" w:fill="CC99FF"/>
                </w:tcPr>
                <w:p w14:paraId="0F396E94" w14:textId="77777777">
                  <w:pPr>
                    <w:pStyle w:val="Tabletext"/>
                    <w:keepNext/>
                  </w:pPr>
                </w:p>
              </w:tc>
              <w:tc>
                <w:tcPr>
                  <w:tcW w:w="1418" w:type="dxa"/>
                  <w:shd w:val="clear" w:color="auto" w:fill="FFFF00"/>
                </w:tcPr>
                <w:p w14:paraId="2953DC30" w14:textId="77777777">
                  <w:pPr>
                    <w:pStyle w:val="Tabletext"/>
                    <w:keepNext/>
                    <w:jc w:val="center"/>
                    <w:rPr>
                      <w:i/>
                      <w:iCs/>
                      <w:noProof/>
                    </w:rPr>
                  </w:pPr>
                  <w:r>
                    <w:rPr>
                      <w:i/>
                      <w:iCs/>
                      <w:noProof/>
                    </w:rPr>
                    <w:t>… text stu…</w:t>
                  </w:r>
                </w:p>
              </w:tc>
              <w:tc>
                <w:tcPr>
                  <w:tcW w:w="284" w:type="dxa"/>
                  <w:shd w:val="clear" w:color="auto" w:fill="CC99FF"/>
                </w:tcPr>
                <w:p w14:paraId="1132EEAA" w14:textId="77777777">
                  <w:pPr>
                    <w:pStyle w:val="Tabletext"/>
                    <w:keepNext/>
                    <w:jc w:val="center"/>
                  </w:pPr>
                </w:p>
              </w:tc>
              <w:tc>
                <w:tcPr>
                  <w:tcW w:w="284" w:type="dxa"/>
                  <w:tcBorders>
                    <w:right w:val="single" w:sz="4" w:space="0" w:color="auto"/>
                  </w:tcBorders>
                  <w:shd w:val="clear" w:color="auto" w:fill="CC99FF"/>
                </w:tcPr>
                <w:p w14:paraId="69FA9F56" w14:textId="77777777">
                  <w:pPr>
                    <w:pStyle w:val="Tabletext"/>
                    <w:keepNext/>
                  </w:pPr>
                </w:p>
              </w:tc>
              <w:tc>
                <w:tcPr>
                  <w:tcW w:w="284" w:type="dxa"/>
                  <w:tcBorders>
                    <w:left w:val="single" w:sz="4" w:space="0" w:color="auto"/>
                    <w:right w:val="double" w:sz="4" w:space="0" w:color="auto"/>
                  </w:tcBorders>
                  <w:shd w:val="clear" w:color="auto" w:fill="CCFFCC"/>
                </w:tcPr>
                <w:p w14:paraId="4EBF8D31" w14:textId="77777777">
                  <w:pPr>
                    <w:pStyle w:val="Tabletext"/>
                    <w:keepNext/>
                  </w:pPr>
                </w:p>
              </w:tc>
              <w:tc>
                <w:tcPr>
                  <w:tcW w:w="284" w:type="dxa"/>
                  <w:tcBorders>
                    <w:left w:val="double" w:sz="4" w:space="0" w:color="auto"/>
                    <w:right w:val="double" w:sz="12" w:space="0" w:color="auto"/>
                  </w:tcBorders>
                  <w:shd w:val="clear" w:color="auto" w:fill="92D050"/>
                </w:tcPr>
                <w:p w14:paraId="259880AC" w14:textId="77777777">
                  <w:pPr>
                    <w:pStyle w:val="Tabletext"/>
                    <w:keepNext/>
                  </w:pPr>
                </w:p>
              </w:tc>
            </w:tr>
            <w:tr w14:paraId="07B8EBE9" w14:textId="77777777">
              <w:trPr>
                <w:trHeight w:hRule="exact" w:val="113"/>
                <w:jc w:val="center"/>
              </w:trPr>
              <w:tc>
                <w:tcPr>
                  <w:tcW w:w="284" w:type="dxa"/>
                  <w:tcBorders>
                    <w:left w:val="double" w:sz="12" w:space="0" w:color="auto"/>
                    <w:right w:val="double" w:sz="4" w:space="0" w:color="auto"/>
                  </w:tcBorders>
                  <w:shd w:val="clear" w:color="auto" w:fill="92D050"/>
                </w:tcPr>
                <w:p w14:paraId="4A74F77E" w14:textId="77777777">
                  <w:pPr>
                    <w:pStyle w:val="Tabletext"/>
                    <w:keepNext/>
                  </w:pPr>
                </w:p>
              </w:tc>
              <w:tc>
                <w:tcPr>
                  <w:tcW w:w="284" w:type="dxa"/>
                  <w:tcBorders>
                    <w:left w:val="double" w:sz="4" w:space="0" w:color="auto"/>
                    <w:right w:val="single" w:sz="4" w:space="0" w:color="auto"/>
                  </w:tcBorders>
                  <w:shd w:val="clear" w:color="auto" w:fill="CCFFCC"/>
                </w:tcPr>
                <w:p w14:paraId="04478C6C" w14:textId="77777777">
                  <w:pPr>
                    <w:pStyle w:val="Tabletext"/>
                    <w:keepNext/>
                  </w:pPr>
                </w:p>
              </w:tc>
              <w:tc>
                <w:tcPr>
                  <w:tcW w:w="3119" w:type="dxa"/>
                  <w:gridSpan w:val="2"/>
                  <w:tcBorders>
                    <w:left w:val="single" w:sz="4" w:space="0" w:color="auto"/>
                    <w:bottom w:val="single" w:sz="4" w:space="0" w:color="auto"/>
                  </w:tcBorders>
                  <w:shd w:val="clear" w:color="auto" w:fill="CC99FF"/>
                </w:tcPr>
                <w:p w14:paraId="47E2B113" w14:textId="77777777">
                  <w:pPr>
                    <w:pStyle w:val="Tabletext"/>
                    <w:keepNext/>
                  </w:pPr>
                </w:p>
              </w:tc>
              <w:tc>
                <w:tcPr>
                  <w:tcW w:w="1418" w:type="dxa"/>
                  <w:tcBorders>
                    <w:bottom w:val="single" w:sz="4" w:space="0" w:color="auto"/>
                  </w:tcBorders>
                  <w:shd w:val="clear" w:color="auto" w:fill="CC99FF"/>
                </w:tcPr>
                <w:p w14:paraId="5EAFF553" w14:textId="77777777">
                  <w:pPr>
                    <w:pStyle w:val="Tabletext"/>
                    <w:keepNext/>
                    <w:jc w:val="center"/>
                    <w:rPr>
                      <w:i/>
                      <w:iCs/>
                      <w:noProof/>
                    </w:rPr>
                  </w:pPr>
                </w:p>
              </w:tc>
              <w:tc>
                <w:tcPr>
                  <w:tcW w:w="284" w:type="dxa"/>
                  <w:tcBorders>
                    <w:bottom w:val="single" w:sz="4" w:space="0" w:color="auto"/>
                  </w:tcBorders>
                  <w:shd w:val="clear" w:color="auto" w:fill="CC99FF"/>
                </w:tcPr>
                <w:p w14:paraId="1F635FAD" w14:textId="77777777">
                  <w:pPr>
                    <w:pStyle w:val="Tabletext"/>
                    <w:keepNext/>
                    <w:jc w:val="center"/>
                  </w:pPr>
                </w:p>
              </w:tc>
              <w:tc>
                <w:tcPr>
                  <w:tcW w:w="284" w:type="dxa"/>
                  <w:tcBorders>
                    <w:bottom w:val="single" w:sz="4" w:space="0" w:color="auto"/>
                    <w:right w:val="single" w:sz="4" w:space="0" w:color="auto"/>
                  </w:tcBorders>
                  <w:shd w:val="clear" w:color="auto" w:fill="CC99FF"/>
                </w:tcPr>
                <w:p w14:paraId="425A2040" w14:textId="77777777">
                  <w:pPr>
                    <w:pStyle w:val="Tabletext"/>
                    <w:keepNext/>
                  </w:pPr>
                </w:p>
              </w:tc>
              <w:tc>
                <w:tcPr>
                  <w:tcW w:w="284" w:type="dxa"/>
                  <w:tcBorders>
                    <w:left w:val="single" w:sz="4" w:space="0" w:color="auto"/>
                    <w:right w:val="double" w:sz="4" w:space="0" w:color="auto"/>
                  </w:tcBorders>
                  <w:shd w:val="clear" w:color="auto" w:fill="CCFFCC"/>
                </w:tcPr>
                <w:p w14:paraId="16941E21" w14:textId="77777777">
                  <w:pPr>
                    <w:pStyle w:val="Tabletext"/>
                    <w:keepNext/>
                  </w:pPr>
                </w:p>
              </w:tc>
              <w:tc>
                <w:tcPr>
                  <w:tcW w:w="284" w:type="dxa"/>
                  <w:tcBorders>
                    <w:left w:val="double" w:sz="4" w:space="0" w:color="auto"/>
                    <w:right w:val="double" w:sz="12" w:space="0" w:color="auto"/>
                  </w:tcBorders>
                  <w:shd w:val="clear" w:color="auto" w:fill="92D050"/>
                </w:tcPr>
                <w:p w14:paraId="4B549A86" w14:textId="77777777">
                  <w:pPr>
                    <w:pStyle w:val="Tabletext"/>
                    <w:keepNext/>
                  </w:pPr>
                </w:p>
              </w:tc>
            </w:tr>
            <w:tr w14:paraId="29AB55E2" w14:textId="77777777">
              <w:trPr>
                <w:trHeight w:hRule="exact" w:val="113"/>
                <w:jc w:val="center"/>
              </w:trPr>
              <w:tc>
                <w:tcPr>
                  <w:tcW w:w="284" w:type="dxa"/>
                  <w:tcBorders>
                    <w:left w:val="double" w:sz="12" w:space="0" w:color="auto"/>
                    <w:right w:val="double" w:sz="4" w:space="0" w:color="auto"/>
                  </w:tcBorders>
                  <w:shd w:val="clear" w:color="auto" w:fill="92D050"/>
                </w:tcPr>
                <w:p w14:paraId="5C3F0C54" w14:textId="77777777">
                  <w:pPr>
                    <w:pStyle w:val="Tabletext"/>
                    <w:keepNext/>
                  </w:pPr>
                </w:p>
              </w:tc>
              <w:tc>
                <w:tcPr>
                  <w:tcW w:w="284" w:type="dxa"/>
                  <w:tcBorders>
                    <w:left w:val="double" w:sz="4" w:space="0" w:color="auto"/>
                    <w:right w:val="single" w:sz="4" w:space="0" w:color="auto"/>
                  </w:tcBorders>
                  <w:shd w:val="clear" w:color="auto" w:fill="CCFFCC"/>
                </w:tcPr>
                <w:p w14:paraId="79C8E5AD" w14:textId="77777777">
                  <w:pPr>
                    <w:pStyle w:val="Tabletext"/>
                    <w:keepNext/>
                  </w:pPr>
                </w:p>
              </w:tc>
              <w:tc>
                <w:tcPr>
                  <w:tcW w:w="3119" w:type="dxa"/>
                  <w:gridSpan w:val="2"/>
                  <w:vMerge w:val="restart"/>
                  <w:tcBorders>
                    <w:top w:val="single" w:sz="4" w:space="0" w:color="auto"/>
                    <w:left w:val="single" w:sz="4" w:space="0" w:color="auto"/>
                  </w:tcBorders>
                  <w:shd w:val="clear" w:color="auto" w:fill="CC99FF"/>
                </w:tcPr>
                <w:p w14:paraId="2B202505" w14:textId="77777777">
                  <w:pPr>
                    <w:pStyle w:val="Tabletext"/>
                    <w:keepNext/>
                  </w:pPr>
                  <w:r>
                    <w:t>&lt;paragraph&gt; contains</w:t>
                  </w:r>
                </w:p>
              </w:tc>
              <w:tc>
                <w:tcPr>
                  <w:tcW w:w="1418" w:type="dxa"/>
                  <w:tcBorders>
                    <w:top w:val="single" w:sz="4" w:space="0" w:color="auto"/>
                  </w:tcBorders>
                  <w:shd w:val="clear" w:color="auto" w:fill="CC99FF"/>
                </w:tcPr>
                <w:p w14:paraId="0B38FE5F" w14:textId="77777777">
                  <w:pPr>
                    <w:pStyle w:val="Tabletext"/>
                    <w:keepNext/>
                    <w:jc w:val="center"/>
                    <w:rPr>
                      <w:i/>
                      <w:iCs/>
                      <w:noProof/>
                    </w:rPr>
                  </w:pPr>
                </w:p>
              </w:tc>
              <w:tc>
                <w:tcPr>
                  <w:tcW w:w="284" w:type="dxa"/>
                  <w:tcBorders>
                    <w:top w:val="single" w:sz="4" w:space="0" w:color="auto"/>
                  </w:tcBorders>
                  <w:shd w:val="clear" w:color="auto" w:fill="CC99FF"/>
                </w:tcPr>
                <w:p w14:paraId="248335EA" w14:textId="77777777">
                  <w:pPr>
                    <w:pStyle w:val="Tabletext"/>
                    <w:keepNext/>
                    <w:jc w:val="center"/>
                  </w:pPr>
                </w:p>
              </w:tc>
              <w:tc>
                <w:tcPr>
                  <w:tcW w:w="284" w:type="dxa"/>
                  <w:tcBorders>
                    <w:top w:val="single" w:sz="4" w:space="0" w:color="auto"/>
                    <w:right w:val="single" w:sz="4" w:space="0" w:color="auto"/>
                  </w:tcBorders>
                  <w:shd w:val="clear" w:color="auto" w:fill="CC99FF"/>
                </w:tcPr>
                <w:p w14:paraId="58B81CB6" w14:textId="77777777">
                  <w:pPr>
                    <w:pStyle w:val="Tabletext"/>
                    <w:keepNext/>
                  </w:pPr>
                </w:p>
              </w:tc>
              <w:tc>
                <w:tcPr>
                  <w:tcW w:w="284" w:type="dxa"/>
                  <w:tcBorders>
                    <w:left w:val="single" w:sz="4" w:space="0" w:color="auto"/>
                    <w:right w:val="double" w:sz="4" w:space="0" w:color="auto"/>
                  </w:tcBorders>
                  <w:shd w:val="clear" w:color="auto" w:fill="CCFFCC"/>
                </w:tcPr>
                <w:p w14:paraId="2A324FA1" w14:textId="77777777">
                  <w:pPr>
                    <w:pStyle w:val="Tabletext"/>
                    <w:keepNext/>
                  </w:pPr>
                </w:p>
              </w:tc>
              <w:tc>
                <w:tcPr>
                  <w:tcW w:w="284" w:type="dxa"/>
                  <w:tcBorders>
                    <w:left w:val="double" w:sz="4" w:space="0" w:color="auto"/>
                    <w:right w:val="double" w:sz="12" w:space="0" w:color="auto"/>
                  </w:tcBorders>
                  <w:shd w:val="clear" w:color="auto" w:fill="92D050"/>
                </w:tcPr>
                <w:p w14:paraId="6725A156" w14:textId="77777777">
                  <w:pPr>
                    <w:pStyle w:val="Tabletext"/>
                    <w:keepNext/>
                  </w:pPr>
                </w:p>
              </w:tc>
            </w:tr>
            <w:tr w14:paraId="64667D4E" w14:textId="77777777">
              <w:trPr>
                <w:trHeight w:hRule="exact" w:val="284"/>
                <w:jc w:val="center"/>
              </w:trPr>
              <w:tc>
                <w:tcPr>
                  <w:tcW w:w="284" w:type="dxa"/>
                  <w:tcBorders>
                    <w:left w:val="double" w:sz="12" w:space="0" w:color="auto"/>
                    <w:right w:val="double" w:sz="4" w:space="0" w:color="auto"/>
                  </w:tcBorders>
                  <w:shd w:val="clear" w:color="auto" w:fill="92D050"/>
                </w:tcPr>
                <w:p w14:paraId="2D0A7953" w14:textId="77777777">
                  <w:pPr>
                    <w:pStyle w:val="Tabletext"/>
                    <w:keepNext/>
                  </w:pPr>
                </w:p>
              </w:tc>
              <w:tc>
                <w:tcPr>
                  <w:tcW w:w="284" w:type="dxa"/>
                  <w:tcBorders>
                    <w:left w:val="double" w:sz="4" w:space="0" w:color="auto"/>
                    <w:right w:val="single" w:sz="4" w:space="0" w:color="auto"/>
                  </w:tcBorders>
                  <w:shd w:val="clear" w:color="auto" w:fill="CCFFCC"/>
                </w:tcPr>
                <w:p w14:paraId="05DD1DCD" w14:textId="77777777">
                  <w:pPr>
                    <w:pStyle w:val="Tabletext"/>
                    <w:keepNext/>
                  </w:pPr>
                </w:p>
              </w:tc>
              <w:tc>
                <w:tcPr>
                  <w:tcW w:w="3119" w:type="dxa"/>
                  <w:gridSpan w:val="2"/>
                  <w:vMerge/>
                  <w:tcBorders>
                    <w:left w:val="single" w:sz="4" w:space="0" w:color="auto"/>
                  </w:tcBorders>
                  <w:shd w:val="clear" w:color="auto" w:fill="CC99FF"/>
                </w:tcPr>
                <w:p w14:paraId="0ECD013D" w14:textId="77777777">
                  <w:pPr>
                    <w:pStyle w:val="Tabletext"/>
                    <w:keepNext/>
                  </w:pPr>
                </w:p>
              </w:tc>
              <w:tc>
                <w:tcPr>
                  <w:tcW w:w="1418" w:type="dxa"/>
                  <w:shd w:val="clear" w:color="auto" w:fill="FFFF00"/>
                </w:tcPr>
                <w:p w14:paraId="69B54ABD" w14:textId="77777777">
                  <w:pPr>
                    <w:pStyle w:val="Tabletext"/>
                    <w:keepNext/>
                    <w:jc w:val="center"/>
                    <w:rPr>
                      <w:i/>
                      <w:iCs/>
                      <w:noProof/>
                    </w:rPr>
                  </w:pPr>
                  <w:r>
                    <w:rPr>
                      <w:i/>
                      <w:iCs/>
                      <w:noProof/>
                    </w:rPr>
                    <w:t>… text vwx…</w:t>
                  </w:r>
                </w:p>
              </w:tc>
              <w:tc>
                <w:tcPr>
                  <w:tcW w:w="284" w:type="dxa"/>
                  <w:shd w:val="clear" w:color="auto" w:fill="CC99FF"/>
                </w:tcPr>
                <w:p w14:paraId="6B011CBC" w14:textId="77777777">
                  <w:pPr>
                    <w:pStyle w:val="Tabletext"/>
                    <w:keepNext/>
                    <w:jc w:val="center"/>
                  </w:pPr>
                </w:p>
              </w:tc>
              <w:tc>
                <w:tcPr>
                  <w:tcW w:w="284" w:type="dxa"/>
                  <w:tcBorders>
                    <w:right w:val="single" w:sz="4" w:space="0" w:color="auto"/>
                  </w:tcBorders>
                  <w:shd w:val="clear" w:color="auto" w:fill="CC99FF"/>
                </w:tcPr>
                <w:p w14:paraId="24B83D9A" w14:textId="77777777">
                  <w:pPr>
                    <w:pStyle w:val="Tabletext"/>
                    <w:keepNext/>
                  </w:pPr>
                </w:p>
              </w:tc>
              <w:tc>
                <w:tcPr>
                  <w:tcW w:w="284" w:type="dxa"/>
                  <w:tcBorders>
                    <w:left w:val="single" w:sz="4" w:space="0" w:color="auto"/>
                    <w:right w:val="double" w:sz="4" w:space="0" w:color="auto"/>
                  </w:tcBorders>
                  <w:shd w:val="clear" w:color="auto" w:fill="CCFFCC"/>
                </w:tcPr>
                <w:p w14:paraId="4B200699" w14:textId="77777777">
                  <w:pPr>
                    <w:pStyle w:val="Tabletext"/>
                    <w:keepNext/>
                  </w:pPr>
                </w:p>
              </w:tc>
              <w:tc>
                <w:tcPr>
                  <w:tcW w:w="284" w:type="dxa"/>
                  <w:tcBorders>
                    <w:left w:val="double" w:sz="4" w:space="0" w:color="auto"/>
                    <w:right w:val="double" w:sz="12" w:space="0" w:color="auto"/>
                  </w:tcBorders>
                  <w:shd w:val="clear" w:color="auto" w:fill="92D050"/>
                </w:tcPr>
                <w:p w14:paraId="26AA0AA1" w14:textId="77777777">
                  <w:pPr>
                    <w:pStyle w:val="Tabletext"/>
                    <w:keepNext/>
                  </w:pPr>
                </w:p>
              </w:tc>
            </w:tr>
            <w:tr w14:paraId="4E379CB0" w14:textId="77777777">
              <w:trPr>
                <w:trHeight w:hRule="exact" w:val="113"/>
                <w:jc w:val="center"/>
              </w:trPr>
              <w:tc>
                <w:tcPr>
                  <w:tcW w:w="284" w:type="dxa"/>
                  <w:tcBorders>
                    <w:left w:val="double" w:sz="12" w:space="0" w:color="auto"/>
                    <w:right w:val="double" w:sz="4" w:space="0" w:color="auto"/>
                  </w:tcBorders>
                  <w:shd w:val="clear" w:color="auto" w:fill="92D050"/>
                </w:tcPr>
                <w:p w14:paraId="4AE209BA" w14:textId="77777777">
                  <w:pPr>
                    <w:pStyle w:val="Tabletext"/>
                    <w:keepNext/>
                  </w:pPr>
                </w:p>
              </w:tc>
              <w:tc>
                <w:tcPr>
                  <w:tcW w:w="284" w:type="dxa"/>
                  <w:tcBorders>
                    <w:left w:val="double" w:sz="4" w:space="0" w:color="auto"/>
                    <w:right w:val="single" w:sz="4" w:space="0" w:color="auto"/>
                  </w:tcBorders>
                  <w:shd w:val="clear" w:color="auto" w:fill="CCFFCC"/>
                </w:tcPr>
                <w:p w14:paraId="5C9C1017" w14:textId="77777777">
                  <w:pPr>
                    <w:pStyle w:val="Tabletext"/>
                    <w:keepNext/>
                  </w:pPr>
                </w:p>
              </w:tc>
              <w:tc>
                <w:tcPr>
                  <w:tcW w:w="3119" w:type="dxa"/>
                  <w:gridSpan w:val="2"/>
                  <w:tcBorders>
                    <w:left w:val="single" w:sz="4" w:space="0" w:color="auto"/>
                    <w:bottom w:val="single" w:sz="4" w:space="0" w:color="auto"/>
                  </w:tcBorders>
                  <w:shd w:val="clear" w:color="auto" w:fill="CC99FF"/>
                </w:tcPr>
                <w:p w14:paraId="6A22354B" w14:textId="77777777">
                  <w:pPr>
                    <w:pStyle w:val="Tabletext"/>
                    <w:keepNext/>
                  </w:pPr>
                </w:p>
              </w:tc>
              <w:tc>
                <w:tcPr>
                  <w:tcW w:w="1418" w:type="dxa"/>
                  <w:tcBorders>
                    <w:bottom w:val="single" w:sz="4" w:space="0" w:color="auto"/>
                  </w:tcBorders>
                  <w:shd w:val="clear" w:color="auto" w:fill="CC99FF"/>
                </w:tcPr>
                <w:p w14:paraId="3D637083" w14:textId="77777777">
                  <w:pPr>
                    <w:pStyle w:val="Tabletext"/>
                    <w:keepNext/>
                    <w:jc w:val="center"/>
                    <w:rPr>
                      <w:i/>
                      <w:iCs/>
                    </w:rPr>
                  </w:pPr>
                </w:p>
              </w:tc>
              <w:tc>
                <w:tcPr>
                  <w:tcW w:w="284" w:type="dxa"/>
                  <w:tcBorders>
                    <w:bottom w:val="single" w:sz="4" w:space="0" w:color="auto"/>
                  </w:tcBorders>
                  <w:shd w:val="clear" w:color="auto" w:fill="CC99FF"/>
                </w:tcPr>
                <w:p w14:paraId="2AE02B81" w14:textId="77777777">
                  <w:pPr>
                    <w:pStyle w:val="Tabletext"/>
                    <w:keepNext/>
                    <w:jc w:val="center"/>
                  </w:pPr>
                </w:p>
              </w:tc>
              <w:tc>
                <w:tcPr>
                  <w:tcW w:w="284" w:type="dxa"/>
                  <w:tcBorders>
                    <w:bottom w:val="single" w:sz="4" w:space="0" w:color="auto"/>
                    <w:right w:val="single" w:sz="4" w:space="0" w:color="auto"/>
                  </w:tcBorders>
                  <w:shd w:val="clear" w:color="auto" w:fill="CC99FF"/>
                </w:tcPr>
                <w:p w14:paraId="74F1CC80" w14:textId="77777777">
                  <w:pPr>
                    <w:pStyle w:val="Tabletext"/>
                    <w:keepNext/>
                  </w:pPr>
                </w:p>
              </w:tc>
              <w:tc>
                <w:tcPr>
                  <w:tcW w:w="284" w:type="dxa"/>
                  <w:tcBorders>
                    <w:left w:val="single" w:sz="4" w:space="0" w:color="auto"/>
                    <w:right w:val="double" w:sz="4" w:space="0" w:color="auto"/>
                  </w:tcBorders>
                  <w:shd w:val="clear" w:color="auto" w:fill="CCFFCC"/>
                </w:tcPr>
                <w:p w14:paraId="7B3F4621" w14:textId="77777777">
                  <w:pPr>
                    <w:pStyle w:val="Tabletext"/>
                    <w:keepNext/>
                  </w:pPr>
                </w:p>
              </w:tc>
              <w:tc>
                <w:tcPr>
                  <w:tcW w:w="284" w:type="dxa"/>
                  <w:tcBorders>
                    <w:left w:val="double" w:sz="4" w:space="0" w:color="auto"/>
                    <w:right w:val="double" w:sz="12" w:space="0" w:color="auto"/>
                  </w:tcBorders>
                  <w:shd w:val="clear" w:color="auto" w:fill="92D050"/>
                </w:tcPr>
                <w:p w14:paraId="4572551A" w14:textId="77777777">
                  <w:pPr>
                    <w:pStyle w:val="Tabletext"/>
                    <w:keepNext/>
                  </w:pPr>
                </w:p>
              </w:tc>
            </w:tr>
            <w:tr w14:paraId="3F50A37C" w14:textId="77777777">
              <w:trPr>
                <w:trHeight w:hRule="exact" w:val="284"/>
                <w:jc w:val="center"/>
              </w:trPr>
              <w:tc>
                <w:tcPr>
                  <w:tcW w:w="284" w:type="dxa"/>
                  <w:tcBorders>
                    <w:left w:val="double" w:sz="12" w:space="0" w:color="auto"/>
                    <w:right w:val="double" w:sz="4" w:space="0" w:color="auto"/>
                  </w:tcBorders>
                  <w:shd w:val="clear" w:color="auto" w:fill="92D050"/>
                </w:tcPr>
                <w:p w14:paraId="4682E866" w14:textId="77777777">
                  <w:pPr>
                    <w:pStyle w:val="Tabletext"/>
                    <w:keepNext/>
                  </w:pPr>
                </w:p>
              </w:tc>
              <w:tc>
                <w:tcPr>
                  <w:tcW w:w="284" w:type="dxa"/>
                  <w:tcBorders>
                    <w:left w:val="double" w:sz="4" w:space="0" w:color="auto"/>
                    <w:bottom w:val="double" w:sz="4" w:space="0" w:color="auto"/>
                  </w:tcBorders>
                  <w:shd w:val="clear" w:color="auto" w:fill="CCFFCC"/>
                </w:tcPr>
                <w:p w14:paraId="271A7071" w14:textId="77777777">
                  <w:pPr>
                    <w:pStyle w:val="Tabletext"/>
                    <w:keepNext/>
                  </w:pPr>
                </w:p>
              </w:tc>
              <w:tc>
                <w:tcPr>
                  <w:tcW w:w="284" w:type="dxa"/>
                  <w:tcBorders>
                    <w:top w:val="single" w:sz="4" w:space="0" w:color="auto"/>
                    <w:bottom w:val="double" w:sz="4" w:space="0" w:color="auto"/>
                  </w:tcBorders>
                  <w:shd w:val="clear" w:color="auto" w:fill="CCFFCC"/>
                </w:tcPr>
                <w:p w14:paraId="3C585B4B" w14:textId="77777777">
                  <w:pPr>
                    <w:pStyle w:val="Tabletext"/>
                    <w:keepNext/>
                  </w:pPr>
                </w:p>
              </w:tc>
              <w:tc>
                <w:tcPr>
                  <w:tcW w:w="2835" w:type="dxa"/>
                  <w:tcBorders>
                    <w:top w:val="single" w:sz="4" w:space="0" w:color="auto"/>
                    <w:bottom w:val="double" w:sz="4" w:space="0" w:color="auto"/>
                  </w:tcBorders>
                  <w:shd w:val="clear" w:color="auto" w:fill="CCFFCC"/>
                </w:tcPr>
                <w:p w14:paraId="24B32796" w14:textId="77777777">
                  <w:pPr>
                    <w:pStyle w:val="Tabletext"/>
                    <w:keepNext/>
                  </w:pPr>
                </w:p>
              </w:tc>
              <w:tc>
                <w:tcPr>
                  <w:tcW w:w="1418" w:type="dxa"/>
                  <w:tcBorders>
                    <w:top w:val="single" w:sz="4" w:space="0" w:color="auto"/>
                    <w:bottom w:val="double" w:sz="4" w:space="0" w:color="auto"/>
                  </w:tcBorders>
                  <w:shd w:val="clear" w:color="auto" w:fill="CCFFCC"/>
                </w:tcPr>
                <w:p w14:paraId="08026915" w14:textId="77777777">
                  <w:pPr>
                    <w:pStyle w:val="Tabletext"/>
                    <w:keepNext/>
                    <w:jc w:val="center"/>
                  </w:pPr>
                </w:p>
              </w:tc>
              <w:tc>
                <w:tcPr>
                  <w:tcW w:w="284" w:type="dxa"/>
                  <w:tcBorders>
                    <w:top w:val="single" w:sz="4" w:space="0" w:color="auto"/>
                    <w:bottom w:val="double" w:sz="4" w:space="0" w:color="auto"/>
                  </w:tcBorders>
                  <w:shd w:val="clear" w:color="auto" w:fill="CCFFCC"/>
                </w:tcPr>
                <w:p w14:paraId="5F85F7F5" w14:textId="77777777">
                  <w:pPr>
                    <w:pStyle w:val="Tabletext"/>
                    <w:keepNext/>
                    <w:jc w:val="center"/>
                  </w:pPr>
                </w:p>
              </w:tc>
              <w:tc>
                <w:tcPr>
                  <w:tcW w:w="284" w:type="dxa"/>
                  <w:tcBorders>
                    <w:top w:val="single" w:sz="4" w:space="0" w:color="auto"/>
                    <w:bottom w:val="double" w:sz="4" w:space="0" w:color="auto"/>
                  </w:tcBorders>
                  <w:shd w:val="clear" w:color="auto" w:fill="CCFFCC"/>
                </w:tcPr>
                <w:p w14:paraId="31866E16" w14:textId="77777777">
                  <w:pPr>
                    <w:pStyle w:val="Tabletext"/>
                    <w:keepNext/>
                  </w:pPr>
                </w:p>
              </w:tc>
              <w:tc>
                <w:tcPr>
                  <w:tcW w:w="284" w:type="dxa"/>
                  <w:tcBorders>
                    <w:bottom w:val="double" w:sz="4" w:space="0" w:color="auto"/>
                    <w:right w:val="double" w:sz="4" w:space="0" w:color="auto"/>
                  </w:tcBorders>
                  <w:shd w:val="clear" w:color="auto" w:fill="CCFFCC"/>
                </w:tcPr>
                <w:p w14:paraId="0D3A140B" w14:textId="77777777">
                  <w:pPr>
                    <w:pStyle w:val="Tabletext"/>
                    <w:keepNext/>
                  </w:pPr>
                </w:p>
              </w:tc>
              <w:tc>
                <w:tcPr>
                  <w:tcW w:w="284" w:type="dxa"/>
                  <w:tcBorders>
                    <w:left w:val="double" w:sz="4" w:space="0" w:color="auto"/>
                    <w:right w:val="double" w:sz="12" w:space="0" w:color="auto"/>
                  </w:tcBorders>
                  <w:shd w:val="clear" w:color="auto" w:fill="92D050"/>
                </w:tcPr>
                <w:p w14:paraId="081F9981" w14:textId="77777777">
                  <w:pPr>
                    <w:pStyle w:val="Tabletext"/>
                    <w:keepNext/>
                  </w:pPr>
                </w:p>
              </w:tc>
            </w:tr>
            <w:tr w14:paraId="7B516B54" w14:textId="77777777">
              <w:trPr>
                <w:trHeight w:hRule="exact" w:val="284"/>
                <w:jc w:val="center"/>
              </w:trPr>
              <w:tc>
                <w:tcPr>
                  <w:tcW w:w="284" w:type="dxa"/>
                  <w:tcBorders>
                    <w:left w:val="double" w:sz="12" w:space="0" w:color="auto"/>
                    <w:bottom w:val="double" w:sz="12" w:space="0" w:color="auto"/>
                  </w:tcBorders>
                  <w:shd w:val="clear" w:color="auto" w:fill="92D050"/>
                </w:tcPr>
                <w:p w14:paraId="139C99AD" w14:textId="77777777">
                  <w:pPr>
                    <w:pStyle w:val="Tabletext"/>
                  </w:pPr>
                </w:p>
              </w:tc>
              <w:tc>
                <w:tcPr>
                  <w:tcW w:w="284" w:type="dxa"/>
                  <w:tcBorders>
                    <w:top w:val="double" w:sz="4" w:space="0" w:color="auto"/>
                    <w:bottom w:val="double" w:sz="12" w:space="0" w:color="auto"/>
                  </w:tcBorders>
                  <w:shd w:val="clear" w:color="auto" w:fill="92D050"/>
                </w:tcPr>
                <w:p w14:paraId="79C03C37" w14:textId="77777777">
                  <w:pPr>
                    <w:pStyle w:val="Tabletext"/>
                  </w:pPr>
                </w:p>
              </w:tc>
              <w:tc>
                <w:tcPr>
                  <w:tcW w:w="284" w:type="dxa"/>
                  <w:tcBorders>
                    <w:top w:val="double" w:sz="4" w:space="0" w:color="auto"/>
                    <w:bottom w:val="double" w:sz="12" w:space="0" w:color="auto"/>
                  </w:tcBorders>
                  <w:shd w:val="clear" w:color="auto" w:fill="92D050"/>
                </w:tcPr>
                <w:p w14:paraId="5ED2F6ED" w14:textId="77777777">
                  <w:pPr>
                    <w:pStyle w:val="Tabletext"/>
                  </w:pPr>
                </w:p>
              </w:tc>
              <w:tc>
                <w:tcPr>
                  <w:tcW w:w="2835" w:type="dxa"/>
                  <w:tcBorders>
                    <w:top w:val="double" w:sz="4" w:space="0" w:color="auto"/>
                    <w:bottom w:val="double" w:sz="12" w:space="0" w:color="auto"/>
                  </w:tcBorders>
                  <w:shd w:val="clear" w:color="auto" w:fill="92D050"/>
                </w:tcPr>
                <w:p w14:paraId="5E57C022" w14:textId="77777777">
                  <w:pPr>
                    <w:pStyle w:val="Tabletext"/>
                  </w:pPr>
                </w:p>
              </w:tc>
              <w:tc>
                <w:tcPr>
                  <w:tcW w:w="1418" w:type="dxa"/>
                  <w:tcBorders>
                    <w:top w:val="double" w:sz="4" w:space="0" w:color="auto"/>
                    <w:bottom w:val="double" w:sz="12" w:space="0" w:color="auto"/>
                  </w:tcBorders>
                  <w:shd w:val="clear" w:color="auto" w:fill="92D050"/>
                </w:tcPr>
                <w:p w14:paraId="6772B09D" w14:textId="77777777">
                  <w:pPr>
                    <w:pStyle w:val="Tabletext"/>
                    <w:jc w:val="center"/>
                  </w:pPr>
                </w:p>
              </w:tc>
              <w:tc>
                <w:tcPr>
                  <w:tcW w:w="284" w:type="dxa"/>
                  <w:tcBorders>
                    <w:top w:val="double" w:sz="4" w:space="0" w:color="auto"/>
                    <w:bottom w:val="double" w:sz="12" w:space="0" w:color="auto"/>
                  </w:tcBorders>
                  <w:shd w:val="clear" w:color="auto" w:fill="92D050"/>
                </w:tcPr>
                <w:p w14:paraId="35EE7630" w14:textId="77777777">
                  <w:pPr>
                    <w:pStyle w:val="Tabletext"/>
                    <w:jc w:val="center"/>
                  </w:pPr>
                </w:p>
              </w:tc>
              <w:tc>
                <w:tcPr>
                  <w:tcW w:w="284" w:type="dxa"/>
                  <w:tcBorders>
                    <w:top w:val="double" w:sz="4" w:space="0" w:color="auto"/>
                    <w:bottom w:val="double" w:sz="12" w:space="0" w:color="auto"/>
                  </w:tcBorders>
                  <w:shd w:val="clear" w:color="auto" w:fill="92D050"/>
                </w:tcPr>
                <w:p w14:paraId="1838F2A5" w14:textId="77777777">
                  <w:pPr>
                    <w:pStyle w:val="Tabletext"/>
                  </w:pPr>
                </w:p>
              </w:tc>
              <w:tc>
                <w:tcPr>
                  <w:tcW w:w="284" w:type="dxa"/>
                  <w:tcBorders>
                    <w:top w:val="double" w:sz="4" w:space="0" w:color="auto"/>
                    <w:bottom w:val="double" w:sz="12" w:space="0" w:color="auto"/>
                  </w:tcBorders>
                  <w:shd w:val="clear" w:color="auto" w:fill="92D050"/>
                </w:tcPr>
                <w:p w14:paraId="5BC16A4C" w14:textId="77777777">
                  <w:pPr>
                    <w:pStyle w:val="Tabletext"/>
                  </w:pPr>
                </w:p>
              </w:tc>
              <w:tc>
                <w:tcPr>
                  <w:tcW w:w="284" w:type="dxa"/>
                  <w:tcBorders>
                    <w:bottom w:val="double" w:sz="12" w:space="0" w:color="auto"/>
                    <w:right w:val="double" w:sz="12" w:space="0" w:color="auto"/>
                  </w:tcBorders>
                  <w:shd w:val="clear" w:color="auto" w:fill="92D050"/>
                </w:tcPr>
                <w:p w14:paraId="2617D4F4" w14:textId="77777777">
                  <w:pPr>
                    <w:pStyle w:val="Tabletext"/>
                  </w:pPr>
                </w:p>
              </w:tc>
            </w:tr>
          </w:tbl>
          <w:p w14:paraId="7D8F7BC9" w14:textId="77777777"/>
        </w:tc>
      </w:tr>
    </w:tbl>
    <w:p w14:paraId="0FC2887E" w14:textId="77777777">
      <w:r>
        <w:t>Within a TEI document, the entirety of the source text is contained within the edition division (§</w:t>
      </w:r>
      <w:r>
        <w:fldChar w:fldCharType="begin"/>
      </w:r>
      <w:r>
        <w:instrText xml:space="preserve"> REF _Ref224739111 \r \h </w:instrText>
      </w:r>
      <w:r>
        <w:fldChar w:fldCharType="separate"/>
      </w:r>
      <w:r>
        <w:t>2.3.3</w:t>
      </w:r>
      <w:r>
        <w:fldChar w:fldCharType="end"/>
      </w:r>
      <w:r>
        <w:t>), which thus also contains the entire hierarchy of intrinsic structure. Within the edition division, all of the text in an EpiDoc edition must be wrapped in block-level (§</w:t>
      </w:r>
      <w:r>
        <w:fldChar w:fldCharType="begin"/>
      </w:r>
      <w:r>
        <w:instrText xml:space="preserve"> REF _Ref224893557 \r \h </w:instrText>
      </w:r>
      <w:r>
        <w:fldChar w:fldCharType="separate"/>
      </w:r>
      <w:r>
        <w:t>2.2.2</w:t>
      </w:r>
      <w:r>
        <w:fldChar w:fldCharType="end"/>
      </w:r>
      <w:r>
        <w:t xml:space="preserve">) container elements representing units of intrinsic structure, namely “paragraphs” or “anonymous blocks” in prose </w:t>
      </w:r>
      <w:r>
        <w:rPr>
          <w:noProof/>
        </w:rPr>
        <w:t>(</w:t>
      </w:r>
      <w:r>
        <w:t>§</w:t>
      </w:r>
      <w:r>
        <w:fldChar w:fldCharType="begin"/>
      </w:r>
      <w:r>
        <w:instrText xml:space="preserve"> REF _Ref225321156 \r \h </w:instrText>
      </w:r>
      <w:r>
        <w:fldChar w:fldCharType="separate"/>
      </w:r>
      <w:r>
        <w:t>3.1.1</w:t>
      </w:r>
      <w:r>
        <w:fldChar w:fldCharType="end"/>
      </w:r>
      <w:r>
        <w:t xml:space="preserve">), and “stanzas” in verse </w:t>
      </w:r>
      <w:r>
        <w:rPr>
          <w:noProof/>
        </w:rPr>
        <w:t>(</w:t>
      </w:r>
      <w:r>
        <w:t>§</w:t>
      </w:r>
      <w:r>
        <w:fldChar w:fldCharType="begin"/>
      </w:r>
      <w:r>
        <w:instrText xml:space="preserve"> REF _Ref224740501 \r \h </w:instrText>
      </w:r>
      <w:r>
        <w:fldChar w:fldCharType="separate"/>
      </w:r>
      <w:r>
        <w:t>3.2.2</w:t>
      </w:r>
      <w:r>
        <w:fldChar w:fldCharType="end"/>
      </w:r>
      <w:r>
        <w:t>). In the simplest of cases, an edition can contain just a single block-level element, which in turn contains the entire text. Otherwise, the edition may contain a series of block-level elements, each of which contains part of the text.</w:t>
      </w:r>
    </w:p>
    <w:p w14:paraId="34FB00B2" w14:textId="77777777">
      <w:pPr>
        <w:pStyle w:val="Normlbehzs"/>
      </w:pPr>
      <w:r>
        <w:t xml:space="preserve">Any number of these basic containers may be used in any sequence as called for by the nature of the text, but to keep the encoding structure simple, in our practice these containers shall never be nested in one another, only follow one another in a simple linear sequence. That is to say, paragraphs, anonymous blocks </w:t>
      </w:r>
      <w:r>
        <w:lastRenderedPageBreak/>
        <w:t xml:space="preserve">and stanzas always occupy the same level of the hierarchy in DHARMA encoding. The containers must </w:t>
      </w:r>
      <w:r>
        <w:rPr>
          <w:rStyle w:val="Foreign"/>
        </w:rPr>
        <w:t>tessellate</w:t>
      </w:r>
      <w:r>
        <w:t>, meaning that they must seamlessly cover the entire edition in the manner of tiles. Thus, there can usually be no text in the edition which is not also contained within a paragraph, anonymous block or stanza.</w:t>
      </w:r>
    </w:p>
    <w:p w14:paraId="1C568BFA" w14:textId="77777777">
      <w:pPr>
        <w:pStyle w:val="Normlbehzs"/>
      </w:pPr>
      <w:r>
        <w:t>The hierarchy presented above can be extended by one additional step in either direction. In the downward direction, applicable only to verse, the lines of a stanza must be individually wrapped in a lower-level container in addition to the stanza container wrapping all lines as a unit. In the upward direction, higher-level blocks called textpart divisions can be used to subdivide the text into cohesive parts, each of which can contain a number of basic containers. Tessellation is a requirement applicable to all levels of this hierarchy. Thus, if verse is present, then the entire text of each stanza must be contained within one line or another, and never directly within the stanza. Conversely, if textpart divisions are present, then all of the basic containers must be within one division or another, and never directly within the edition division.</w:t>
      </w:r>
    </w:p>
    <w:p w14:paraId="3F44AB18" w14:textId="77777777">
      <w:pPr>
        <w:pStyle w:val="Normlbehzs"/>
      </w:pPr>
      <w:r>
        <w:t>Because our documentary editions are usually concerned with short to moderate-length texts which, unlike the quintessential book, rarely involve multiple hierarchical tiers, in our practice we restrict the use of textpart divisions to a small number of cases where a major semantic boundary (in the intrinsic structure of the text as work) coincides with a salient physical boundary (in the extrinsic structure of the text as document). Textpart divisions will therefore be introduced under extrinsic structure in §</w:t>
      </w:r>
      <w:r>
        <w:fldChar w:fldCharType="begin"/>
      </w:r>
      <w:r>
        <w:instrText xml:space="preserve"> REF _Ref225778181 \r \h </w:instrText>
      </w:r>
      <w:r>
        <w:fldChar w:fldCharType="separate"/>
      </w:r>
      <w:r>
        <w:t>4.2</w:t>
      </w:r>
      <w:r>
        <w:fldChar w:fldCharType="end"/>
      </w:r>
      <w:r>
        <w:t>, and the specific cases where they are needed will be discussed in §</w:t>
      </w:r>
      <w:r>
        <w:fldChar w:fldCharType="begin"/>
      </w:r>
      <w:r>
        <w:instrText xml:space="preserve"> REF _Ref225759775 \r \h </w:instrText>
      </w:r>
      <w:r>
        <w:fldChar w:fldCharType="separate"/>
      </w:r>
      <w:r>
        <w:t>4.7.3</w:t>
      </w:r>
      <w:r>
        <w:fldChar w:fldCharType="end"/>
      </w:r>
      <w:r>
        <w:t>. Consequently, our documentary editions do not recognise intrinsic units superordinate to prose and verse blocks on a purely semantic basis.</w:t>
      </w:r>
    </w:p>
    <w:p w14:paraId="4864972D" w14:textId="77777777">
      <w:pPr>
        <w:pStyle w:val="Normlbehzs"/>
      </w:pPr>
      <w:r>
        <w:t>In some cases, which occur only rarely in our practice, this simple hierarchy of intrinsic structure can be complicated in either of two additional ways. First, prose paragraphs may occasionally contain lists (§</w:t>
      </w:r>
      <w:r>
        <w:fldChar w:fldCharType="begin"/>
      </w:r>
      <w:r>
        <w:instrText xml:space="preserve"> REF _Ref168563127 \r \h </w:instrText>
      </w:r>
      <w:r>
        <w:fldChar w:fldCharType="separate"/>
      </w:r>
      <w:r>
        <w:t>3.2.1.3</w:t>
      </w:r>
      <w:r>
        <w:fldChar w:fldCharType="end"/>
      </w:r>
      <w:r>
        <w:t>), which in turn contain list items, thus adding two further hierarchical levels below that of the paragraph.</w:t>
      </w:r>
      <w:r>
        <w:rPr>
          <w:rStyle w:val="Lbjegyzet-hivatkozs"/>
        </w:rPr>
        <w:footnoteReference w:id="8"/>
      </w:r>
      <w:r>
        <w:t xml:space="preserve"> Tessellation is required for items within a list, but not for lists themselves. Second, forme work (§</w:t>
      </w:r>
      <w:r>
        <w:fldChar w:fldCharType="begin"/>
      </w:r>
      <w:r>
        <w:instrText xml:space="preserve"> REF _Ref43984607 \r \h </w:instrText>
      </w:r>
      <w:r>
        <w:fldChar w:fldCharType="separate"/>
      </w:r>
      <w:r>
        <w:t>4.7.2</w:t>
      </w:r>
      <w:r>
        <w:fldChar w:fldCharType="end"/>
      </w:r>
      <w:r>
        <w:t>) — basically meaning page or folio numbering in a document — is detached from the text’s intrinsic structure but has to be positioned one way or another in the XML structure of the encoded document. Because of its unusual nature, the XML element representing forme work may, in exceptional cases, appear outside the basic block-level containers (as a direct child of a division); otherwise, it is placed within a container and thus adds another hierarchical level to the XML structure.</w:t>
      </w:r>
    </w:p>
    <w:p w14:paraId="560882EC" w14:textId="77777777">
      <w:pPr>
        <w:pStyle w:val="Cmsor3"/>
      </w:pPr>
      <w:bookmarkStart w:id="61" w:name="_Ref225331879"/>
      <w:bookmarkStart w:id="62" w:name="_Toc243900247"/>
      <w:bookmarkStart w:id="63" w:name="_Ref224740240"/>
      <w:bookmarkStart w:id="64" w:name="_Ref225244409"/>
      <w:bookmarkStart w:id="65" w:name="_Ref225153899"/>
      <w:bookmarkStart w:id="66" w:name="_Ref225321156"/>
      <w:r>
        <w:t>Numeration for reference</w:t>
      </w:r>
      <w:bookmarkEnd w:id="61"/>
      <w:bookmarkEnd w:id="62"/>
    </w:p>
    <w:p w14:paraId="1F936EF4" w14:textId="77777777">
      <w:r>
        <w:rPr>
          <w:lang w:eastAsia="en-US" w:bidi="ar-SA"/>
        </w:rPr>
        <w:t xml:space="preserve">All TEI elements can be provided with arbitrary numeration using the attribute </w:t>
      </w:r>
      <w:r>
        <w:rPr>
          <w:rStyle w:val="Codeattribute"/>
        </w:rPr>
        <w:t>@n</w:t>
      </w:r>
      <w:r>
        <w:rPr>
          <w:lang w:eastAsia="en-US" w:bidi="ar-SA"/>
        </w:rPr>
        <w:t xml:space="preserve">, primarily to be used as reference by human end users. Another </w:t>
      </w:r>
      <w:r>
        <w:t xml:space="preserve">attribute, </w:t>
      </w:r>
      <w:r>
        <w:rPr>
          <w:rStyle w:val="Codeattribute"/>
        </w:rPr>
        <w:t>@xml:id</w:t>
      </w:r>
      <w:r>
        <w:t xml:space="preserve"> </w:t>
      </w:r>
      <w:r>
        <w:rPr>
          <w:noProof/>
        </w:rPr>
        <w:t>(</w:t>
      </w:r>
      <w:r>
        <w:t>§</w:t>
      </w:r>
      <w:r>
        <w:fldChar w:fldCharType="begin"/>
      </w:r>
      <w:r>
        <w:instrText xml:space="preserve"> REF _Ref43988993 \w \h  \* MERGEFORMAT </w:instrText>
      </w:r>
      <w:r>
        <w:fldChar w:fldCharType="separate"/>
      </w:r>
      <w:r>
        <w:t>14.6.6</w:t>
      </w:r>
      <w:r>
        <w:fldChar w:fldCharType="end"/>
      </w:r>
      <w:r>
        <w:t xml:space="preserve">), is employed for the rigorous, machine-readable referencing of elements. For the purpose of referring to units of intrinsic structure, </w:t>
      </w:r>
      <w:r>
        <w:rPr>
          <w:lang w:eastAsia="en-US" w:bidi="ar-SA"/>
        </w:rPr>
        <w:t xml:space="preserve">DHARMA editions only use numeration </w:t>
      </w:r>
      <w:r>
        <w:t xml:space="preserve">involving </w:t>
      </w:r>
      <w:r>
        <w:rPr>
          <w:rStyle w:val="Codeattribute"/>
        </w:rPr>
        <w:t>@n</w:t>
      </w:r>
      <w:r>
        <w:t xml:space="preserve"> </w:t>
      </w:r>
      <w:r>
        <w:rPr>
          <w:lang w:eastAsia="en-US" w:bidi="ar-SA"/>
        </w:rPr>
        <w:t xml:space="preserve">on the containers for stanzas and verse lines (as well as for textpart divisions). </w:t>
      </w:r>
      <w:r>
        <w:t>The projectwide conventions introduced under §</w:t>
      </w:r>
      <w:r>
        <w:fldChar w:fldCharType="begin"/>
      </w:r>
      <w:r>
        <w:instrText xml:space="preserve"> REF _Ref224740501 \r \h </w:instrText>
      </w:r>
      <w:r>
        <w:fldChar w:fldCharType="separate"/>
      </w:r>
      <w:r>
        <w:t>3.2.2</w:t>
      </w:r>
      <w:r>
        <w:fldChar w:fldCharType="end"/>
      </w:r>
      <w:r>
        <w:t xml:space="preserve"> for numbering elements with </w:t>
      </w:r>
      <w:r>
        <w:rPr>
          <w:rStyle w:val="Codeattribute"/>
        </w:rPr>
        <w:t>@n</w:t>
      </w:r>
      <w:r>
        <w:t xml:space="preserve"> not only ensure consistency in our editions, but also facilitate conventional human-readable reference. For referring to text in prose, we see no advantage in numbering semantic units (as they vary greatly in size) and instead rely on the numeration of the units of extrinsic structure (§</w:t>
      </w:r>
      <w:r>
        <w:fldChar w:fldCharType="begin"/>
      </w:r>
      <w:r>
        <w:instrText xml:space="preserve"> REF _Ref225331491 \r \h </w:instrText>
      </w:r>
      <w:r>
        <w:fldChar w:fldCharType="separate"/>
      </w:r>
      <w:r>
        <w:t>4.1.1</w:t>
      </w:r>
      <w:r>
        <w:fldChar w:fldCharType="end"/>
      </w:r>
      <w:r>
        <w:t>).</w:t>
      </w:r>
    </w:p>
    <w:p w14:paraId="76144A99" w14:textId="77777777">
      <w:pPr>
        <w:pStyle w:val="Cmsor2"/>
      </w:pPr>
      <w:bookmarkStart w:id="67" w:name="_Ref225500627"/>
      <w:bookmarkStart w:id="68" w:name="_Toc243900248"/>
      <w:r>
        <w:t>Encoding with block-level containers</w:t>
      </w:r>
      <w:bookmarkEnd w:id="67"/>
      <w:bookmarkEnd w:id="68"/>
    </w:p>
    <w:p w14:paraId="037EC61F" w14:textId="77777777">
      <w:pPr>
        <w:pStyle w:val="Cmsor3"/>
      </w:pPr>
      <w:bookmarkStart w:id="69" w:name="_Ref229058843"/>
      <w:bookmarkStart w:id="70" w:name="_Toc243900249"/>
      <w:bookmarkEnd w:id="63"/>
      <w:bookmarkEnd w:id="64"/>
      <w:bookmarkEnd w:id="65"/>
      <w:r>
        <w:t>Prose containers</w:t>
      </w:r>
      <w:bookmarkEnd w:id="57"/>
      <w:bookmarkEnd w:id="58"/>
      <w:bookmarkEnd w:id="66"/>
      <w:bookmarkEnd w:id="69"/>
      <w:bookmarkEnd w:id="70"/>
    </w:p>
    <w:p w14:paraId="31835487" w14:textId="77777777">
      <w:pPr>
        <w:pStyle w:val="Cmsor4"/>
      </w:pPr>
      <w:bookmarkStart w:id="71" w:name="_xcjk45g56cuw" w:colFirst="0" w:colLast="0"/>
      <w:bookmarkStart w:id="72" w:name="_Ref43991413"/>
      <w:bookmarkEnd w:id="71"/>
      <w:r>
        <w:t>Paragraphs</w:t>
      </w:r>
      <w:bookmarkEnd w:id="72"/>
    </w:p>
    <w:p w14:paraId="164E7A8A" w14:textId="77777777">
      <w:r>
        <w:t xml:space="preserve">The default container element for prose text is the paragraph, </w:t>
      </w:r>
      <w:r>
        <w:rPr>
          <w:rStyle w:val="Code"/>
        </w:rPr>
        <w:t>&lt;p&gt;</w:t>
      </w:r>
      <w:r>
        <w:t xml:space="preserve">. Short prose inscriptions consisting of at least one complete sentence shall be wrapped in a single </w:t>
      </w:r>
      <w:r>
        <w:rPr>
          <w:rStyle w:val="Code"/>
        </w:rPr>
        <w:t>&lt;p&gt;</w:t>
      </w:r>
      <w:r>
        <w:t xml:space="preserve"> element, while longer prose passages shall be broken up into semantic paragraphs on the basis of their content. When representing original documents in TEI, the element </w:t>
      </w:r>
      <w:r>
        <w:rPr>
          <w:rStyle w:val="Code"/>
        </w:rPr>
        <w:t>&lt;p&gt;</w:t>
      </w:r>
      <w:r>
        <w:t xml:space="preserve"> is normally used for paragraphs visually demarcated as such in the original physical manifestation of a text </w:t>
      </w:r>
      <w:r>
        <w:rPr>
          <w:noProof/>
        </w:rPr>
        <w:t>(</w:t>
      </w:r>
      <w:r>
        <w:t xml:space="preserve">i.e. units that start in a new line and may begin with an indent). Our inscriptions </w:t>
      </w:r>
      <w:r>
        <w:lastRenderedPageBreak/>
        <w:t xml:space="preserve">seldom employ such visual paragraphs, yet often contain longer sections of prose that would, in a modern document, be segmented into paragraphs. In DHARMA, we therefore refer to cohesive passages within longer prose sections as semantic paragraphs and encode them with separate </w:t>
      </w:r>
      <w:r>
        <w:rPr>
          <w:rStyle w:val="Code"/>
        </w:rPr>
        <w:t>&lt;p&gt;</w:t>
      </w:r>
      <w:r>
        <w:t xml:space="preserve"> elements. This editorial segmentation is analogous to segmenting </w:t>
      </w:r>
      <w:r>
        <w:rPr>
          <w:rStyle w:val="Foreign"/>
        </w:rPr>
        <w:t>scriptio continua</w:t>
      </w:r>
      <w:r>
        <w:t xml:space="preserve"> with editorial spaces and will be likewise helpful in display and interpretation. Therefore, in our editions a new </w:t>
      </w:r>
      <w:r>
        <w:rPr>
          <w:rStyle w:val="Code"/>
        </w:rPr>
        <w:t>&lt;p&gt;</w:t>
      </w:r>
      <w:r>
        <w:t xml:space="preserve"> element shall be started at any point where you feel the topic changes sufficiently to comprise a new semantic unit. Splitting a continuously inscribed text into semantic paragraphs is arbitrary and somewhat subjective; when exercising your own judgement, it may help to imagine translating the text and to put paragraph breaks where you would start a new paragraph in your translation. </w:t>
      </w:r>
    </w:p>
    <w:p w14:paraId="5BBFBC26" w14:textId="77777777">
      <w:pPr>
        <w:pStyle w:val="Lista"/>
      </w:pPr>
      <w:r>
        <w:rPr>
          <w:rStyle w:val="Code"/>
        </w:rPr>
        <w:t>&lt;p&gt;</w:t>
      </w:r>
      <w:r>
        <w:t xml:space="preserve"> elements usually carry no attributes in our editions</w:t>
      </w:r>
    </w:p>
    <w:p w14:paraId="65A1EA99" w14:textId="77777777">
      <w:pPr>
        <w:pStyle w:val="Lista2"/>
      </w:pPr>
      <w:r>
        <w:t xml:space="preserve">the attribute </w:t>
      </w:r>
      <w:r>
        <w:rPr>
          <w:rStyle w:val="Codeattribute"/>
        </w:rPr>
        <w:t>@part</w:t>
      </w:r>
      <w:r>
        <w:t xml:space="preserve"> is added to incomplete paragraphs as per §</w:t>
      </w:r>
      <w:r>
        <w:fldChar w:fldCharType="begin"/>
      </w:r>
      <w:r>
        <w:instrText xml:space="preserve"> REF _Ref228980509 \r \h </w:instrText>
      </w:r>
      <w:r>
        <w:fldChar w:fldCharType="separate"/>
      </w:r>
      <w:r>
        <w:t>3.2.3.1</w:t>
      </w:r>
      <w:r>
        <w:fldChar w:fldCharType="end"/>
      </w:r>
      <w:r>
        <w:t xml:space="preserve"> </w:t>
      </w:r>
    </w:p>
    <w:p w14:paraId="0FB1E5E6" w14:textId="77777777">
      <w:pPr>
        <w:pStyle w:val="Cmsor4"/>
      </w:pPr>
      <w:bookmarkStart w:id="73" w:name="_28fdtwg1bdas" w:colFirst="0" w:colLast="0"/>
      <w:bookmarkStart w:id="74" w:name="_Ref43981028"/>
      <w:bookmarkEnd w:id="73"/>
      <w:r>
        <w:t>Anonymous blocks</w:t>
      </w:r>
      <w:bookmarkEnd w:id="74"/>
    </w:p>
    <w:p w14:paraId="36CD54C3" w14:textId="77777777">
      <w:r>
        <w:t xml:space="preserve">In general EpiDoc usage, the entire text of an inscription is wrapped in a single </w:t>
      </w:r>
      <w:r>
        <w:rPr>
          <w:rStyle w:val="Code"/>
        </w:rPr>
        <w:t>&lt;ab&gt;</w:t>
      </w:r>
      <w:r>
        <w:t xml:space="preserve"> element (for “anonymous block” or “arbitrary block”). In DHARMA practice, we prefer segmentation into semantic paragraphs as per §</w:t>
      </w:r>
      <w:r>
        <w:fldChar w:fldCharType="begin"/>
      </w:r>
      <w:r>
        <w:instrText xml:space="preserve"> REF _Ref43991413 \r \h </w:instrText>
      </w:r>
      <w:r>
        <w:fldChar w:fldCharType="separate"/>
      </w:r>
      <w:r>
        <w:t>3.2.1.1</w:t>
      </w:r>
      <w:r>
        <w:fldChar w:fldCharType="end"/>
      </w:r>
      <w:r>
        <w:t xml:space="preserve"> and do not employ a single container for the entirety of a text. However, we do optionally use </w:t>
      </w:r>
      <w:r>
        <w:rPr>
          <w:rStyle w:val="Code"/>
        </w:rPr>
        <w:t>&lt;ab&gt;</w:t>
      </w:r>
      <w:r>
        <w:t xml:space="preserve"> instead of </w:t>
      </w:r>
      <w:r>
        <w:rPr>
          <w:rStyle w:val="Code"/>
        </w:rPr>
        <w:t>&lt;p&gt;</w:t>
      </w:r>
      <w:r>
        <w:t xml:space="preserve"> for isolated chunks of text for which the designation “paragraph” seems semantically inappropriate, as in the following cases:</w:t>
      </w:r>
    </w:p>
    <w:p w14:paraId="7E399D1F" w14:textId="77777777">
      <w:pPr>
        <w:pStyle w:val="Lista"/>
      </w:pPr>
      <w:r>
        <w:t>if the entirety of your inscription constitutes less than a complete sentence due to its shortness or lack of syntax, e.g.</w:t>
      </w:r>
    </w:p>
    <w:p w14:paraId="034D97C4" w14:textId="77777777">
      <w:pPr>
        <w:pStyle w:val="Lista2"/>
      </w:pPr>
      <w:r>
        <w:t>a sealing with just a name</w:t>
      </w:r>
    </w:p>
    <w:p w14:paraId="52C3E416" w14:textId="77777777">
      <w:pPr>
        <w:pStyle w:val="Lista2"/>
      </w:pPr>
      <w:r>
        <w:t>a label inscription on an image</w:t>
      </w:r>
    </w:p>
    <w:p w14:paraId="40120E70" w14:textId="77777777">
      <w:pPr>
        <w:pStyle w:val="Lista2"/>
      </w:pPr>
      <w:r>
        <w:t>a graffito on a monument</w:t>
      </w:r>
    </w:p>
    <w:p w14:paraId="0FC0C57E" w14:textId="77777777">
      <w:pPr>
        <w:pStyle w:val="Lista"/>
      </w:pPr>
      <w:r>
        <w:t>if the entirety of a textpart (§</w:t>
      </w:r>
      <w:r>
        <w:fldChar w:fldCharType="begin"/>
      </w:r>
      <w:r>
        <w:instrText xml:space="preserve"> REF _Ref225778181 \r \h </w:instrText>
      </w:r>
      <w:r>
        <w:fldChar w:fldCharType="separate"/>
      </w:r>
      <w:r>
        <w:t>4.2</w:t>
      </w:r>
      <w:r>
        <w:fldChar w:fldCharType="end"/>
      </w:r>
      <w:r>
        <w:t>) constitutes less than a complete sentence, e.g.</w:t>
      </w:r>
    </w:p>
    <w:p w14:paraId="71652E57" w14:textId="77777777">
      <w:pPr>
        <w:pStyle w:val="Lista2"/>
      </w:pPr>
      <w:r>
        <w:t xml:space="preserve">a copperplate seal with just a name </w:t>
      </w:r>
      <w:r>
        <w:rPr>
          <w:noProof/>
        </w:rPr>
        <w:t>(</w:t>
      </w:r>
      <w:r>
        <w:t>in the genitive, nominative, or without a case ending)</w:t>
      </w:r>
    </w:p>
    <w:p w14:paraId="51AFA8F4" w14:textId="77777777">
      <w:pPr>
        <w:pStyle w:val="Lista2"/>
      </w:pPr>
      <w:r>
        <w:t>an auspicious word or symbol in a field set off from the rest of the inscription</w:t>
      </w:r>
    </w:p>
    <w:p w14:paraId="5AF18177" w14:textId="77777777">
      <w:pPr>
        <w:pStyle w:val="Lista"/>
      </w:pPr>
      <w:r>
        <w:t xml:space="preserve">if a segment of the text is physically contiguous with other text, but semantically or prosodically distinct from adjacent containers </w:t>
      </w:r>
      <w:r>
        <w:rPr>
          <w:noProof/>
        </w:rPr>
        <w:t>(</w:t>
      </w:r>
      <w:r>
        <w:rPr>
          <w:rStyle w:val="Code"/>
        </w:rPr>
        <w:t>&lt;p&gt;</w:t>
      </w:r>
      <w:r>
        <w:t xml:space="preserve"> or </w:t>
      </w:r>
      <w:r>
        <w:rPr>
          <w:rStyle w:val="Code"/>
        </w:rPr>
        <w:t>&lt;lg&gt;</w:t>
      </w:r>
      <w:r>
        <w:t>), and constitutes less than a complete sentence, e.g.</w:t>
      </w:r>
    </w:p>
    <w:p w14:paraId="7E00907D" w14:textId="77777777">
      <w:pPr>
        <w:pStyle w:val="Lista2"/>
      </w:pPr>
      <w:r>
        <w:t xml:space="preserve">an opening invocation consisting only of the word </w:t>
      </w:r>
      <w:r>
        <w:rPr>
          <w:rStyle w:val="Foreign"/>
        </w:rPr>
        <w:t>siddham</w:t>
      </w:r>
      <w:r>
        <w:t xml:space="preserve"> or an auspicious symbol</w:t>
      </w:r>
    </w:p>
    <w:p w14:paraId="76B3F894" w14:textId="77777777">
      <w:pPr>
        <w:pStyle w:val="Lista2"/>
      </w:pPr>
      <w:r>
        <w:t>a colophon not comprised of complete sentences</w:t>
      </w:r>
    </w:p>
    <w:p w14:paraId="715438A1" w14:textId="77777777">
      <w:pPr>
        <w:pStyle w:val="Lista2"/>
      </w:pPr>
      <w:r>
        <w:t xml:space="preserve">a connective particle or phrase </w:t>
      </w:r>
      <w:r>
        <w:rPr>
          <w:noProof/>
        </w:rPr>
        <w:t>(</w:t>
      </w:r>
      <w:r>
        <w:t xml:space="preserve">e.g. </w:t>
      </w:r>
      <w:r>
        <w:rPr>
          <w:rStyle w:val="Foreign"/>
        </w:rPr>
        <w:t>iti</w:t>
      </w:r>
      <w:r>
        <w:t xml:space="preserve">, </w:t>
      </w:r>
      <w:r>
        <w:rPr>
          <w:rStyle w:val="Foreign"/>
        </w:rPr>
        <w:t>api ca</w:t>
      </w:r>
      <w:r>
        <w:t>) used to introduce, connect or conclude stanzas and not functioning as an integral part of the unit adjacent to the stanza</w:t>
      </w:r>
    </w:p>
    <w:p w14:paraId="470D63DC" w14:textId="77777777">
      <w:pPr>
        <w:pStyle w:val="Lista"/>
      </w:pPr>
      <w:r>
        <w:t>if a section of text is so heavily damaged that you cannot determine whether it is in prose or verse</w:t>
      </w:r>
    </w:p>
    <w:p w14:paraId="67BCD3FF" w14:textId="77777777">
      <w:pPr>
        <w:pStyle w:val="Lista"/>
      </w:pPr>
      <w:r>
        <w:rPr>
          <w:rStyle w:val="Code"/>
        </w:rPr>
        <w:t>&lt;ab&gt;</w:t>
      </w:r>
      <w:r>
        <w:t xml:space="preserve"> elements usually carry no attributes in our editions</w:t>
      </w:r>
    </w:p>
    <w:p w14:paraId="521DDF1D" w14:textId="77777777">
      <w:pPr>
        <w:pStyle w:val="Lista2"/>
      </w:pPr>
      <w:r>
        <w:t xml:space="preserve">the attribute </w:t>
      </w:r>
      <w:r>
        <w:rPr>
          <w:rStyle w:val="Codeattribute"/>
        </w:rPr>
        <w:t>@part</w:t>
      </w:r>
      <w:r>
        <w:t xml:space="preserve"> is added to incomplete blocks as per §</w:t>
      </w:r>
      <w:r>
        <w:fldChar w:fldCharType="begin"/>
      </w:r>
      <w:r>
        <w:instrText xml:space="preserve"> REF _Ref228980509 \r \h </w:instrText>
      </w:r>
      <w:r>
        <w:fldChar w:fldCharType="separate"/>
      </w:r>
      <w:r>
        <w:t>3.2.3.1</w:t>
      </w:r>
      <w:r>
        <w:fldChar w:fldCharType="end"/>
      </w:r>
      <w:r>
        <w:t xml:space="preserve"> </w:t>
      </w:r>
    </w:p>
    <w:p w14:paraId="5F053094" w14:textId="77777777">
      <w:pPr>
        <w:pStyle w:val="Cmsor4"/>
      </w:pPr>
      <w:bookmarkStart w:id="75" w:name="_twhqkur5z3w2" w:colFirst="0" w:colLast="0"/>
      <w:bookmarkStart w:id="76" w:name="_Ref168563127"/>
      <w:bookmarkStart w:id="77" w:name="_Ref43978871"/>
      <w:bookmarkEnd w:id="75"/>
      <w:r>
        <w:t>Lists in the edition</w:t>
      </w:r>
      <w:bookmarkEnd w:id="76"/>
    </w:p>
    <w:p w14:paraId="65257DD2" w14:textId="77777777">
      <w:r>
        <w:t>The encoding of lists is primarily applicable to sections in a modern language, such as the translation and the commentary, as discussed in §</w:t>
      </w:r>
      <w:r>
        <w:fldChar w:fldCharType="begin"/>
      </w:r>
      <w:r>
        <w:instrText xml:space="preserve"> REF _Ref233279232 \r \h </w:instrText>
      </w:r>
      <w:r>
        <w:fldChar w:fldCharType="separate"/>
      </w:r>
      <w:r>
        <w:t>14.3.3</w:t>
      </w:r>
      <w:r>
        <w:fldChar w:fldCharType="end"/>
      </w:r>
      <w:r>
        <w:t>. Structured lists may, at the encoder’s option, also be used in the edition, in the following manner.</w:t>
      </w:r>
    </w:p>
    <w:p w14:paraId="6A58DC3E" w14:textId="77777777">
      <w:pPr>
        <w:pStyle w:val="Lista"/>
      </w:pPr>
      <w:r>
        <w:t xml:space="preserve">to encode a list, create a </w:t>
      </w:r>
      <w:r>
        <w:rPr>
          <w:rStyle w:val="Code"/>
        </w:rPr>
        <w:t>&lt;list&gt;</w:t>
      </w:r>
      <w:r>
        <w:t xml:space="preserve"> element within an already existing </w:t>
      </w:r>
      <w:r>
        <w:rPr>
          <w:rStyle w:val="Code"/>
        </w:rPr>
        <w:t>&lt;p&gt;</w:t>
      </w:r>
      <w:r>
        <w:t xml:space="preserve"> element</w:t>
      </w:r>
    </w:p>
    <w:p w14:paraId="6E06397F" w14:textId="77777777">
      <w:pPr>
        <w:pStyle w:val="Lista2"/>
      </w:pPr>
      <w:r>
        <w:rPr>
          <w:rStyle w:val="Code"/>
        </w:rPr>
        <w:t>&lt;list&gt;</w:t>
      </w:r>
      <w:r>
        <w:t xml:space="preserve"> elements are not required to tessellate, so a </w:t>
      </w:r>
      <w:r>
        <w:rPr>
          <w:rStyle w:val="Code"/>
        </w:rPr>
        <w:t>&lt;p&gt;</w:t>
      </w:r>
      <w:r>
        <w:t xml:space="preserve"> element may contain text alongside (i.e. before and/or after) a list</w:t>
      </w:r>
    </w:p>
    <w:p w14:paraId="7FD8AA74" w14:textId="77777777">
      <w:pPr>
        <w:pStyle w:val="Lista"/>
      </w:pPr>
      <w:r>
        <w:t xml:space="preserve">within </w:t>
      </w:r>
      <w:r>
        <w:rPr>
          <w:rStyle w:val="Code"/>
        </w:rPr>
        <w:t>&lt;list&gt;</w:t>
      </w:r>
      <w:r>
        <w:t xml:space="preserve">, create an </w:t>
      </w:r>
      <w:r>
        <w:rPr>
          <w:rStyle w:val="Code"/>
        </w:rPr>
        <w:t>&lt;item&gt;</w:t>
      </w:r>
      <w:r>
        <w:t xml:space="preserve"> element as a container for each list item</w:t>
      </w:r>
    </w:p>
    <w:p w14:paraId="361024F1" w14:textId="77777777">
      <w:pPr>
        <w:pStyle w:val="Lista2"/>
      </w:pPr>
      <w:r>
        <w:rPr>
          <w:rStyle w:val="Code"/>
        </w:rPr>
        <w:t>&lt;item&gt;</w:t>
      </w:r>
      <w:r>
        <w:t xml:space="preserve"> elements are required to tessellate, so a </w:t>
      </w:r>
      <w:r>
        <w:rPr>
          <w:rStyle w:val="Code"/>
        </w:rPr>
        <w:t>&lt;list&gt;</w:t>
      </w:r>
      <w:r>
        <w:t xml:space="preserve"> cannot contain anything outside an </w:t>
      </w:r>
      <w:r>
        <w:rPr>
          <w:rStyle w:val="Code"/>
        </w:rPr>
        <w:t>&lt;item&gt;</w:t>
      </w:r>
    </w:p>
    <w:p w14:paraId="246614AF" w14:textId="77777777">
      <w:pPr>
        <w:pStyle w:val="Lista"/>
      </w:pPr>
      <w:r>
        <w:t>the additional variations of list encoding introduced in §</w:t>
      </w:r>
      <w:r>
        <w:fldChar w:fldCharType="begin"/>
      </w:r>
      <w:r>
        <w:instrText xml:space="preserve"> REF _Ref233279232 \r \h </w:instrText>
      </w:r>
      <w:r>
        <w:fldChar w:fldCharType="separate"/>
      </w:r>
      <w:r>
        <w:t>14.3.3</w:t>
      </w:r>
      <w:r>
        <w:fldChar w:fldCharType="end"/>
      </w:r>
      <w:r>
        <w:t xml:space="preserve"> are not permitted in the edition</w:t>
      </w:r>
    </w:p>
    <w:p w14:paraId="7B343CF6" w14:textId="77777777">
      <w:pPr>
        <w:pStyle w:val="Cmsor3"/>
      </w:pPr>
      <w:bookmarkStart w:id="78" w:name="_Ref224740501"/>
      <w:bookmarkStart w:id="79" w:name="_Toc243900250"/>
      <w:r>
        <w:t>Verse containers</w:t>
      </w:r>
      <w:bookmarkEnd w:id="77"/>
      <w:bookmarkEnd w:id="78"/>
      <w:bookmarkEnd w:id="79"/>
    </w:p>
    <w:p w14:paraId="1E139CD6" w14:textId="77777777">
      <w:r>
        <w:t xml:space="preserve">Verse must always be marked up as distinct from prose. Although we segment prose into paragraphs on a semantic basis, verse will only be segmented on a metrical basis. It follows from this that we employ no special markup for stanzas comprising a semantic unit with preceding or following prose paragraphs or </w:t>
      </w:r>
      <w:r>
        <w:lastRenderedPageBreak/>
        <w:t xml:space="preserve">other stanzas. A general illustration of verse encoding is shown in </w:t>
      </w:r>
      <w:r>
        <w:fldChar w:fldCharType="begin"/>
      </w:r>
      <w:r>
        <w:instrText xml:space="preserve"> REF _Ref181625172 \h </w:instrText>
      </w:r>
      <w:r>
        <w:fldChar w:fldCharType="separate"/>
      </w:r>
      <w:r>
        <w:t xml:space="preserve">Exhibit </w:t>
      </w:r>
      <w:r>
        <w:rPr>
          <w:noProof/>
        </w:rPr>
        <w:t>3.2</w:t>
      </w:r>
      <w:r>
        <w:t>.</w:t>
      </w:r>
      <w:r>
        <w:rPr>
          <w:noProof/>
        </w:rPr>
        <w:t>A</w:t>
      </w:r>
      <w:r>
        <w:fldChar w:fldCharType="end"/>
      </w:r>
      <w:r>
        <w:t>, while other exhibits throughout this section illustrate the encoding of various features.</w:t>
      </w:r>
    </w:p>
    <w:p w14:paraId="71746DC5" w14:textId="77777777">
      <w:pPr>
        <w:pStyle w:val="Normlbehzs"/>
        <w:rPr>
          <w:lang w:eastAsia="en-US" w:bidi="ar-SA"/>
        </w:rPr>
      </w:pPr>
      <w:r>
        <w:t xml:space="preserve">This section has been written primarily with Sanskrit syllabo-quantitative verse </w:t>
      </w:r>
      <w:r>
        <w:rPr>
          <w:noProof/>
        </w:rPr>
        <w:t>(</w:t>
      </w:r>
      <w:r>
        <w:rPr>
          <w:rStyle w:val="Foreign"/>
        </w:rPr>
        <w:t>varṇavr̥tta</w:t>
      </w:r>
      <w:r>
        <w:t>) in view, but it applies to all verse forms in all languages relevant to our project.</w:t>
      </w:r>
      <w:bookmarkStart w:id="80" w:name="_ddoyoa12vnxb" w:colFirst="0" w:colLast="0"/>
      <w:bookmarkStart w:id="81" w:name="_kb9xljnic52a" w:colFirst="0" w:colLast="0"/>
      <w:bookmarkEnd w:id="80"/>
      <w:bookmarkEnd w:id="81"/>
    </w:p>
    <w:tbl>
      <w:tblPr>
        <w:tblStyle w:val="CodeSampleTable"/>
        <w:tblpPr w:leftFromText="181" w:rightFromText="181" w:vertAnchor="text" w:horzAnchor="margin" w:tblpXSpec="right" w:tblpY="1"/>
        <w:tblOverlap w:val="never"/>
        <w:tblW w:w="4253" w:type="dxa"/>
        <w:tblLook w:val="04A0" w:firstRow="1" w:lastRow="0" w:firstColumn="1" w:lastColumn="0" w:noHBand="0" w:noVBand="1"/>
      </w:tblPr>
      <w:tblGrid>
        <w:gridCol w:w="4253"/>
      </w:tblGrid>
      <w:tr w14:paraId="21F8C2E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AA408F8" w14:textId="77777777">
            <w:pPr>
              <w:pStyle w:val="Kpalrs"/>
            </w:pPr>
            <w:bookmarkStart w:id="82" w:name="_Ref181625172"/>
            <w:bookmarkStart w:id="83" w:name="_Ref224721717"/>
            <w:r>
              <w:t xml:space="preserve">Exhibit </w:t>
            </w:r>
            <w:fldSimple w:instr=" STYLEREF 2 \s ">
              <w:r>
                <w:rPr>
                  <w:noProof/>
                </w:rPr>
                <w:t>3.2</w:t>
              </w:r>
            </w:fldSimple>
            <w:r>
              <w:t>.</w:t>
            </w:r>
            <w:fldSimple w:instr=" SEQ Exhibit \* ALPHABETIC \s 2 ">
              <w:r>
                <w:rPr>
                  <w:noProof/>
                </w:rPr>
                <w:t>A</w:t>
              </w:r>
            </w:fldSimple>
            <w:bookmarkEnd w:id="82"/>
            <w:r>
              <w:t>: basic markup for verse structure</w:t>
            </w:r>
            <w:bookmarkEnd w:id="83"/>
          </w:p>
        </w:tc>
      </w:tr>
      <w:tr w14:paraId="6C0B9271" w14:textId="77777777">
        <w:tc>
          <w:tcPr>
            <w:tcW w:w="5000" w:type="pct"/>
          </w:tcPr>
          <w:p w14:paraId="5F58C85D" w14:textId="77777777">
            <w:pPr>
              <w:pStyle w:val="CodeParagraph"/>
            </w:pPr>
            <w:r>
              <w:rPr>
                <w:rStyle w:val="Code"/>
              </w:rPr>
              <w:t xml:space="preserve">&lt;lg </w:t>
            </w:r>
            <w:r>
              <w:rPr>
                <w:rStyle w:val="Codeattribute"/>
              </w:rPr>
              <w:t>n</w:t>
            </w:r>
            <w:r>
              <w:rPr>
                <w:rStyle w:val="Code"/>
              </w:rPr>
              <w:t>=</w:t>
            </w:r>
            <w:r>
              <w:rPr>
                <w:rStyle w:val="Codevalue"/>
              </w:rPr>
              <w:t>"3"</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sva-dattāṁ para-dattāṁ vā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yo hareta vasundharāM</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ṣaṣṭiṁ varṣa-sahasrāṇi</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svargge modati bhūmi-daḥ</w:t>
            </w:r>
            <w:r>
              <w:rPr>
                <w:rStyle w:val="Code"/>
              </w:rPr>
              <w:t>&lt;/l&gt;</w:t>
            </w:r>
            <w:r>
              <w:rPr>
                <w:rStyle w:val="Codetext"/>
              </w:rPr>
              <w:br/>
            </w:r>
            <w:r>
              <w:rPr>
                <w:rStyle w:val="Code"/>
              </w:rPr>
              <w:t>&lt;/lg&gt;</w:t>
            </w:r>
          </w:p>
        </w:tc>
      </w:tr>
    </w:tbl>
    <w:p w14:paraId="12FDE028" w14:textId="77777777">
      <w:pPr>
        <w:pStyle w:val="Lista"/>
      </w:pPr>
      <w:r>
        <w:t xml:space="preserve">stanzas as a whole must be wrapped in the element </w:t>
      </w:r>
      <w:r>
        <w:rPr>
          <w:rStyle w:val="Code"/>
        </w:rPr>
        <w:t>&lt;lg&gt;</w:t>
      </w:r>
      <w:r>
        <w:t xml:space="preserve"> </w:t>
      </w:r>
      <w:r>
        <w:rPr>
          <w:noProof/>
        </w:rPr>
        <w:t>(</w:t>
      </w:r>
      <w:r>
        <w:t>for “line group”), with the following attributes</w:t>
      </w:r>
    </w:p>
    <w:p w14:paraId="308D0F9C" w14:textId="77777777">
      <w:pPr>
        <w:pStyle w:val="Lista2"/>
      </w:pPr>
      <w:r>
        <w:t xml:space="preserve">mandatorily, </w:t>
      </w:r>
      <w:r>
        <w:rPr>
          <w:rStyle w:val="Codeattribute"/>
        </w:rPr>
        <w:t>@n</w:t>
      </w:r>
      <w:r>
        <w:t xml:space="preserve"> to assign a number to the stanza </w:t>
      </w:r>
      <w:r>
        <w:rPr>
          <w:noProof/>
        </w:rPr>
        <w:t>as per</w:t>
      </w:r>
      <w:r>
        <w:t xml:space="preserve"> §</w:t>
      </w:r>
      <w:r>
        <w:fldChar w:fldCharType="begin"/>
      </w:r>
      <w:r>
        <w:instrText xml:space="preserve"> REF _Ref181609101 \r \h </w:instrText>
      </w:r>
      <w:r>
        <w:fldChar w:fldCharType="separate"/>
      </w:r>
      <w:r>
        <w:t>3.2.2.1</w:t>
      </w:r>
      <w:r>
        <w:fldChar w:fldCharType="end"/>
      </w:r>
    </w:p>
    <w:p w14:paraId="2E9CAC8A" w14:textId="77777777">
      <w:pPr>
        <w:pStyle w:val="Lista2"/>
      </w:pPr>
      <w:r>
        <w:t xml:space="preserve">mandatorily, </w:t>
      </w:r>
      <w:r>
        <w:rPr>
          <w:rStyle w:val="Codeattribute"/>
        </w:rPr>
        <w:t>@met</w:t>
      </w:r>
      <w:r>
        <w:t xml:space="preserve"> to identify the metre of the stanza by a conventional name </w:t>
      </w:r>
      <w:r>
        <w:rPr>
          <w:noProof/>
        </w:rPr>
        <w:t xml:space="preserve">as per </w:t>
      </w:r>
      <w:r>
        <w:t>§</w:t>
      </w:r>
      <w:r>
        <w:fldChar w:fldCharType="begin"/>
      </w:r>
      <w:r>
        <w:instrText xml:space="preserve"> REF _Ref225323884 \r \h </w:instrText>
      </w:r>
      <w:r>
        <w:fldChar w:fldCharType="separate"/>
      </w:r>
      <w:r>
        <w:t>3.3.1</w:t>
      </w:r>
      <w:r>
        <w:fldChar w:fldCharType="end"/>
      </w:r>
    </w:p>
    <w:p w14:paraId="4B93EDF1" w14:textId="77777777">
      <w:pPr>
        <w:pStyle w:val="Lista2"/>
      </w:pPr>
      <w:r>
        <w:t xml:space="preserve">as applicable, </w:t>
      </w:r>
      <w:r>
        <w:rPr>
          <w:rStyle w:val="Codeattribute"/>
        </w:rPr>
        <w:t>@part</w:t>
      </w:r>
      <w:r>
        <w:t xml:space="preserve"> for incomplete stanzas as per §</w:t>
      </w:r>
      <w:r>
        <w:fldChar w:fldCharType="begin"/>
      </w:r>
      <w:r>
        <w:instrText xml:space="preserve"> REF _Ref228980509 \r \h </w:instrText>
      </w:r>
      <w:r>
        <w:fldChar w:fldCharType="separate"/>
      </w:r>
      <w:r>
        <w:t>3.2.3.1</w:t>
      </w:r>
      <w:r>
        <w:fldChar w:fldCharType="end"/>
      </w:r>
      <w:r>
        <w:t xml:space="preserve"> </w:t>
      </w:r>
    </w:p>
    <w:p w14:paraId="051C1F28" w14:textId="77777777">
      <w:pPr>
        <w:pStyle w:val="Lista"/>
      </w:pPr>
      <w:r>
        <w:t xml:space="preserve">within a stanza, each individual line must be wrapped in </w:t>
      </w:r>
      <w:r>
        <w:rPr>
          <w:rStyle w:val="Code"/>
        </w:rPr>
        <w:t>&lt;l&gt;</w:t>
      </w:r>
      <w:r>
        <w:t xml:space="preserve"> </w:t>
      </w:r>
      <w:r>
        <w:rPr>
          <w:noProof/>
        </w:rPr>
        <w:t>(</w:t>
      </w:r>
      <w:r>
        <w:t>for “line”), with the following attributes</w:t>
      </w:r>
    </w:p>
    <w:p w14:paraId="22E3E486" w14:textId="77777777">
      <w:pPr>
        <w:pStyle w:val="Lista2"/>
      </w:pPr>
      <w:r>
        <w:t xml:space="preserve">mandatorily, </w:t>
      </w:r>
      <w:r>
        <w:rPr>
          <w:rStyle w:val="Codeattribute"/>
        </w:rPr>
        <w:t>@n</w:t>
      </w:r>
      <w:r>
        <w:t xml:space="preserve"> to assign a number to the line as per §</w:t>
      </w:r>
      <w:r>
        <w:fldChar w:fldCharType="begin"/>
      </w:r>
      <w:r>
        <w:instrText xml:space="preserve"> REF _Ref181706499 \r \h </w:instrText>
      </w:r>
      <w:r>
        <w:fldChar w:fldCharType="separate"/>
      </w:r>
      <w:r>
        <w:t>3.2.2.2</w:t>
      </w:r>
      <w:r>
        <w:fldChar w:fldCharType="end"/>
      </w:r>
    </w:p>
    <w:p w14:paraId="1BC2BBDA" w14:textId="77777777">
      <w:pPr>
        <w:pStyle w:val="Lista2"/>
      </w:pPr>
      <w:r>
        <w:t xml:space="preserve">as applicable, </w:t>
      </w:r>
      <w:r>
        <w:rPr>
          <w:rStyle w:val="Codeattribute"/>
        </w:rPr>
        <w:t>@met</w:t>
      </w:r>
      <w:r>
        <w:t xml:space="preserve"> (§</w:t>
      </w:r>
      <w:r>
        <w:fldChar w:fldCharType="begin"/>
      </w:r>
      <w:r>
        <w:instrText xml:space="preserve"> REF _Ref225323861 \r \h </w:instrText>
      </w:r>
      <w:r>
        <w:fldChar w:fldCharType="separate"/>
      </w:r>
      <w:r>
        <w:t>3.3.1</w:t>
      </w:r>
      <w:r>
        <w:fldChar w:fldCharType="end"/>
      </w:r>
      <w:r>
        <w:t xml:space="preserve">) and/or </w:t>
      </w:r>
      <w:r>
        <w:rPr>
          <w:rStyle w:val="Codeattribute"/>
        </w:rPr>
        <w:t>@real</w:t>
      </w:r>
      <w:r>
        <w:t xml:space="preserve"> (§</w:t>
      </w:r>
      <w:r>
        <w:fldChar w:fldCharType="begin"/>
      </w:r>
      <w:r>
        <w:instrText xml:space="preserve"> REF _Ref181701741 \r \h </w:instrText>
      </w:r>
      <w:r>
        <w:fldChar w:fldCharType="separate"/>
      </w:r>
      <w:r>
        <w:t>3.3.2</w:t>
      </w:r>
      <w:r>
        <w:fldChar w:fldCharType="end"/>
      </w:r>
      <w:r>
        <w:t>) for lines that do not conform to the metrical template of the parent stanza, as called for in the subsections of §</w:t>
      </w:r>
      <w:r>
        <w:fldChar w:fldCharType="begin"/>
      </w:r>
      <w:r>
        <w:instrText xml:space="preserve"> REF _Ref225324441 \r \h </w:instrText>
      </w:r>
      <w:r>
        <w:fldChar w:fldCharType="separate"/>
      </w:r>
      <w:r>
        <w:t>3.3.3.1</w:t>
      </w:r>
      <w:r>
        <w:fldChar w:fldCharType="end"/>
      </w:r>
      <w:r>
        <w:t xml:space="preserve"> </w:t>
      </w:r>
    </w:p>
    <w:p w14:paraId="18AD6580" w14:textId="77777777">
      <w:pPr>
        <w:pStyle w:val="Lista2"/>
      </w:pPr>
      <w:r>
        <w:t xml:space="preserve">as applicable, </w:t>
      </w:r>
      <w:r>
        <w:rPr>
          <w:rStyle w:val="Codeattribute"/>
        </w:rPr>
        <w:t>@enjamb</w:t>
      </w:r>
      <w:r>
        <w:t xml:space="preserve"> (§</w:t>
      </w:r>
      <w:r>
        <w:fldChar w:fldCharType="begin"/>
      </w:r>
      <w:r>
        <w:instrText xml:space="preserve"> REF _Ref224901083 \r \h </w:instrText>
      </w:r>
      <w:r>
        <w:fldChar w:fldCharType="separate"/>
      </w:r>
      <w:r>
        <w:t>3.2.4.1</w:t>
      </w:r>
      <w:r>
        <w:fldChar w:fldCharType="end"/>
      </w:r>
      <w:r>
        <w:t xml:space="preserve">) with the value </w:t>
      </w:r>
      <w:r>
        <w:rPr>
          <w:rStyle w:val="Codevalue"/>
        </w:rPr>
        <w:t>"yes"</w:t>
      </w:r>
      <w:r>
        <w:t xml:space="preserve"> for lines which do not end at a word boundary</w:t>
      </w:r>
    </w:p>
    <w:p w14:paraId="4F1BA808" w14:textId="77777777">
      <w:pPr>
        <w:pStyle w:val="Lista2"/>
      </w:pPr>
      <w:r>
        <w:t xml:space="preserve">as applicable, </w:t>
      </w:r>
      <w:r>
        <w:rPr>
          <w:rStyle w:val="Codeattribute"/>
        </w:rPr>
        <w:t>@part</w:t>
      </w:r>
      <w:r>
        <w:t xml:space="preserve"> for incomplete lines as per §</w:t>
      </w:r>
      <w:r>
        <w:fldChar w:fldCharType="begin"/>
      </w:r>
      <w:r>
        <w:instrText xml:space="preserve"> REF _Ref228980509 \r \h </w:instrText>
      </w:r>
      <w:r>
        <w:fldChar w:fldCharType="separate"/>
      </w:r>
      <w:r>
        <w:t>3.2.3.1</w:t>
      </w:r>
      <w:r>
        <w:fldChar w:fldCharType="end"/>
      </w:r>
      <w:r>
        <w:t xml:space="preserve"> </w:t>
      </w:r>
    </w:p>
    <w:p w14:paraId="730A0E26" w14:textId="77777777">
      <w:pPr>
        <w:pStyle w:val="Lista"/>
      </w:pPr>
      <w:r>
        <w:t>editorial punctuation must never be supplied for the ends of hemistichs and stanzas</w:t>
      </w:r>
    </w:p>
    <w:p w14:paraId="63CDC070" w14:textId="77777777">
      <w:pPr>
        <w:pStyle w:val="Lista"/>
      </w:pPr>
      <w:r>
        <w:t>any original punctuation must be retained at its actual locus, following the usual method for encoding peripheral graphemes (§</w:t>
      </w:r>
      <w:r>
        <w:fldChar w:fldCharType="begin"/>
      </w:r>
      <w:r>
        <w:instrText xml:space="preserve"> REF _Ref226033363 \r \h </w:instrText>
      </w:r>
      <w:r>
        <w:fldChar w:fldCharType="separate"/>
      </w:r>
      <w:r>
        <w:t>5.3</w:t>
      </w:r>
      <w:r>
        <w:fldChar w:fldCharType="end"/>
      </w:r>
      <w:r>
        <w:t>)</w:t>
      </w:r>
    </w:p>
    <w:p w14:paraId="675C739C" w14:textId="77777777">
      <w:pPr>
        <w:pStyle w:val="Cmsor4"/>
      </w:pPr>
      <w:bookmarkStart w:id="84" w:name="_ean8zao6bcdz" w:colFirst="0" w:colLast="0"/>
      <w:bookmarkStart w:id="85" w:name="_Ref181609101"/>
      <w:bookmarkStart w:id="86" w:name="_Ref181699020"/>
      <w:bookmarkStart w:id="87" w:name="_Ref224900137"/>
      <w:bookmarkStart w:id="88" w:name="_Ref134018245"/>
      <w:bookmarkEnd w:id="84"/>
      <w:r>
        <w:t>Numbering</w:t>
      </w:r>
      <w:bookmarkEnd w:id="85"/>
      <w:r>
        <w:t xml:space="preserve"> stanzas</w:t>
      </w:r>
    </w:p>
    <w:p w14:paraId="60CC093A" w14:textId="77777777">
      <w:pPr>
        <w:pStyle w:val="Lista"/>
      </w:pPr>
      <w:r>
        <w:rPr>
          <w:b/>
          <w:bCs/>
        </w:rPr>
        <w:t>editorial numeration</w:t>
      </w:r>
      <w:r>
        <w:t xml:space="preserve"> must never be supplied in the text of stanzas</w:t>
      </w:r>
    </w:p>
    <w:p w14:paraId="0E8AE2F2" w14:textId="77777777">
      <w:pPr>
        <w:pStyle w:val="Lista"/>
      </w:pPr>
      <w:r>
        <w:t xml:space="preserve">instead, every stanza in your edition must have a number encoded in the </w:t>
      </w:r>
      <w:r>
        <w:rPr>
          <w:rStyle w:val="Codeattribute"/>
        </w:rPr>
        <w:t>@n</w:t>
      </w:r>
      <w:r>
        <w:t xml:space="preserve"> attribute of the corresponding </w:t>
      </w:r>
      <w:r>
        <w:rPr>
          <w:rStyle w:val="Code"/>
        </w:rPr>
        <w:t>&lt;lg&gt;</w:t>
      </w:r>
      <w:r>
        <w:t xml:space="preserve"> element</w:t>
      </w:r>
    </w:p>
    <w:p w14:paraId="01310E79" w14:textId="77777777">
      <w:pPr>
        <w:pStyle w:val="Lista"/>
      </w:pPr>
      <w:r>
        <w:t xml:space="preserve">the value of </w:t>
      </w:r>
      <w:r>
        <w:rPr>
          <w:rStyle w:val="Codeattribute"/>
        </w:rPr>
        <w:t>@n</w:t>
      </w:r>
      <w:r>
        <w:t xml:space="preserve"> must always be an Arabic numeral, as a rule starting from 1</w:t>
      </w:r>
    </w:p>
    <w:p w14:paraId="5204E00B" w14:textId="77777777">
      <w:pPr>
        <w:pStyle w:val="Lista2"/>
      </w:pPr>
      <w:r>
        <w:t>never start stanza numbers from 0</w:t>
      </w:r>
    </w:p>
    <w:p w14:paraId="2013E6A8" w14:textId="77777777">
      <w:pPr>
        <w:pStyle w:val="Lista2"/>
      </w:pPr>
      <w:r>
        <w:t>the first stanza of a text may be numbered other than 1 if so dictated by circumstances (e.g. in a text whose beginning is lost, but the number of stanzas preceding the first extant one can be estimated)</w:t>
      </w:r>
    </w:p>
    <w:p w14:paraId="3684861C" w14:textId="77777777">
      <w:pPr>
        <w:pStyle w:val="Lista"/>
      </w:pPr>
      <w:r>
        <w:t xml:space="preserve">by default, stanzas shall be numbered consecutively throughout an inscription, except when an inscription includes boxlike partitions </w:t>
      </w:r>
      <w:r>
        <w:rPr>
          <w:noProof/>
        </w:rPr>
        <w:t>(</w:t>
      </w:r>
      <w:r>
        <w:t>§</w:t>
      </w:r>
      <w:r>
        <w:fldChar w:fldCharType="begin"/>
      </w:r>
      <w:r>
        <w:instrText xml:space="preserve"> REF _Ref225778181 \r \h </w:instrText>
      </w:r>
      <w:r>
        <w:fldChar w:fldCharType="separate"/>
      </w:r>
      <w:r>
        <w:t>4.2</w:t>
      </w:r>
      <w:r>
        <w:fldChar w:fldCharType="end"/>
      </w:r>
      <w:r>
        <w:t>), in which case stanza numbering is normally restarted in each textpart division (§</w:t>
      </w:r>
      <w:r>
        <w:fldChar w:fldCharType="begin"/>
      </w:r>
      <w:r>
        <w:instrText xml:space="preserve"> REF _Ref225324541 \r \h </w:instrText>
      </w:r>
      <w:r>
        <w:fldChar w:fldCharType="separate"/>
      </w:r>
      <w:r>
        <w:t>4.2.1.4</w:t>
      </w:r>
      <w:r>
        <w:fldChar w:fldCharType="end"/>
      </w:r>
      <w:r>
        <w:t>)</w:t>
      </w:r>
    </w:p>
    <w:p w14:paraId="1519BA2A" w14:textId="77777777">
      <w:pPr>
        <w:pStyle w:val="Lista2"/>
      </w:pPr>
      <w:r>
        <w:t xml:space="preserve">however, stanza numbering must never be reset after pagelike partitions </w:t>
      </w:r>
      <w:r>
        <w:rPr>
          <w:noProof/>
        </w:rPr>
        <w:t>(</w:t>
      </w:r>
      <w:r>
        <w:t>§</w:t>
      </w:r>
      <w:r>
        <w:fldChar w:fldCharType="begin"/>
      </w:r>
      <w:r>
        <w:instrText xml:space="preserve"> REF _Ref43986994 \r \h </w:instrText>
      </w:r>
      <w:r>
        <w:fldChar w:fldCharType="separate"/>
      </w:r>
      <w:r>
        <w:t>4.4.4</w:t>
      </w:r>
      <w:r>
        <w:fldChar w:fldCharType="end"/>
      </w:r>
      <w:r>
        <w:t>)</w:t>
      </w:r>
    </w:p>
    <w:p w14:paraId="17079681" w14:textId="77777777">
      <w:pPr>
        <w:pStyle w:val="Lista"/>
      </w:pPr>
      <w:bookmarkStart w:id="89" w:name="_6q9v7bx41h3i" w:colFirst="0" w:colLast="0"/>
      <w:bookmarkStart w:id="90" w:name="_Ref43980265"/>
      <w:bookmarkEnd w:id="89"/>
      <w:r>
        <w:rPr>
          <w:b/>
          <w:bCs/>
        </w:rPr>
        <w:t>original stanza numbers</w:t>
      </w:r>
      <w:r>
        <w:t>, if present, must be treated as part of the text, i.e.</w:t>
      </w:r>
    </w:p>
    <w:p w14:paraId="1925A403" w14:textId="77777777">
      <w:pPr>
        <w:pStyle w:val="Lista2"/>
      </w:pPr>
      <w:r>
        <w:t xml:space="preserve">placed at their actual locus within the </w:t>
      </w:r>
      <w:r>
        <w:rPr>
          <w:rStyle w:val="Code"/>
        </w:rPr>
        <w:t>&lt;l&gt;</w:t>
      </w:r>
      <w:r>
        <w:t xml:space="preserve"> element for the line in which they appear</w:t>
      </w:r>
    </w:p>
    <w:p w14:paraId="5411D610" w14:textId="77777777">
      <w:pPr>
        <w:pStyle w:val="Lista2"/>
      </w:pPr>
      <w:r>
        <w:t xml:space="preserve">tagged as any other number in the text </w:t>
      </w:r>
      <w:r>
        <w:rPr>
          <w:noProof/>
        </w:rPr>
        <w:t>(</w:t>
      </w:r>
      <w:r>
        <w:t>see §</w:t>
      </w:r>
      <w:r>
        <w:fldChar w:fldCharType="begin"/>
      </w:r>
      <w:r>
        <w:instrText xml:space="preserve"> REF _Ref43980607 \r \h  \* MERGEFORMAT </w:instrText>
      </w:r>
      <w:r>
        <w:fldChar w:fldCharType="separate"/>
      </w:r>
      <w:r>
        <w:t>9.1</w:t>
      </w:r>
      <w:r>
        <w:fldChar w:fldCharType="end"/>
      </w:r>
      <w:r>
        <w:t xml:space="preserve"> about encoding the value of numerals, and §</w:t>
      </w:r>
      <w:r>
        <w:fldChar w:fldCharType="begin"/>
      </w:r>
      <w:r>
        <w:instrText xml:space="preserve"> REF _Ref182551676 \r \h </w:instrText>
      </w:r>
      <w:r>
        <w:fldChar w:fldCharType="separate"/>
      </w:r>
      <w:r>
        <w:t>5.3.5</w:t>
      </w:r>
      <w:r>
        <w:fldChar w:fldCharType="end"/>
      </w:r>
      <w:r>
        <w:t xml:space="preserve"> about numeric characters other than decimal digits)</w:t>
      </w:r>
    </w:p>
    <w:p w14:paraId="4B4E0EE2" w14:textId="77777777">
      <w:pPr>
        <w:pStyle w:val="Lista"/>
      </w:pPr>
      <w:r>
        <w:t>if a text includes original stanza numeration, editorial stanza numbering must still follow the rules stated above, even if this results in a discrepancy with the original numbering</w:t>
      </w:r>
    </w:p>
    <w:p w14:paraId="0C9DE399" w14:textId="77777777">
      <w:pPr>
        <w:pStyle w:val="Cmsor4"/>
      </w:pPr>
      <w:bookmarkStart w:id="91" w:name="_Ref181706499"/>
      <w:bookmarkEnd w:id="90"/>
      <w:r>
        <w:t>Numbering</w:t>
      </w:r>
      <w:bookmarkEnd w:id="91"/>
      <w:r>
        <w:t xml:space="preserve"> verse lines</w:t>
      </w:r>
    </w:p>
    <w:p w14:paraId="203122DA" w14:textId="77777777">
      <w:pPr>
        <w:pStyle w:val="Lista"/>
      </w:pPr>
      <w:r>
        <w:t xml:space="preserve">every verse line encoded as </w:t>
      </w:r>
      <w:r>
        <w:rPr>
          <w:rStyle w:val="Code"/>
        </w:rPr>
        <w:t>&lt;l&gt;</w:t>
      </w:r>
      <w:r>
        <w:t xml:space="preserve"> must be editorially numbered with </w:t>
      </w:r>
      <w:r>
        <w:rPr>
          <w:rStyle w:val="Codeattribute"/>
        </w:rPr>
        <w:t>@n</w:t>
      </w:r>
      <w:r>
        <w:t xml:space="preserve"> elements</w:t>
      </w:r>
    </w:p>
    <w:p w14:paraId="1812B680" w14:textId="77777777">
      <w:pPr>
        <w:pStyle w:val="Lista"/>
      </w:pPr>
      <w:r>
        <w:t xml:space="preserve">the value of </w:t>
      </w:r>
      <w:r>
        <w:rPr>
          <w:rStyle w:val="Codeattribute"/>
        </w:rPr>
        <w:t>@n</w:t>
      </w:r>
      <w:r>
        <w:t xml:space="preserve"> shall be as follows</w:t>
      </w:r>
    </w:p>
    <w:p w14:paraId="20F013E9" w14:textId="77777777">
      <w:pPr>
        <w:pStyle w:val="Lista2"/>
      </w:pPr>
      <w:r>
        <w:t xml:space="preserve">use lowercase Latin letters </w:t>
      </w:r>
      <w:r>
        <w:rPr>
          <w:noProof/>
        </w:rPr>
        <w:t>(</w:t>
      </w:r>
      <w:r>
        <w:t xml:space="preserve">a, b, c, d; continued if necessary in exceptional cases) in general and by default, as in </w:t>
      </w:r>
      <w:r>
        <w:fldChar w:fldCharType="begin"/>
      </w:r>
      <w:r>
        <w:instrText xml:space="preserve"> REF _Ref181625172 \h </w:instrText>
      </w:r>
      <w:r>
        <w:fldChar w:fldCharType="separate"/>
      </w:r>
      <w:r>
        <w:t xml:space="preserve">Exhibit </w:t>
      </w:r>
      <w:r>
        <w:rPr>
          <w:noProof/>
        </w:rPr>
        <w:t>3.2</w:t>
      </w:r>
      <w:r>
        <w:t>.</w:t>
      </w:r>
      <w:r>
        <w:rPr>
          <w:noProof/>
        </w:rPr>
        <w:t>A</w:t>
      </w:r>
      <w:r>
        <w:fldChar w:fldCharType="end"/>
      </w:r>
    </w:p>
    <w:p w14:paraId="35388918" w14:textId="77777777">
      <w:pPr>
        <w:pStyle w:val="Lista2"/>
      </w:pPr>
      <w:r>
        <w:t xml:space="preserve">use pairs of lowercase Latin letters </w:t>
      </w:r>
      <w:r>
        <w:rPr>
          <w:noProof/>
        </w:rPr>
        <w:t>(</w:t>
      </w:r>
      <w:r>
        <w:t xml:space="preserve">ab, cd; continued if necessary in exceptional cases) in Sanskritic moraic verse, where </w:t>
      </w:r>
      <w:r>
        <w:rPr>
          <w:rStyle w:val="Code"/>
        </w:rPr>
        <w:t>&lt;l&gt;</w:t>
      </w:r>
      <w:r>
        <w:t xml:space="preserve"> elements correspond to hemistichs by our convention, as in </w:t>
      </w:r>
      <w:r>
        <w:fldChar w:fldCharType="begin"/>
      </w:r>
      <w:r>
        <w:instrText xml:space="preserve"> REF _Ref181625483 \h </w:instrText>
      </w:r>
      <w:r>
        <w:fldChar w:fldCharType="separate"/>
      </w:r>
      <w:r>
        <w:t xml:space="preserve">Exhibit </w:t>
      </w:r>
      <w:r>
        <w:rPr>
          <w:noProof/>
        </w:rPr>
        <w:t>3.2</w:t>
      </w:r>
      <w:r>
        <w:t>.</w:t>
      </w:r>
      <w:r>
        <w:rPr>
          <w:noProof/>
        </w:rPr>
        <w:t>B</w:t>
      </w:r>
      <w:r>
        <w:fldChar w:fldCharType="end"/>
      </w:r>
    </w:p>
    <w:p w14:paraId="54F02114" w14:textId="77777777">
      <w:pPr>
        <w:pStyle w:val="Lista2"/>
      </w:pPr>
      <w:r>
        <w:t xml:space="preserve">use Arabic numerals </w:t>
      </w:r>
      <w:r>
        <w:rPr>
          <w:noProof/>
        </w:rPr>
        <w:t>(</w:t>
      </w:r>
      <w:r>
        <w:t>1, 2, 3, etc.) in verse where stanzas do not have a conventionally set number of lines, including</w:t>
      </w:r>
    </w:p>
    <w:p w14:paraId="1B31E16C" w14:textId="77777777">
      <w:pPr>
        <w:pStyle w:val="Lista3"/>
      </w:pPr>
      <w:r>
        <w:t xml:space="preserve">Tamil verse, as in </w:t>
      </w:r>
      <w:r>
        <w:fldChar w:fldCharType="begin"/>
      </w:r>
      <w:r>
        <w:instrText xml:space="preserve"> REF _Ref181698022 \h </w:instrText>
      </w:r>
      <w:r>
        <w:fldChar w:fldCharType="separate"/>
      </w:r>
      <w:r>
        <w:t xml:space="preserve">Exhibit </w:t>
      </w:r>
      <w:r>
        <w:rPr>
          <w:noProof/>
        </w:rPr>
        <w:t>3.2</w:t>
      </w:r>
      <w:r>
        <w:t>.</w:t>
      </w:r>
      <w:r>
        <w:rPr>
          <w:noProof/>
        </w:rPr>
        <w:t>C</w:t>
      </w:r>
      <w:r>
        <w:fldChar w:fldCharType="end"/>
      </w:r>
    </w:p>
    <w:p w14:paraId="63A1A7F3" w14:textId="77777777">
      <w:pPr>
        <w:pStyle w:val="Lista3"/>
      </w:pPr>
      <w:r>
        <w:lastRenderedPageBreak/>
        <w:t>free octosyllabic versification found in some Old Sundanese and Old Javanese works</w:t>
      </w:r>
    </w:p>
    <w:p w14:paraId="4BB50C90" w14:textId="77777777">
      <w:pPr>
        <w:pStyle w:val="Lista3"/>
      </w:pPr>
      <w:r>
        <w:t>free verse (§</w:t>
      </w:r>
      <w:r>
        <w:fldChar w:fldCharType="begin"/>
      </w:r>
      <w:r>
        <w:instrText xml:space="preserve"> REF _Ref224727363 \r \h </w:instrText>
      </w:r>
      <w:r>
        <w:fldChar w:fldCharType="separate"/>
      </w:r>
      <w:r>
        <w:t>3.3.3.4</w:t>
      </w:r>
      <w:r>
        <w:fldChar w:fldCharType="end"/>
      </w:r>
      <w:r>
        <w:t>)</w:t>
      </w:r>
    </w:p>
    <w:p w14:paraId="7BAFD0BE" w14:textId="77777777">
      <w:pPr>
        <w:pStyle w:val="Lista"/>
      </w:pPr>
      <w:bookmarkStart w:id="92" w:name="_7tlyzfn6s88r" w:colFirst="0" w:colLast="0"/>
      <w:bookmarkEnd w:id="92"/>
      <w:r>
        <w:t xml:space="preserve">for stanzas anomalously consisting of more or fewer than the expected number of lines, simply encode the actual number of lines, numbering them in sequence </w:t>
      </w:r>
      <w:r>
        <w:rPr>
          <w:noProof/>
        </w:rPr>
        <w:t xml:space="preserve">and </w:t>
      </w:r>
      <w:r>
        <w:t>extending the applicable numbering scheme as needed</w:t>
      </w:r>
    </w:p>
    <w:tbl>
      <w:tblPr>
        <w:tblStyle w:val="CodeSampleTable"/>
        <w:tblW w:w="5000" w:type="pct"/>
        <w:tblLook w:val="04A0" w:firstRow="1" w:lastRow="0" w:firstColumn="1" w:lastColumn="0" w:noHBand="0" w:noVBand="1"/>
      </w:tblPr>
      <w:tblGrid>
        <w:gridCol w:w="9628"/>
      </w:tblGrid>
      <w:tr w14:paraId="2AF0F7F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9667706" w14:textId="77777777">
            <w:pPr>
              <w:pStyle w:val="Kpalrs"/>
            </w:pPr>
            <w:bookmarkStart w:id="93" w:name="_Ref181625483"/>
            <w:r>
              <w:t xml:space="preserve">Exhibit </w:t>
            </w:r>
            <w:fldSimple w:instr=" STYLEREF 2 \s ">
              <w:r>
                <w:rPr>
                  <w:noProof/>
                </w:rPr>
                <w:t>3.2</w:t>
              </w:r>
            </w:fldSimple>
            <w:r>
              <w:t>.</w:t>
            </w:r>
            <w:fldSimple w:instr=" SEQ Exhibit \* ALPHABETIC \s 2 ">
              <w:r>
                <w:rPr>
                  <w:noProof/>
                </w:rPr>
                <w:t>B</w:t>
              </w:r>
            </w:fldSimple>
            <w:bookmarkEnd w:id="93"/>
            <w:r>
              <w:t xml:space="preserve">: line numbering in </w:t>
            </w:r>
            <w:r>
              <w:rPr>
                <w:rStyle w:val="Foreign"/>
              </w:rPr>
              <w:t>moraic</w:t>
            </w:r>
            <w:r>
              <w:t xml:space="preserve"> verse</w:t>
            </w:r>
          </w:p>
        </w:tc>
      </w:tr>
      <w:tr w14:paraId="2ED05F49" w14:textId="77777777">
        <w:tc>
          <w:tcPr>
            <w:tcW w:w="5000" w:type="pct"/>
          </w:tcPr>
          <w:p w14:paraId="7964E5CA" w14:textId="77777777">
            <w:pPr>
              <w:pStyle w:val="CodeParagraph"/>
              <w:keepNext/>
            </w:pPr>
            <w:r>
              <w:rPr>
                <w:rStyle w:val="Code"/>
              </w:rPr>
              <w:t xml:space="preserve">&lt;lg </w:t>
            </w:r>
            <w:r>
              <w:rPr>
                <w:rStyle w:val="Codeattribute"/>
              </w:rPr>
              <w:t>n</w:t>
            </w:r>
            <w:r>
              <w:rPr>
                <w:rStyle w:val="Code"/>
              </w:rPr>
              <w:t>=</w:t>
            </w:r>
            <w:r>
              <w:rPr>
                <w:rStyle w:val="Codevalue"/>
              </w:rPr>
              <w:t>"42"</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&gt;</w:t>
            </w:r>
            <w:r>
              <w:rPr>
                <w:rStyle w:val="Codetext"/>
              </w:rPr>
              <w:t>śaśineva nabho vimalaṁ kaustubha-maṇineva śārṅgiṇo vakṣaḥ|</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"cd"</w:t>
            </w:r>
            <w:r>
              <w:rPr>
                <w:rStyle w:val="Code"/>
              </w:rPr>
              <w:t>&gt;</w:t>
            </w:r>
            <w:r>
              <w:rPr>
                <w:rStyle w:val="Codetext"/>
              </w:rPr>
              <w:t>bhavana-vareṇa tathedaṁ puram akhilam alaṁkr̥tam udāraṁ||</w:t>
            </w:r>
            <w:r>
              <w:rPr>
                <w:rStyle w:val="Code"/>
              </w:rPr>
              <w:t>&lt;/l&gt;</w:t>
            </w:r>
            <w:r>
              <w:rPr>
                <w:rStyle w:val="Codetext"/>
              </w:rPr>
              <w:br/>
            </w:r>
            <w:r>
              <w:rPr>
                <w:rStyle w:val="Code"/>
              </w:rPr>
              <w:t>&lt;/lg&gt;</w:t>
            </w:r>
          </w:p>
        </w:tc>
      </w:tr>
    </w:tbl>
    <w:p w14:paraId="0AE43263" w14:textId="77777777"/>
    <w:tbl>
      <w:tblPr>
        <w:tblStyle w:val="CodeSampleTable"/>
        <w:tblW w:w="5000" w:type="pct"/>
        <w:tblLook w:val="04A0" w:firstRow="1" w:lastRow="0" w:firstColumn="1" w:lastColumn="0" w:noHBand="0" w:noVBand="1"/>
      </w:tblPr>
      <w:tblGrid>
        <w:gridCol w:w="9628"/>
      </w:tblGrid>
      <w:tr w14:paraId="60D14D7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6DC2A6" w14:textId="77777777">
            <w:pPr>
              <w:pStyle w:val="Kpalrs"/>
            </w:pPr>
            <w:bookmarkStart w:id="94" w:name="_Ref181698022"/>
            <w:r>
              <w:t xml:space="preserve">Exhibit </w:t>
            </w:r>
            <w:fldSimple w:instr=" STYLEREF 2 \s ">
              <w:r>
                <w:rPr>
                  <w:noProof/>
                </w:rPr>
                <w:t>3.2</w:t>
              </w:r>
            </w:fldSimple>
            <w:r>
              <w:t>.</w:t>
            </w:r>
            <w:fldSimple w:instr=" SEQ Exhibit \* ALPHABETIC \s 2 ">
              <w:r>
                <w:rPr>
                  <w:noProof/>
                </w:rPr>
                <w:t>C</w:t>
              </w:r>
            </w:fldSimple>
            <w:bookmarkEnd w:id="94"/>
            <w:r>
              <w:t>: line numbering in Tamil verse</w:t>
            </w:r>
          </w:p>
        </w:tc>
      </w:tr>
      <w:tr w14:paraId="151F9502" w14:textId="77777777">
        <w:tc>
          <w:tcPr>
            <w:tcW w:w="5000" w:type="pct"/>
          </w:tcPr>
          <w:p w14:paraId="5895D57A"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"āciriyappā"</w:t>
            </w:r>
            <w:r>
              <w:rPr>
                <w:rStyle w:val="Code"/>
              </w:rPr>
              <w:t>&gt;</w:t>
            </w:r>
            <w:r>
              <w:rPr>
                <w:rStyle w:val="Codetext"/>
              </w:rPr>
              <w:br/>
            </w:r>
            <w:r>
              <w:rPr>
                <w:rStyle w:val="Code"/>
              </w:rPr>
              <w:t xml:space="preserve">  &lt;l </w:t>
            </w:r>
            <w:r>
              <w:rPr>
                <w:rStyle w:val="Codeattribute"/>
              </w:rPr>
              <w:t>n=</w:t>
            </w:r>
            <w:r>
              <w:rPr>
                <w:rStyle w:val="Codevalue"/>
              </w:rPr>
              <w:t>"1"</w:t>
            </w:r>
            <w:r>
              <w:rPr>
                <w:rStyle w:val="Code"/>
              </w:rPr>
              <w:t>&gt;</w:t>
            </w:r>
            <w:r>
              <w:rPr>
                <w:rStyle w:val="Codetext"/>
              </w:rPr>
              <w:t>tiṅkaḷēr taru taṉ toṅkal veṇ-kuṭai-k kīḻ</w:t>
            </w:r>
            <w:r>
              <w:rPr>
                <w:rStyle w:val="Code"/>
              </w:rPr>
              <w:t>&lt;/l&gt;</w:t>
            </w:r>
          </w:p>
          <w:p w14:paraId="072B7DD8" w14:textId="77777777">
            <w:pPr>
              <w:pStyle w:val="CodeParagraph"/>
              <w:rPr>
                <w:rStyle w:val="Code"/>
              </w:rPr>
            </w:pPr>
            <w:r>
              <w:rPr>
                <w:rStyle w:val="Code"/>
              </w:rPr>
              <w:t xml:space="preserve">  &lt;l </w:t>
            </w:r>
            <w:r>
              <w:rPr>
                <w:rStyle w:val="Codeattribute"/>
              </w:rPr>
              <w:t>n=</w:t>
            </w:r>
            <w:r>
              <w:rPr>
                <w:rStyle w:val="Codevalue"/>
              </w:rPr>
              <w:t>"2"</w:t>
            </w:r>
            <w:r>
              <w:rPr>
                <w:rStyle w:val="Code"/>
              </w:rPr>
              <w:t>&gt;</w:t>
            </w:r>
            <w:r>
              <w:rPr>
                <w:rStyle w:val="Codetext"/>
              </w:rPr>
              <w:t>nila-makaḷ nilava malar-makaṭ-p puṇara</w:t>
            </w:r>
            <w:r>
              <w:rPr>
                <w:rStyle w:val="Code"/>
              </w:rPr>
              <w:t>&lt;/l&gt;</w:t>
            </w:r>
          </w:p>
          <w:p w14:paraId="2A8776C0" w14:textId="77777777">
            <w:pPr>
              <w:pStyle w:val="CodeParagraph"/>
              <w:rPr>
                <w:rStyle w:val="Code"/>
              </w:rPr>
            </w:pPr>
            <w:r>
              <w:rPr>
                <w:rStyle w:val="Code"/>
              </w:rPr>
              <w:t xml:space="preserve">  &lt;l </w:t>
            </w:r>
            <w:r>
              <w:rPr>
                <w:rStyle w:val="Codeattribute"/>
              </w:rPr>
              <w:t>n=</w:t>
            </w:r>
            <w:r>
              <w:rPr>
                <w:rStyle w:val="Codevalue"/>
              </w:rPr>
              <w:t>"3"</w:t>
            </w:r>
            <w:r>
              <w:rPr>
                <w:rStyle w:val="Code"/>
              </w:rPr>
              <w:t>&gt;</w:t>
            </w:r>
            <w:r>
              <w:rPr>
                <w:rStyle w:val="Codetext"/>
              </w:rPr>
              <w:t>ceṅkol ōcci-k karuṅ kali kaṭintuṭaṉ</w:t>
            </w:r>
            <w:r>
              <w:rPr>
                <w:rStyle w:val="Code"/>
              </w:rPr>
              <w:t>&lt;/l&gt;</w:t>
            </w:r>
          </w:p>
          <w:p w14:paraId="29E36ED4" w14:textId="77777777">
            <w:pPr>
              <w:pStyle w:val="CodeParagraph"/>
            </w:pPr>
            <w:r>
              <w:rPr>
                <w:rStyle w:val="Codetext"/>
              </w:rPr>
              <w:t xml:space="preserve">  ...</w:t>
            </w:r>
            <w:r>
              <w:rPr>
                <w:rStyle w:val="Codetext"/>
              </w:rPr>
              <w:br/>
            </w:r>
            <w:r>
              <w:rPr>
                <w:rStyle w:val="Code"/>
              </w:rPr>
              <w:t>&lt;/lg&gt;</w:t>
            </w:r>
          </w:p>
        </w:tc>
      </w:tr>
    </w:tbl>
    <w:p w14:paraId="77A426F8" w14:textId="77777777">
      <w:pPr>
        <w:pStyle w:val="Cmsor3"/>
      </w:pPr>
      <w:bookmarkStart w:id="95" w:name="_Toc243900251"/>
      <w:bookmarkStart w:id="96" w:name="_Ref224901082"/>
      <w:r>
        <w:t>Interrupted container boundaries</w:t>
      </w:r>
      <w:bookmarkEnd w:id="95"/>
    </w:p>
    <w:p w14:paraId="6F77EF9A" w14:textId="77777777">
      <w:pPr>
        <w:pStyle w:val="Cmsor4"/>
      </w:pPr>
      <w:bookmarkStart w:id="97" w:name="_Ref228980509"/>
      <w:r>
        <w:t>Block-level containers split into parts</w:t>
      </w:r>
      <w:bookmarkEnd w:id="97"/>
    </w:p>
    <w:p w14:paraId="672FDC5B" w14:textId="77777777">
      <w:r>
        <w:t>Paragraphs and stanzas (sometimes along with verse lines) may be split into non-contiguous parts in a text, typically in one of three scenarios. First, when an inscription is fragmented, part of a unit may be lost or be located on a separate and unconnected fragment encoded as a textpart division. Second, the composer may deliberately break up a unit, as in drama or in a base text with commentary. Third, a unit may have been accidentally left incomplete, and then later completed at a physically different part of the document. TEI provides methods for linking container elements to indicate that they together represent an integral whole. DHARMA encoding practice does not employ linking in order to keep the complexity of the code down, but we do add a small amount of extra code to mark up split containers.</w:t>
      </w:r>
    </w:p>
    <w:p w14:paraId="3225812D" w14:textId="77777777">
      <w:pPr>
        <w:pStyle w:val="Normlbehzs"/>
      </w:pPr>
      <w:r>
        <w:t>This applies only to cases where the complete unit was (at least presumably) written. If a unit was never complete, for example because the composer deliberately included only a partial stanza, or because the engraver left an inscription unfinished, then simply encode the container with the available text normally.</w:t>
      </w:r>
    </w:p>
    <w:p w14:paraId="63D96753" w14:textId="77777777">
      <w:pPr>
        <w:pStyle w:val="Lista"/>
      </w:pPr>
      <w:r>
        <w:t xml:space="preserve">if a block-level container element contains only part of a semantic paragraph, part of a stanza, or part of a verse line, while the rest of that textual unit is written elsewhere or altogether lost, add the attribute </w:t>
      </w:r>
      <w:r>
        <w:rPr>
          <w:rStyle w:val="Codeattribute"/>
        </w:rPr>
        <w:t>@part</w:t>
      </w:r>
      <w:r>
        <w:t xml:space="preserve"> to each incomplete container with values as follows:</w:t>
      </w:r>
    </w:p>
    <w:p w14:paraId="265DBC09" w14:textId="77777777">
      <w:pPr>
        <w:pStyle w:val="Lista2"/>
      </w:pPr>
      <w:r>
        <w:rPr>
          <w:rStyle w:val="Codevalue"/>
        </w:rPr>
        <w:t>"I"</w:t>
      </w:r>
      <w:r>
        <w:t xml:space="preserve"> for the initial part of a container (the end of which is lost or elsewhere)</w:t>
      </w:r>
    </w:p>
    <w:p w14:paraId="750379C9" w14:textId="77777777">
      <w:pPr>
        <w:pStyle w:val="Lista2"/>
      </w:pPr>
      <w:r>
        <w:rPr>
          <w:rStyle w:val="Codevalue"/>
        </w:rPr>
        <w:t>"F"</w:t>
      </w:r>
      <w:r>
        <w:t xml:space="preserve"> for the final part of a container (the beginning of which lost or elsewhere)</w:t>
      </w:r>
    </w:p>
    <w:p w14:paraId="21641007" w14:textId="77777777">
      <w:pPr>
        <w:pStyle w:val="Lista2"/>
      </w:pPr>
      <w:r>
        <w:rPr>
          <w:rStyle w:val="Codevalue"/>
        </w:rPr>
        <w:t>"M"</w:t>
      </w:r>
      <w:r>
        <w:t xml:space="preserve"> for a medial part of a container (both the beginning and end of which are lost or elsewhere)</w:t>
      </w:r>
    </w:p>
    <w:p w14:paraId="16C7A7B3" w14:textId="77777777">
      <w:pPr>
        <w:pStyle w:val="Lista"/>
      </w:pPr>
      <w:r>
        <w:t>if a substantial portion of an inscription is lost, see §</w:t>
      </w:r>
      <w:r>
        <w:fldChar w:fldCharType="begin"/>
      </w:r>
      <w:r>
        <w:instrText xml:space="preserve"> REF _Ref43981711 \r \h </w:instrText>
      </w:r>
      <w:r>
        <w:fldChar w:fldCharType="separate"/>
      </w:r>
      <w:r>
        <w:t>6.5.4</w:t>
      </w:r>
      <w:r>
        <w:fldChar w:fldCharType="end"/>
      </w:r>
      <w:r>
        <w:t xml:space="preserve"> for further instructions and examples</w:t>
      </w:r>
    </w:p>
    <w:p w14:paraId="047938A0" w14:textId="77777777">
      <w:pPr>
        <w:pStyle w:val="Lista2"/>
      </w:pPr>
      <w:r>
        <w:t>however, smaller lacunae should instead be treated as per §</w:t>
      </w:r>
      <w:r>
        <w:fldChar w:fldCharType="begin"/>
      </w:r>
      <w:r>
        <w:instrText xml:space="preserve"> REF _Ref43988016 \r \h </w:instrText>
      </w:r>
      <w:r>
        <w:fldChar w:fldCharType="separate"/>
      </w:r>
      <w:r>
        <w:t>6.5.2</w:t>
      </w:r>
      <w:r>
        <w:fldChar w:fldCharType="end"/>
      </w:r>
    </w:p>
    <w:p w14:paraId="397E0740" w14:textId="77777777">
      <w:pPr>
        <w:pStyle w:val="Lista"/>
      </w:pPr>
      <w:r>
        <w:t>if partial containers are found on two or more fragments, see also §</w:t>
      </w:r>
      <w:r>
        <w:fldChar w:fldCharType="begin"/>
      </w:r>
      <w:r>
        <w:instrText xml:space="preserve"> REF _Ref225346692 \r \h </w:instrText>
      </w:r>
      <w:r>
        <w:fldChar w:fldCharType="separate"/>
      </w:r>
      <w:r>
        <w:t>4.7.3.2</w:t>
      </w:r>
      <w:r>
        <w:fldChar w:fldCharType="end"/>
      </w:r>
      <w:r>
        <w:t xml:space="preserve"> about encoding fragments as textpart divisions</w:t>
      </w:r>
    </w:p>
    <w:p w14:paraId="32E8F3C6" w14:textId="77777777">
      <w:pPr>
        <w:pStyle w:val="Lista"/>
      </w:pPr>
      <w:r>
        <w:t>for a base text interspersed with glosses in another language, see §</w:t>
      </w:r>
      <w:r>
        <w:fldChar w:fldCharType="begin"/>
      </w:r>
      <w:r>
        <w:instrText xml:space="preserve"> REF _Ref232063409 \r \h </w:instrText>
      </w:r>
      <w:r>
        <w:fldChar w:fldCharType="separate"/>
      </w:r>
      <w:r>
        <w:t>8.1.2.4</w:t>
      </w:r>
      <w:r>
        <w:fldChar w:fldCharType="end"/>
      </w:r>
    </w:p>
    <w:p w14:paraId="2DDCBE62" w14:textId="77777777">
      <w:pPr>
        <w:pStyle w:val="Cmsor4"/>
      </w:pPr>
      <w:r>
        <w:t>Split containers or scribal addition?</w:t>
      </w:r>
    </w:p>
    <w:p w14:paraId="08808C13" w14:textId="77777777">
      <w:r>
        <w:t>When split units are fully present in a document, but their parts are out of sequence and this is not deemed to be a deliberate compositional decision (as in drama or commented text), the following choice must be made at your discretion.</w:t>
      </w:r>
    </w:p>
    <w:p w14:paraId="468A598B" w14:textId="77777777">
      <w:pPr>
        <w:pStyle w:val="Lista"/>
      </w:pPr>
      <w:r>
        <w:t xml:space="preserve">either encode the items in their </w:t>
      </w:r>
      <w:r>
        <w:rPr>
          <w:b/>
          <w:bCs/>
        </w:rPr>
        <w:t>logical sequence, as scribal correction</w:t>
      </w:r>
      <w:r>
        <w:t xml:space="preserve"> by addition</w:t>
      </w:r>
    </w:p>
    <w:p w14:paraId="4499FC84" w14:textId="77777777">
      <w:pPr>
        <w:pStyle w:val="Lista2"/>
      </w:pPr>
      <w:r>
        <w:t>this interpretation is preferable when the intended logical sequence of parts is clear, especially</w:t>
      </w:r>
    </w:p>
    <w:p w14:paraId="627937AE" w14:textId="77777777">
      <w:pPr>
        <w:pStyle w:val="Lista3"/>
      </w:pPr>
      <w:r>
        <w:t>if the part missing at its proper spot is inscribed outside the basic sequence of the text, e.g. between lines or in the margins</w:t>
      </w:r>
    </w:p>
    <w:p w14:paraId="5F5A0558" w14:textId="77777777">
      <w:pPr>
        <w:pStyle w:val="Lista3"/>
      </w:pPr>
      <w:r>
        <w:lastRenderedPageBreak/>
        <w:t>if scribal marks are present to indicate where the missing and separately supplied part must be read</w:t>
      </w:r>
    </w:p>
    <w:p w14:paraId="1B8BF9D5" w14:textId="77777777">
      <w:pPr>
        <w:pStyle w:val="Lista2"/>
      </w:pPr>
      <w:r>
        <w:t xml:space="preserve">in such a case, proceed as in </w:t>
      </w:r>
      <w:r>
        <w:fldChar w:fldCharType="begin"/>
      </w:r>
      <w:r>
        <w:instrText xml:space="preserve"> REF _Ref54603376 \h </w:instrText>
      </w:r>
      <w:r>
        <w:fldChar w:fldCharType="separate"/>
      </w:r>
      <w:r>
        <w:t xml:space="preserve">Exhibit </w:t>
      </w:r>
      <w:r>
        <w:rPr>
          <w:noProof/>
        </w:rPr>
        <w:t>3.2</w:t>
      </w:r>
      <w:r>
        <w:t>.</w:t>
      </w:r>
      <w:r>
        <w:rPr>
          <w:noProof/>
        </w:rPr>
        <w:t>D</w:t>
      </w:r>
      <w:r>
        <w:fldChar w:fldCharType="end"/>
      </w:r>
      <w:r>
        <w:t>, namely:</w:t>
      </w:r>
    </w:p>
    <w:p w14:paraId="63FC1354" w14:textId="77777777">
      <w:pPr>
        <w:pStyle w:val="Lista3"/>
      </w:pPr>
      <w:r>
        <w:t xml:space="preserve">include the out-of-sequence text at its </w:t>
      </w:r>
      <w:r>
        <w:rPr>
          <w:i/>
          <w:iCs/>
        </w:rPr>
        <w:t>logical</w:t>
      </w:r>
      <w:r>
        <w:t xml:space="preserve"> rather than its </w:t>
      </w:r>
      <w:r>
        <w:rPr>
          <w:i/>
          <w:iCs/>
        </w:rPr>
        <w:t>physical</w:t>
      </w:r>
      <w:r>
        <w:t xml:space="preserve"> place</w:t>
      </w:r>
    </w:p>
    <w:p w14:paraId="587E6B22" w14:textId="77777777">
      <w:pPr>
        <w:pStyle w:val="Lista3"/>
      </w:pPr>
      <w:r>
        <w:t>mark it up as an addition (§</w:t>
      </w:r>
      <w:r>
        <w:fldChar w:fldCharType="begin"/>
      </w:r>
      <w:r>
        <w:instrText xml:space="preserve"> REF _Ref43978471 \r \h </w:instrText>
      </w:r>
      <w:r>
        <w:fldChar w:fldCharType="separate"/>
      </w:r>
      <w:r>
        <w:t>5.5.2</w:t>
      </w:r>
      <w:r>
        <w:fldChar w:fldCharType="end"/>
      </w:r>
      <w:r>
        <w:t xml:space="preserve">) with a value of </w:t>
      </w:r>
      <w:r>
        <w:rPr>
          <w:rStyle w:val="Codeattribute"/>
        </w:rPr>
        <w:t>@place</w:t>
      </w:r>
      <w:r>
        <w:t xml:space="preserve"> that best approximates its physical location</w:t>
      </w:r>
    </w:p>
    <w:p w14:paraId="04E0ED98" w14:textId="77777777">
      <w:pPr>
        <w:pStyle w:val="Lista4"/>
      </w:pPr>
      <w:r>
        <w:t>if such an addition takes up one or more entire physical lines, encode line beginnings (§</w:t>
      </w:r>
      <w:r>
        <w:fldChar w:fldCharType="begin"/>
      </w:r>
      <w:r>
        <w:instrText xml:space="preserve"> REF _Ref43980100 \r \h </w:instrText>
      </w:r>
      <w:r>
        <w:fldChar w:fldCharType="separate"/>
      </w:r>
      <w:r>
        <w:t>4.5.1</w:t>
      </w:r>
      <w:r>
        <w:fldChar w:fldCharType="end"/>
      </w:r>
      <w:r>
        <w:t xml:space="preserve">) within the </w:t>
      </w:r>
      <w:r>
        <w:rPr>
          <w:rStyle w:val="Code"/>
        </w:rPr>
        <w:t>&lt;add&gt;</w:t>
      </w:r>
      <w:r>
        <w:t xml:space="preserve"> tags as permitted under §</w:t>
      </w:r>
      <w:r>
        <w:fldChar w:fldCharType="begin"/>
      </w:r>
      <w:r>
        <w:instrText xml:space="preserve"> REF _Ref43978471 \r \h </w:instrText>
      </w:r>
      <w:r>
        <w:fldChar w:fldCharType="separate"/>
      </w:r>
      <w:r>
        <w:t>5.5.2</w:t>
      </w:r>
      <w:r>
        <w:fldChar w:fldCharType="end"/>
      </w:r>
    </w:p>
    <w:p w14:paraId="44078575" w14:textId="77777777">
      <w:pPr>
        <w:pStyle w:val="Lista3"/>
      </w:pPr>
      <w:r>
        <w:t>the fact that the addition interrupts a different part of the text at such and such a point can be indicated in your annotation</w:t>
      </w:r>
    </w:p>
    <w:tbl>
      <w:tblPr>
        <w:tblStyle w:val="CodeSampleTable"/>
        <w:tblW w:w="5000" w:type="pct"/>
        <w:tblLook w:val="04A0" w:firstRow="1" w:lastRow="0" w:firstColumn="1" w:lastColumn="0" w:noHBand="0" w:noVBand="1"/>
      </w:tblPr>
      <w:tblGrid>
        <w:gridCol w:w="9628"/>
      </w:tblGrid>
      <w:tr w14:paraId="2B5D566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97BDE8" w14:textId="77777777">
            <w:pPr>
              <w:pStyle w:val="Kpalrs"/>
            </w:pPr>
            <w:bookmarkStart w:id="98" w:name="_Ref54603376"/>
            <w:r>
              <w:t xml:space="preserve">Exhibit </w:t>
            </w:r>
            <w:fldSimple w:instr=" STYLEREF 2 \s ">
              <w:r>
                <w:rPr>
                  <w:noProof/>
                </w:rPr>
                <w:t>3.2</w:t>
              </w:r>
            </w:fldSimple>
            <w:r>
              <w:t>.</w:t>
            </w:r>
            <w:fldSimple w:instr=" SEQ Exhibit \* ALPHABETIC \s 2 ">
              <w:r>
                <w:rPr>
                  <w:noProof/>
                </w:rPr>
                <w:t>D</w:t>
              </w:r>
            </w:fldSimple>
            <w:bookmarkEnd w:id="98"/>
            <w:r>
              <w:t>: part of a stanza inscribed below the rest of the text</w:t>
            </w:r>
          </w:p>
        </w:tc>
      </w:tr>
      <w:tr w14:paraId="5E5E4C4C" w14:textId="77777777">
        <w:tc>
          <w:tcPr>
            <w:tcW w:w="5000" w:type="pct"/>
          </w:tcPr>
          <w:p w14:paraId="36C8A7A0" w14:textId="77777777">
            <w:pPr>
              <w:pStyle w:val="CodeParagraph"/>
              <w:keepNext/>
              <w:rPr>
                <w:rStyle w:val="Code"/>
              </w:rPr>
            </w:pPr>
            <w:r>
              <w:rPr>
                <w:rStyle w:val="Code"/>
              </w:rPr>
              <w:t xml:space="preserve">&lt;lg </w:t>
            </w:r>
            <w:r>
              <w:rPr>
                <w:rStyle w:val="Codeattribute"/>
              </w:rPr>
              <w:t>n</w:t>
            </w:r>
            <w:r>
              <w:rPr>
                <w:rStyle w:val="Codetext"/>
              </w:rPr>
              <w:t>=</w:t>
            </w:r>
            <w:r>
              <w:rPr>
                <w:rStyle w:val="Codevalue"/>
              </w:rPr>
              <w:t>"4"</w:t>
            </w:r>
            <w:r>
              <w:rPr>
                <w:rStyle w:val="Code"/>
              </w:rPr>
              <w:t xml:space="preserve"> </w:t>
            </w:r>
            <w:r>
              <w:rPr>
                <w:rStyle w:val="Codeattribute"/>
              </w:rPr>
              <w:t>met</w:t>
            </w:r>
            <w:r>
              <w:rPr>
                <w:rStyle w:val="Codetext"/>
              </w:rPr>
              <w:t>=</w:t>
            </w:r>
            <w:r>
              <w:rPr>
                <w:rStyle w:val="Codevalue"/>
              </w:rPr>
              <w:t>"anuṣṭubh"</w:t>
            </w:r>
            <w:r>
              <w:rPr>
                <w:rStyle w:val="Code"/>
              </w:rPr>
              <w:t>&gt;</w:t>
            </w:r>
          </w:p>
          <w:p w14:paraId="4AD388C7"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&gt;&lt;lb </w:t>
            </w:r>
            <w:r>
              <w:rPr>
                <w:rStyle w:val="Codeattribute"/>
              </w:rPr>
              <w:t>n</w:t>
            </w:r>
            <w:r>
              <w:rPr>
                <w:rStyle w:val="Codetext"/>
              </w:rPr>
              <w:t>=</w:t>
            </w:r>
            <w:r>
              <w:rPr>
                <w:rStyle w:val="Codevalue"/>
              </w:rPr>
              <w:t>"7"</w:t>
            </w:r>
            <w:r>
              <w:rPr>
                <w:rStyle w:val="Code"/>
              </w:rPr>
              <w:t>/&gt;</w:t>
            </w:r>
            <w:r>
              <w:rPr>
                <w:rStyle w:val="Codetext"/>
              </w:rPr>
              <w:t>samanta-putras sthaviraḥ</w:t>
            </w:r>
            <w:r>
              <w:rPr>
                <w:rStyle w:val="Code"/>
              </w:rPr>
              <w:t>&lt;/l&gt;</w:t>
            </w:r>
          </w:p>
          <w:p w14:paraId="30332A76"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buddhanirvvāṇa-saṁjñakaḥ</w:t>
            </w:r>
            <w:r>
              <w:rPr>
                <w:rStyle w:val="Code"/>
              </w:rPr>
              <w:t>&lt;/l&gt;</w:t>
            </w:r>
          </w:p>
          <w:p w14:paraId="35F0C77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&gt;&lt;add </w:t>
            </w:r>
            <w:r>
              <w:rPr>
                <w:rStyle w:val="Codeattribute"/>
              </w:rPr>
              <w:t>place</w:t>
            </w:r>
            <w:r>
              <w:rPr>
                <w:rStyle w:val="Codetext"/>
              </w:rPr>
              <w:t>=</w:t>
            </w:r>
            <w:r>
              <w:rPr>
                <w:rStyle w:val="Codevalue"/>
              </w:rPr>
              <w:t>"bottom"</w:t>
            </w:r>
            <w:r>
              <w:rPr>
                <w:rStyle w:val="Code"/>
              </w:rPr>
              <w:t xml:space="preserve"> </w:t>
            </w:r>
            <w:r>
              <w:rPr>
                <w:rStyle w:val="Codeattribute"/>
              </w:rPr>
              <w:t>rend</w:t>
            </w:r>
            <w:r>
              <w:rPr>
                <w:rStyle w:val="Codetext"/>
              </w:rPr>
              <w:t>=</w:t>
            </w:r>
            <w:r>
              <w:rPr>
                <w:rStyle w:val="Codevalue"/>
              </w:rPr>
              <w:t>"mark"</w:t>
            </w:r>
            <w:r>
              <w:rPr>
                <w:rStyle w:val="Code"/>
              </w:rPr>
              <w:t xml:space="preserve">&gt;&lt;lb </w:t>
            </w:r>
            <w:r>
              <w:rPr>
                <w:rStyle w:val="Codeattribute"/>
              </w:rPr>
              <w:t>n</w:t>
            </w:r>
            <w:r>
              <w:rPr>
                <w:rStyle w:val="Codetext"/>
              </w:rPr>
              <w:t>=</w:t>
            </w:r>
            <w:r>
              <w:rPr>
                <w:rStyle w:val="Codevalue"/>
              </w:rPr>
              <w:t>"15"</w:t>
            </w:r>
            <w:r>
              <w:rPr>
                <w:rStyle w:val="Code"/>
              </w:rPr>
              <w:t>/&gt;</w:t>
            </w:r>
            <w:r>
              <w:rPr>
                <w:rStyle w:val="Codetext"/>
              </w:rPr>
              <w:t>kāvyasya karaṇañ cakre</w:t>
            </w:r>
            <w:r>
              <w:rPr>
                <w:rStyle w:val="Code"/>
              </w:rPr>
              <w:t>&lt;/add&gt;&lt;/l&gt;</w:t>
            </w:r>
          </w:p>
          <w:p w14:paraId="7121B8F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 xml:space="preserve">&gt;&lt;add </w:t>
            </w:r>
            <w:r>
              <w:rPr>
                <w:rStyle w:val="Codeattribute"/>
              </w:rPr>
              <w:t>place</w:t>
            </w:r>
            <w:r>
              <w:rPr>
                <w:rStyle w:val="Codetext"/>
              </w:rPr>
              <w:t>=</w:t>
            </w:r>
            <w:r>
              <w:rPr>
                <w:rStyle w:val="Codevalue"/>
              </w:rPr>
              <w:t>"bottom"</w:t>
            </w:r>
            <w:r>
              <w:rPr>
                <w:rStyle w:val="Code"/>
              </w:rPr>
              <w:t xml:space="preserve"> </w:t>
            </w:r>
            <w:r>
              <w:rPr>
                <w:rStyle w:val="Codeattribute"/>
              </w:rPr>
              <w:t>rend</w:t>
            </w:r>
            <w:r>
              <w:rPr>
                <w:rStyle w:val="Codetext"/>
              </w:rPr>
              <w:t>=</w:t>
            </w:r>
            <w:r>
              <w:rPr>
                <w:rStyle w:val="Codevalue"/>
              </w:rPr>
              <w:t>"mark"</w:t>
            </w:r>
            <w:r>
              <w:rPr>
                <w:rStyle w:val="Code"/>
              </w:rPr>
              <w:t xml:space="preserve">&gt;&lt;lb </w:t>
            </w:r>
            <w:r>
              <w:rPr>
                <w:rStyle w:val="Codeattribute"/>
              </w:rPr>
              <w:t>n</w:t>
            </w:r>
            <w:r>
              <w:rPr>
                <w:rStyle w:val="Codetext"/>
              </w:rPr>
              <w:t>=</w:t>
            </w:r>
            <w:r>
              <w:rPr>
                <w:rStyle w:val="Codevalue"/>
              </w:rPr>
              <w:t>"16"</w:t>
            </w:r>
            <w:r>
              <w:rPr>
                <w:rStyle w:val="Code"/>
              </w:rPr>
              <w:t>/&gt;</w:t>
            </w:r>
            <w:r>
              <w:rPr>
                <w:rStyle w:val="Codetext"/>
              </w:rPr>
              <w:t>jñātaye bhūtale nr̥ṇām·</w:t>
            </w:r>
            <w:r>
              <w:rPr>
                <w:rStyle w:val="Code"/>
              </w:rPr>
              <w:t xml:space="preserve">&lt;/add&gt;&lt;/l&gt; </w:t>
            </w:r>
          </w:p>
          <w:p w14:paraId="35C28CB1" w14:textId="77777777">
            <w:pPr>
              <w:pStyle w:val="CodeParagraph"/>
              <w:keepNext/>
              <w:rPr>
                <w:rStyle w:val="Code"/>
              </w:rPr>
            </w:pPr>
            <w:r>
              <w:rPr>
                <w:rStyle w:val="Code"/>
              </w:rPr>
              <w:t>&lt;/lg&gt;</w:t>
            </w:r>
          </w:p>
          <w:p w14:paraId="039C2092" w14:textId="77777777">
            <w:pPr>
              <w:pStyle w:val="CodeParagraph"/>
              <w:keepNext/>
              <w:rPr>
                <w:rStyle w:val="Code"/>
              </w:rPr>
            </w:pPr>
            <w:r>
              <w:rPr>
                <w:rStyle w:val="Code"/>
              </w:rPr>
              <w:t xml:space="preserve">&lt;p </w:t>
            </w:r>
            <w:r>
              <w:rPr>
                <w:rStyle w:val="Codeattribute"/>
              </w:rPr>
              <w:t>xml:lang</w:t>
            </w:r>
            <w:r>
              <w:rPr>
                <w:rStyle w:val="Codetext"/>
              </w:rPr>
              <w:t>=</w:t>
            </w:r>
            <w:r>
              <w:rPr>
                <w:rStyle w:val="Codevalue"/>
              </w:rPr>
              <w:t>"ocm-Latn"&gt;</w:t>
            </w:r>
            <w:r>
              <w:rPr>
                <w:rStyle w:val="Code"/>
              </w:rPr>
              <w:t xml:space="preserve">&lt;lb </w:t>
            </w:r>
            <w:r>
              <w:rPr>
                <w:rStyle w:val="Codeattribute"/>
              </w:rPr>
              <w:t>n</w:t>
            </w:r>
            <w:r>
              <w:rPr>
                <w:rStyle w:val="Codetext"/>
              </w:rPr>
              <w:t>=</w:t>
            </w:r>
            <w:r>
              <w:rPr>
                <w:rStyle w:val="Codevalue"/>
              </w:rPr>
              <w:t>"8"</w:t>
            </w:r>
            <w:r>
              <w:rPr>
                <w:rStyle w:val="Code"/>
              </w:rPr>
              <w:t>/&gt;</w:t>
            </w:r>
            <w:r>
              <w:rPr>
                <w:rStyle w:val="Codetext"/>
              </w:rPr>
              <w:t>humā pralauṅ·</w:t>
            </w:r>
            <w:r>
              <w:rPr>
                <w:rStyle w:val="Code"/>
              </w:rPr>
              <w:t xml:space="preserve">&lt;g </w:t>
            </w:r>
            <w:r>
              <w:rPr>
                <w:rStyle w:val="Codeattribute"/>
              </w:rPr>
              <w:t>ref</w:t>
            </w:r>
            <w:r>
              <w:rPr>
                <w:rStyle w:val="Codetext"/>
              </w:rPr>
              <w:t>=</w:t>
            </w:r>
            <w:r>
              <w:rPr>
                <w:rStyle w:val="Codevalue"/>
              </w:rPr>
              <w:t>"sym:doubleBar"</w:t>
            </w:r>
            <w:r>
              <w:rPr>
                <w:rStyle w:val="Code"/>
              </w:rPr>
              <w:t>&gt;</w:t>
            </w:r>
            <w:r>
              <w:rPr>
                <w:rStyle w:val="Codetext"/>
              </w:rPr>
              <w:t>.</w:t>
            </w:r>
            <w:r>
              <w:rPr>
                <w:rStyle w:val="Code"/>
              </w:rPr>
              <w:t>&lt;/g&gt;</w:t>
            </w:r>
            <w:r>
              <w:rPr>
                <w:rStyle w:val="Codetext"/>
              </w:rPr>
              <w:t xml:space="preserve"> humā padaiṅ·</w:t>
            </w:r>
            <w:r>
              <w:rPr>
                <w:rStyle w:val="Code"/>
              </w:rPr>
              <w:t xml:space="preserve">&lt;g </w:t>
            </w:r>
            <w:r>
              <w:rPr>
                <w:rStyle w:val="Codeattribute"/>
              </w:rPr>
              <w:t>ref</w:t>
            </w:r>
            <w:r>
              <w:rPr>
                <w:rStyle w:val="Codetext"/>
              </w:rPr>
              <w:t>=</w:t>
            </w:r>
            <w:r>
              <w:rPr>
                <w:rStyle w:val="Codevalue"/>
              </w:rPr>
              <w:t>"sym:doubleBar"</w:t>
            </w:r>
            <w:r>
              <w:rPr>
                <w:rStyle w:val="Code"/>
              </w:rPr>
              <w:t>&gt;</w:t>
            </w:r>
            <w:r>
              <w:rPr>
                <w:rStyle w:val="Codetext"/>
              </w:rPr>
              <w:t>.</w:t>
            </w:r>
            <w:r>
              <w:rPr>
                <w:rStyle w:val="Code"/>
              </w:rPr>
              <w:t>&lt;/g&gt;</w:t>
            </w:r>
            <w:r>
              <w:rPr>
                <w:rStyle w:val="Codetext"/>
              </w:rPr>
              <w:t xml:space="preserve"> ney· śaka vanuḥ humā dvā nan·</w:t>
            </w:r>
          </w:p>
          <w:p w14:paraId="179A3258" w14:textId="77777777">
            <w:pPr>
              <w:pStyle w:val="CodeParagraph"/>
              <w:keepNext/>
              <w:rPr>
                <w:rStyle w:val="Code"/>
              </w:rPr>
            </w:pPr>
            <w:r>
              <w:rPr>
                <w:rStyle w:val="Code"/>
              </w:rPr>
              <w:t xml:space="preserve">&lt;lb </w:t>
            </w:r>
            <w:r>
              <w:rPr>
                <w:rStyle w:val="Codeattribute"/>
              </w:rPr>
              <w:t>n</w:t>
            </w:r>
            <w:r>
              <w:rPr>
                <w:rStyle w:val="Codetext"/>
              </w:rPr>
              <w:t>=</w:t>
            </w:r>
            <w:r>
              <w:rPr>
                <w:rStyle w:val="Codevalue"/>
              </w:rPr>
              <w:t>"9"</w:t>
            </w:r>
            <w:r>
              <w:rPr>
                <w:rStyle w:val="Code"/>
              </w:rPr>
              <w:t>/&gt;</w:t>
            </w:r>
            <w:r>
              <w:rPr>
                <w:rStyle w:val="Codetext"/>
              </w:rPr>
              <w:t>...</w:t>
            </w:r>
          </w:p>
          <w:p w14:paraId="118A2161" w14:textId="77777777">
            <w:pPr>
              <w:pStyle w:val="CodeParagraph"/>
              <w:keepNext/>
              <w:rPr>
                <w:rStyle w:val="Code"/>
              </w:rPr>
            </w:pPr>
            <w:r>
              <w:rPr>
                <w:rStyle w:val="Codetext"/>
              </w:rPr>
              <w:t>...</w:t>
            </w:r>
          </w:p>
          <w:p w14:paraId="7B2F3DAF" w14:textId="77777777">
            <w:pPr>
              <w:pStyle w:val="CodeParagraph"/>
              <w:keepNext/>
            </w:pPr>
            <w:r>
              <w:rPr>
                <w:rStyle w:val="Code"/>
              </w:rPr>
              <w:t xml:space="preserve">&lt;lb </w:t>
            </w:r>
            <w:r>
              <w:rPr>
                <w:rStyle w:val="Codeattribute"/>
              </w:rPr>
              <w:t>n</w:t>
            </w:r>
            <w:r>
              <w:rPr>
                <w:rStyle w:val="Codetext"/>
              </w:rPr>
              <w:t>=</w:t>
            </w:r>
            <w:r>
              <w:rPr>
                <w:rStyle w:val="Codevalue"/>
              </w:rPr>
              <w:t>"14"</w:t>
            </w:r>
            <w:r>
              <w:rPr>
                <w:rStyle w:val="Code"/>
              </w:rPr>
              <w:t>/&gt;</w:t>
            </w:r>
            <w:r>
              <w:rPr>
                <w:rStyle w:val="Codetext"/>
              </w:rPr>
              <w:t>...</w:t>
            </w:r>
            <w:r>
              <w:rPr>
                <w:rStyle w:val="Code"/>
              </w:rPr>
              <w:t>&lt;/p&gt;</w:t>
            </w:r>
          </w:p>
        </w:tc>
      </w:tr>
      <w:tr w14:paraId="6456DA8A" w14:textId="77777777">
        <w:tc>
          <w:tcPr>
            <w:tcW w:w="5000" w:type="pct"/>
          </w:tcPr>
          <w:p w14:paraId="62A1E4D6" w14:textId="77777777">
            <w:pPr>
              <w:pStyle w:val="TableNote"/>
            </w:pPr>
            <w:r>
              <w:t>the first half of stanza 4 is inscribed as line 7 of the text, but the second hemistich was omitted there</w:t>
            </w:r>
          </w:p>
          <w:p w14:paraId="77D4CECA" w14:textId="77777777">
            <w:pPr>
              <w:pStyle w:val="TableNote"/>
            </w:pPr>
            <w:r>
              <w:t>the text continues with (Old Cham) prose in lines 8 to 14</w:t>
            </w:r>
          </w:p>
          <w:p w14:paraId="3A0E0E8C" w14:textId="77777777">
            <w:pPr>
              <w:pStyle w:val="TableNote"/>
            </w:pPr>
            <w:r>
              <w:t>the omitted hemistich has been added at the bottom, as lines 15 and 16, but it is encoded at its logical place</w:t>
            </w:r>
          </w:p>
          <w:p w14:paraId="4850F1BE" w14:textId="77777777">
            <w:pPr>
              <w:pStyle w:val="TableNote"/>
              <w:rPr>
                <w:rStyle w:val="Code"/>
                <w:rFonts w:ascii="Calibri" w:hAnsi="Calibri" w:cs="Arial Unicode MS"/>
                <w:noProof w:val="0"/>
                <w:color w:val="auto"/>
                <w:shd w:val="clear" w:color="auto" w:fill="auto"/>
              </w:rPr>
            </w:pPr>
            <w:r>
              <w:rPr>
                <w:rStyle w:val="Code"/>
                <w:rFonts w:ascii="Calibri" w:hAnsi="Calibri" w:cs="Arial Unicode MS"/>
                <w:noProof w:val="0"/>
                <w:color w:val="auto"/>
                <w:shd w:val="clear" w:color="auto" w:fill="auto"/>
              </w:rPr>
              <w:t xml:space="preserve">the tags for lines 15 and 16 are placed within the tags for </w:t>
            </w:r>
            <w:r>
              <w:t>addition</w:t>
            </w:r>
          </w:p>
        </w:tc>
      </w:tr>
    </w:tbl>
    <w:p w14:paraId="02AC1C29" w14:textId="77777777">
      <w:pPr>
        <w:pStyle w:val="Lista"/>
      </w:pPr>
      <w:bookmarkStart w:id="99" w:name="_wdva3plgupk6" w:colFirst="0" w:colLast="0"/>
      <w:bookmarkEnd w:id="99"/>
      <w:r>
        <w:t xml:space="preserve">alternatively, encode the items in their </w:t>
      </w:r>
      <w:r>
        <w:rPr>
          <w:b/>
          <w:bCs/>
        </w:rPr>
        <w:t>physical sequence, as split containers</w:t>
      </w:r>
    </w:p>
    <w:p w14:paraId="1FC104AC" w14:textId="77777777">
      <w:pPr>
        <w:pStyle w:val="Lista2"/>
      </w:pPr>
      <w:r>
        <w:t>this interpretation is preferable</w:t>
      </w:r>
    </w:p>
    <w:p w14:paraId="4ADD01AB" w14:textId="77777777">
      <w:pPr>
        <w:pStyle w:val="Lista3"/>
      </w:pPr>
      <w:r>
        <w:t>if the intended logical sequence of parts cannot be confidently established (as in a seriously garbled text with several large chunks out of sequence)</w:t>
      </w:r>
    </w:p>
    <w:p w14:paraId="1B95DD08" w14:textId="77777777">
      <w:pPr>
        <w:pStyle w:val="Lista3"/>
      </w:pPr>
      <w:r>
        <w:t>if the misplaced part of a unit is fully integrated into the physical sequence of the text at another place (written as part of the regular lines within the regular field, without scribal marks to indicate correction)</w:t>
      </w:r>
    </w:p>
    <w:p w14:paraId="5F4D4290" w14:textId="77777777">
      <w:pPr>
        <w:pStyle w:val="Lista3"/>
      </w:pPr>
      <w:r>
        <w:t>if a verse contains extrametrical additions (for which see also §</w:t>
      </w:r>
      <w:r>
        <w:fldChar w:fldCharType="begin"/>
      </w:r>
      <w:r>
        <w:instrText xml:space="preserve"> REF _Ref232089040 \r \h </w:instrText>
      </w:r>
      <w:r>
        <w:fldChar w:fldCharType="separate"/>
      </w:r>
      <w:r>
        <w:t>3.2.3.3</w:t>
      </w:r>
      <w:r>
        <w:fldChar w:fldCharType="end"/>
      </w:r>
      <w:r>
        <w:t xml:space="preserve">), such as </w:t>
      </w:r>
      <w:r>
        <w:rPr>
          <w:rStyle w:val="Foreign"/>
        </w:rPr>
        <w:t>śrī</w:t>
      </w:r>
      <w:r>
        <w:t xml:space="preserve"> tagged on to names, so that the prosody is correct without these additions and incorrect with them</w:t>
      </w:r>
    </w:p>
    <w:p w14:paraId="31FF732B" w14:textId="77777777">
      <w:pPr>
        <w:pStyle w:val="Lista2"/>
      </w:pPr>
      <w:r>
        <w:t xml:space="preserve">in such a case, proceed as in </w:t>
      </w:r>
      <w:r>
        <w:fldChar w:fldCharType="begin"/>
      </w:r>
      <w:r>
        <w:instrText xml:space="preserve"> REF _Ref181707534 \h </w:instrText>
      </w:r>
      <w:r>
        <w:fldChar w:fldCharType="separate"/>
      </w:r>
      <w:r>
        <w:t xml:space="preserve">Exhibit </w:t>
      </w:r>
      <w:r>
        <w:rPr>
          <w:noProof/>
        </w:rPr>
        <w:t>3.2</w:t>
      </w:r>
      <w:r>
        <w:t>.</w:t>
      </w:r>
      <w:r>
        <w:rPr>
          <w:noProof/>
        </w:rPr>
        <w:t>E</w:t>
      </w:r>
      <w:r>
        <w:fldChar w:fldCharType="end"/>
      </w:r>
      <w:r>
        <w:t>, namely:</w:t>
      </w:r>
    </w:p>
    <w:p w14:paraId="2FF1FED5" w14:textId="77777777">
      <w:pPr>
        <w:pStyle w:val="Lista3"/>
        <w:jc w:val="both"/>
      </w:pPr>
      <w:r>
        <w:t xml:space="preserve">include all text at its </w:t>
      </w:r>
      <w:r>
        <w:rPr>
          <w:i/>
          <w:iCs/>
        </w:rPr>
        <w:t>physical</w:t>
      </w:r>
      <w:r>
        <w:t xml:space="preserve"> place, creating prose and/or verse containers as applicable</w:t>
      </w:r>
    </w:p>
    <w:p w14:paraId="71C9EC6B" w14:textId="77777777">
      <w:pPr>
        <w:pStyle w:val="Lista3"/>
        <w:jc w:val="both"/>
      </w:pPr>
      <w:r>
        <w:t xml:space="preserve">add </w:t>
      </w:r>
      <w:r>
        <w:rPr>
          <w:rStyle w:val="Codeattribute"/>
        </w:rPr>
        <w:t>@part</w:t>
      </w:r>
      <w:r>
        <w:t>, with values as applicable, to all incomplete containers</w:t>
      </w:r>
    </w:p>
    <w:p w14:paraId="6A7FCA2B" w14:textId="77777777">
      <w:pPr>
        <w:pStyle w:val="Lista3"/>
      </w:pPr>
      <w:r>
        <w:t>if a stanza is split at a line boundary,</w:t>
      </w:r>
    </w:p>
    <w:p w14:paraId="437BB2DB" w14:textId="77777777">
      <w:pPr>
        <w:pStyle w:val="Lista4"/>
      </w:pPr>
      <w:r>
        <w:t>use the same number (</w:t>
      </w:r>
      <w:r>
        <w:rPr>
          <w:rStyle w:val="Codeattribute"/>
        </w:rPr>
        <w:t>@n</w:t>
      </w:r>
      <w:r>
        <w:t xml:space="preserve">) for both (or all) incomplete </w:t>
      </w:r>
      <w:r>
        <w:rPr>
          <w:rStyle w:val="Code"/>
        </w:rPr>
        <w:t>&lt;lg&gt;</w:t>
      </w:r>
      <w:r>
        <w:t xml:space="preserve"> elements and number the lines consecutively in them</w:t>
      </w:r>
    </w:p>
    <w:p w14:paraId="7B895039" w14:textId="77777777">
      <w:pPr>
        <w:pStyle w:val="Lista3"/>
      </w:pPr>
      <w:r>
        <w:t>if a stanza is split within a verse line,</w:t>
      </w:r>
    </w:p>
    <w:p w14:paraId="5DD7A4A6" w14:textId="77777777">
      <w:pPr>
        <w:pStyle w:val="Lista4"/>
      </w:pPr>
      <w:r>
        <w:t xml:space="preserve">add </w:t>
      </w:r>
      <w:r>
        <w:rPr>
          <w:rStyle w:val="Codeattribute"/>
        </w:rPr>
        <w:t>@part</w:t>
      </w:r>
      <w:r>
        <w:t xml:space="preserve"> to the incomplete </w:t>
      </w:r>
      <w:r>
        <w:rPr>
          <w:rStyle w:val="Code"/>
        </w:rPr>
        <w:t>&lt;l&gt;</w:t>
      </w:r>
      <w:r>
        <w:t xml:space="preserve"> elements as well as to the </w:t>
      </w:r>
      <w:r>
        <w:rPr>
          <w:rStyle w:val="Code"/>
        </w:rPr>
        <w:t>&lt;lg&gt;</w:t>
      </w:r>
      <w:r>
        <w:t xml:space="preserve"> elements</w:t>
      </w:r>
    </w:p>
    <w:p w14:paraId="34D45D94" w14:textId="77777777">
      <w:pPr>
        <w:pStyle w:val="Lista4"/>
      </w:pPr>
      <w:r>
        <w:t>use the same number (</w:t>
      </w:r>
      <w:r>
        <w:rPr>
          <w:rStyle w:val="Codeattribute"/>
        </w:rPr>
        <w:t>@n</w:t>
      </w:r>
      <w:r>
        <w:t xml:space="preserve">) for both (or all) incomplete </w:t>
      </w:r>
      <w:r>
        <w:rPr>
          <w:rStyle w:val="Code"/>
        </w:rPr>
        <w:t>&lt;l&gt;</w:t>
      </w:r>
      <w:r>
        <w:t xml:space="preserve"> elements</w:t>
      </w:r>
    </w:p>
    <w:p w14:paraId="5216D879" w14:textId="77777777">
      <w:pPr>
        <w:pStyle w:val="Lista2"/>
      </w:pPr>
      <w:r>
        <w:t>discuss the logical sequence in your annotation</w:t>
      </w:r>
    </w:p>
    <w:tbl>
      <w:tblPr>
        <w:tblStyle w:val="CodeSampleTable"/>
        <w:tblW w:w="5000" w:type="pct"/>
        <w:tblLook w:val="04A0" w:firstRow="1" w:lastRow="0" w:firstColumn="1" w:lastColumn="0" w:noHBand="0" w:noVBand="1"/>
      </w:tblPr>
      <w:tblGrid>
        <w:gridCol w:w="9628"/>
      </w:tblGrid>
      <w:tr w14:paraId="0747341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7B6E67" w14:textId="77777777">
            <w:pPr>
              <w:pStyle w:val="Kpalrs"/>
            </w:pPr>
            <w:bookmarkStart w:id="100" w:name="_Ref181707534"/>
            <w:r>
              <w:lastRenderedPageBreak/>
              <w:t xml:space="preserve">Exhibit </w:t>
            </w:r>
            <w:fldSimple w:instr=" STYLEREF 2 \s ">
              <w:r>
                <w:rPr>
                  <w:noProof/>
                </w:rPr>
                <w:t>3.2</w:t>
              </w:r>
            </w:fldSimple>
            <w:r>
              <w:t>.</w:t>
            </w:r>
            <w:fldSimple w:instr=" SEQ Exhibit \* ALPHABETIC \s 2 ">
              <w:r>
                <w:rPr>
                  <w:noProof/>
                </w:rPr>
                <w:t>E</w:t>
              </w:r>
            </w:fldSimple>
            <w:bookmarkEnd w:id="100"/>
            <w:r>
              <w:t>: stanza interrupted by prose</w:t>
            </w:r>
          </w:p>
        </w:tc>
      </w:tr>
      <w:tr w14:paraId="29B01821" w14:textId="77777777">
        <w:tc>
          <w:tcPr>
            <w:tcW w:w="5000" w:type="pct"/>
          </w:tcPr>
          <w:p w14:paraId="51A64BEB" w14:textId="77777777">
            <w:pPr>
              <w:pStyle w:val="CodeParagraph"/>
              <w:keepNext/>
              <w:rPr>
                <w:rStyle w:val="Code"/>
              </w:rPr>
            </w:pPr>
            <w:r>
              <w:rPr>
                <w:rStyle w:val="Code"/>
              </w:rPr>
              <w:t xml:space="preserve">&lt;lg </w:t>
            </w:r>
            <w:r>
              <w:rPr>
                <w:rStyle w:val="Codeattribute"/>
              </w:rPr>
              <w:t>n</w:t>
            </w:r>
            <w:r>
              <w:rPr>
                <w:rStyle w:val="Codetext"/>
              </w:rPr>
              <w:t>=</w:t>
            </w:r>
            <w:r>
              <w:rPr>
                <w:rStyle w:val="Codevalue"/>
              </w:rPr>
              <w:t>"1"</w:t>
            </w:r>
            <w:r>
              <w:rPr>
                <w:rStyle w:val="Code"/>
              </w:rPr>
              <w:t xml:space="preserve"> </w:t>
            </w:r>
            <w:r>
              <w:rPr>
                <w:rStyle w:val="Codeattribute"/>
              </w:rPr>
              <w:t>part</w:t>
            </w:r>
            <w:r>
              <w:rPr>
                <w:rStyle w:val="Codetext"/>
              </w:rPr>
              <w:t>=</w:t>
            </w:r>
            <w:r>
              <w:rPr>
                <w:rStyle w:val="Codevalue"/>
              </w:rPr>
              <w:t>"I"</w:t>
            </w:r>
            <w:r>
              <w:rPr>
                <w:rStyle w:val="Code"/>
              </w:rPr>
              <w:t xml:space="preserve"> </w:t>
            </w:r>
            <w:r>
              <w:rPr>
                <w:rStyle w:val="Codeattribute"/>
              </w:rPr>
              <w:t>met</w:t>
            </w:r>
            <w:r>
              <w:rPr>
                <w:rStyle w:val="Codetext"/>
              </w:rPr>
              <w:t>=</w:t>
            </w:r>
            <w:r>
              <w:rPr>
                <w:rStyle w:val="Codevalue"/>
              </w:rPr>
              <w:t>"anuṣṭubh"</w:t>
            </w:r>
            <w:r>
              <w:rPr>
                <w:rStyle w:val="Code"/>
              </w:rPr>
              <w:t>&gt;</w:t>
            </w:r>
          </w:p>
          <w:p w14:paraId="73BB4FFC"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&gt;&lt;lb </w:t>
            </w:r>
            <w:r>
              <w:rPr>
                <w:rStyle w:val="Codeattribute"/>
              </w:rPr>
              <w:t>n</w:t>
            </w:r>
            <w:r>
              <w:rPr>
                <w:rStyle w:val="Codetext"/>
              </w:rPr>
              <w:t>=</w:t>
            </w:r>
            <w:r>
              <w:rPr>
                <w:rStyle w:val="Codevalue"/>
              </w:rPr>
              <w:t>"12"</w:t>
            </w:r>
            <w:r>
              <w:rPr>
                <w:rStyle w:val="Code"/>
              </w:rPr>
              <w:t>/&gt;</w:t>
            </w:r>
            <w:r>
              <w:rPr>
                <w:rStyle w:val="Codetext"/>
              </w:rPr>
              <w:t>sva-dattāṁ para-dattām vā</w:t>
            </w:r>
            <w:r>
              <w:rPr>
                <w:rStyle w:val="Code"/>
              </w:rPr>
              <w:t>&lt;/l&gt;</w:t>
            </w:r>
          </w:p>
          <w:p w14:paraId="73F859AD"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yo hareta vasundharāṁ</w:t>
            </w:r>
            <w:r>
              <w:rPr>
                <w:rStyle w:val="Code"/>
              </w:rPr>
              <w:t>&lt;/l&gt;</w:t>
            </w:r>
          </w:p>
          <w:p w14:paraId="199527AE" w14:textId="77777777">
            <w:pPr>
              <w:pStyle w:val="CodeParagraph"/>
              <w:keepNext/>
              <w:rPr>
                <w:rStyle w:val="Code"/>
              </w:rPr>
            </w:pPr>
            <w:r>
              <w:rPr>
                <w:rStyle w:val="Code"/>
              </w:rPr>
              <w:t>&lt;/lg&gt;</w:t>
            </w:r>
          </w:p>
          <w:p w14:paraId="0A1FEBFF" w14:textId="77777777">
            <w:pPr>
              <w:pStyle w:val="CodeParagraph"/>
              <w:keepNext/>
              <w:rPr>
                <w:rStyle w:val="Code"/>
              </w:rPr>
            </w:pPr>
            <w:r>
              <w:rPr>
                <w:rStyle w:val="Code"/>
              </w:rPr>
              <w:t>&lt;p&gt;</w:t>
            </w:r>
            <w:r>
              <w:rPr>
                <w:rStyle w:val="Codetext"/>
              </w:rPr>
              <w:t>bhūmi-dāna-saṁbaddhāḥ ślokā bhavanti</w:t>
            </w:r>
            <w:r>
              <w:rPr>
                <w:rStyle w:val="Code"/>
              </w:rPr>
              <w:t>&lt;/p&gt;</w:t>
            </w:r>
          </w:p>
          <w:p w14:paraId="05AD4871" w14:textId="77777777">
            <w:pPr>
              <w:pStyle w:val="CodeParagraph"/>
              <w:keepNext/>
              <w:rPr>
                <w:rStyle w:val="Code"/>
              </w:rPr>
            </w:pPr>
            <w:r>
              <w:rPr>
                <w:rStyle w:val="Code"/>
              </w:rPr>
              <w:t xml:space="preserve">&lt;lg </w:t>
            </w:r>
            <w:r>
              <w:rPr>
                <w:rStyle w:val="Codeattribute"/>
              </w:rPr>
              <w:t>n</w:t>
            </w:r>
            <w:r>
              <w:rPr>
                <w:rStyle w:val="Codetext"/>
              </w:rPr>
              <w:t>=</w:t>
            </w:r>
            <w:r>
              <w:rPr>
                <w:rStyle w:val="Codevalue"/>
              </w:rPr>
              <w:t>"1"</w:t>
            </w:r>
            <w:r>
              <w:rPr>
                <w:rStyle w:val="Code"/>
              </w:rPr>
              <w:t xml:space="preserve"> </w:t>
            </w:r>
            <w:r>
              <w:rPr>
                <w:rStyle w:val="Codeattribute"/>
              </w:rPr>
              <w:t>part</w:t>
            </w:r>
            <w:r>
              <w:rPr>
                <w:rStyle w:val="Codetext"/>
              </w:rPr>
              <w:t>=</w:t>
            </w:r>
            <w:r>
              <w:rPr>
                <w:rStyle w:val="Codevalue"/>
              </w:rPr>
              <w:t>"F"</w:t>
            </w:r>
            <w:r>
              <w:rPr>
                <w:rStyle w:val="Code"/>
              </w:rPr>
              <w:t xml:space="preserve"> </w:t>
            </w:r>
            <w:r>
              <w:rPr>
                <w:rStyle w:val="Codeattribute"/>
              </w:rPr>
              <w:t>met</w:t>
            </w:r>
            <w:r>
              <w:rPr>
                <w:rStyle w:val="Codetext"/>
              </w:rPr>
              <w:t>=</w:t>
            </w:r>
            <w:r>
              <w:rPr>
                <w:rStyle w:val="Codevalue"/>
              </w:rPr>
              <w:t>"anuṣṭubh"</w:t>
            </w:r>
            <w:r>
              <w:rPr>
                <w:rStyle w:val="Code"/>
              </w:rPr>
              <w:t>&gt;</w:t>
            </w:r>
          </w:p>
          <w:p w14:paraId="63C0D05E"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&gt;&lt;lb </w:t>
            </w:r>
            <w:r>
              <w:rPr>
                <w:rStyle w:val="Codeattribute"/>
              </w:rPr>
              <w:t>n</w:t>
            </w:r>
            <w:r>
              <w:rPr>
                <w:rStyle w:val="Codetext"/>
              </w:rPr>
              <w:t>=</w:t>
            </w:r>
            <w:r>
              <w:rPr>
                <w:rStyle w:val="Codevalue"/>
              </w:rPr>
              <w:t>"13"</w:t>
            </w:r>
            <w:r>
              <w:rPr>
                <w:rStyle w:val="Code"/>
              </w:rPr>
              <w:t>/&gt;</w:t>
            </w:r>
            <w:r>
              <w:rPr>
                <w:rStyle w:val="Codetext"/>
              </w:rPr>
              <w:t>sa viṣṭhāyāṁ kr̥mir bhūtvā</w:t>
            </w:r>
            <w:r>
              <w:rPr>
                <w:rStyle w:val="Code"/>
              </w:rPr>
              <w:t>&lt;/l&gt;</w:t>
            </w:r>
          </w:p>
          <w:p w14:paraId="7706A4A0"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&gt;</w:t>
            </w:r>
            <w:r>
              <w:rPr>
                <w:rStyle w:val="Codetext"/>
              </w:rPr>
              <w:t>pitr̥bhiḥ saha pacyate</w:t>
            </w:r>
            <w:r>
              <w:rPr>
                <w:rStyle w:val="Code"/>
              </w:rPr>
              <w:t>&lt;/l&gt;</w:t>
            </w:r>
          </w:p>
          <w:p w14:paraId="54E67F57" w14:textId="77777777">
            <w:pPr>
              <w:pStyle w:val="CodeParagraph"/>
              <w:keepNext/>
            </w:pPr>
            <w:r>
              <w:rPr>
                <w:rStyle w:val="Code"/>
              </w:rPr>
              <w:t>&lt;/lg&gt;</w:t>
            </w:r>
          </w:p>
        </w:tc>
      </w:tr>
      <w:tr w14:paraId="4BCF5277" w14:textId="77777777">
        <w:tc>
          <w:tcPr>
            <w:tcW w:w="5000" w:type="pct"/>
          </w:tcPr>
          <w:p w14:paraId="639A7690" w14:textId="77777777">
            <w:pPr>
              <w:pStyle w:val="TableNote"/>
              <w:rPr>
                <w:rFonts w:ascii="Arial" w:hAnsi="Arial" w:cs="Arial"/>
                <w:sz w:val="18"/>
                <w:szCs w:val="18"/>
              </w:rPr>
            </w:pPr>
            <w:r>
              <w:t>the first half of stanza 1 is inscribed in line 12</w:t>
            </w:r>
          </w:p>
          <w:p w14:paraId="37C36494" w14:textId="77777777">
            <w:pPr>
              <w:pStyle w:val="TableNote"/>
            </w:pPr>
            <w:r>
              <w:t>at this point the engraver apparently realised that he had forgotten to engrave the prose introducing the admonitory stanzas and engraved that right after the first hemistich</w:t>
            </w:r>
          </w:p>
          <w:p w14:paraId="5DF65BAE" w14:textId="77777777">
            <w:pPr>
              <w:pStyle w:val="TableNote"/>
              <w:rPr>
                <w:rFonts w:ascii="Arial" w:hAnsi="Arial" w:cs="Arial"/>
                <w:sz w:val="18"/>
                <w:szCs w:val="18"/>
              </w:rPr>
            </w:pPr>
            <w:r>
              <w:t>then, at the beginning of line 13, he continued with the rest of the stanza</w:t>
            </w:r>
          </w:p>
          <w:p w14:paraId="4F27FADA" w14:textId="77777777">
            <w:pPr>
              <w:pStyle w:val="TableNote"/>
            </w:pPr>
            <w:r>
              <w:t>since the out-of-sequence part is integrated into the physical sequence of the text without any indication that this is a correction, the text was encoded with a split container</w:t>
            </w:r>
          </w:p>
        </w:tc>
      </w:tr>
    </w:tbl>
    <w:p w14:paraId="6B9B6DD4" w14:textId="77777777">
      <w:pPr>
        <w:pStyle w:val="Cmsor4"/>
      </w:pPr>
      <w:bookmarkStart w:id="101" w:name="_Ref232089040"/>
      <w:bookmarkStart w:id="102" w:name="_Ref225324784"/>
      <w:r>
        <w:t>Extrametrical additions to verse</w:t>
      </w:r>
      <w:bookmarkEnd w:id="101"/>
    </w:p>
    <w:p w14:paraId="44D14C9C" w14:textId="77777777">
      <w:r>
        <w:t xml:space="preserve">Stanzas occasionally come with extrametrical additions, such as an introductory connective phrase (e.g. </w:t>
      </w:r>
      <w:r>
        <w:rPr>
          <w:rStyle w:val="Foreign"/>
        </w:rPr>
        <w:t>api ca</w:t>
      </w:r>
      <w:r>
        <w:t xml:space="preserve">), an opening label denoting a verse passage (e.g. </w:t>
      </w:r>
      <w:r>
        <w:rPr>
          <w:rStyle w:val="Foreign"/>
        </w:rPr>
        <w:t>ślokāḥ</w:t>
      </w:r>
      <w:r>
        <w:t xml:space="preserve">), an honorific (e.g. </w:t>
      </w:r>
      <w:r>
        <w:rPr>
          <w:rStyle w:val="Foreign"/>
        </w:rPr>
        <w:t>śrī</w:t>
      </w:r>
      <w:r>
        <w:t xml:space="preserve">) tagged on to names, or a closing </w:t>
      </w:r>
      <w:r>
        <w:rPr>
          <w:rStyle w:val="Foreign"/>
        </w:rPr>
        <w:t>iti</w:t>
      </w:r>
      <w:r>
        <w:t xml:space="preserve"> added at the end. Such supplementary pieces of text must be encoded outside the stanza structure, thus:</w:t>
      </w:r>
    </w:p>
    <w:p w14:paraId="2C74DA69" w14:textId="77777777">
      <w:pPr>
        <w:pStyle w:val="Lista"/>
      </w:pPr>
      <w:r>
        <w:t>if the extrametrical addition is at the beginning or end of a stanza and can be conceived of as belonging to the previous or next container (i.e. when the adjacent container is prose and the addition is semantically contiguous with its content), then simply treat the addition as part of the adjacent container</w:t>
      </w:r>
    </w:p>
    <w:p w14:paraId="19EBAA8A" w14:textId="77777777">
      <w:pPr>
        <w:pStyle w:val="Lista"/>
      </w:pPr>
      <w:r>
        <w:t xml:space="preserve">if the extrametrical addition is at the beginning or end of a stanza but cannot be conceived of as belonging to the previous or next container (i.e. when the adjacent container is verse or the addition is semantically separate from its content), then create a separate </w:t>
      </w:r>
      <w:r>
        <w:rPr>
          <w:rStyle w:val="Code"/>
        </w:rPr>
        <w:t>&lt;ab&gt;</w:t>
      </w:r>
      <w:r>
        <w:t xml:space="preserve"> container (§</w:t>
      </w:r>
      <w:r>
        <w:fldChar w:fldCharType="begin"/>
      </w:r>
      <w:r>
        <w:instrText xml:space="preserve"> REF _Ref43981028 \r \h </w:instrText>
      </w:r>
      <w:r>
        <w:fldChar w:fldCharType="separate"/>
      </w:r>
      <w:r>
        <w:t>3.2.1.2</w:t>
      </w:r>
      <w:r>
        <w:fldChar w:fldCharType="end"/>
      </w:r>
      <w:r>
        <w:t xml:space="preserve">) for the addition as in </w:t>
      </w:r>
      <w:r>
        <w:fldChar w:fldCharType="begin"/>
      </w:r>
      <w:r>
        <w:instrText xml:space="preserve"> REF _Ref137825293 \h </w:instrText>
      </w:r>
      <w:r>
        <w:fldChar w:fldCharType="separate"/>
      </w:r>
      <w:r>
        <w:t xml:space="preserve">Exhibit </w:t>
      </w:r>
      <w:r>
        <w:rPr>
          <w:noProof/>
        </w:rPr>
        <w:t>3.2</w:t>
      </w:r>
      <w:r>
        <w:t>.</w:t>
      </w:r>
      <w:r>
        <w:rPr>
          <w:noProof/>
        </w:rPr>
        <w:t>F</w:t>
      </w:r>
      <w:r>
        <w:fldChar w:fldCharType="end"/>
      </w:r>
    </w:p>
    <w:p w14:paraId="00FA330C" w14:textId="77777777">
      <w:pPr>
        <w:pStyle w:val="Lista"/>
      </w:pPr>
      <w:r>
        <w:t>if the extrametrical addition is within a stanza, then split up the stanza as per §</w:t>
      </w:r>
      <w:r>
        <w:fldChar w:fldCharType="begin"/>
      </w:r>
      <w:r>
        <w:instrText xml:space="preserve"> REF _Ref228980509 \r \h </w:instrText>
      </w:r>
      <w:r>
        <w:fldChar w:fldCharType="separate"/>
      </w:r>
      <w:r>
        <w:t>3.2.3.1</w:t>
      </w:r>
      <w:r>
        <w:fldChar w:fldCharType="end"/>
      </w:r>
      <w:r>
        <w:t xml:space="preserve"> and create a separate </w:t>
      </w:r>
      <w:r>
        <w:rPr>
          <w:rStyle w:val="Code"/>
        </w:rPr>
        <w:t>&lt;ab&gt;</w:t>
      </w:r>
      <w:r>
        <w:t xml:space="preserve"> container for the addition</w:t>
      </w:r>
    </w:p>
    <w:p w14:paraId="19850EB5" w14:textId="77777777">
      <w:pPr>
        <w:pStyle w:val="Lista"/>
      </w:pPr>
      <w:r>
        <w:t>additional instructions for treating vowel fusion sandhi across container boundaries are given in §</w:t>
      </w:r>
      <w:r>
        <w:fldChar w:fldCharType="begin"/>
      </w:r>
      <w:r>
        <w:instrText xml:space="preserve"> REF _Ref225324953 \r \h </w:instrText>
      </w:r>
      <w:r>
        <w:fldChar w:fldCharType="separate"/>
      </w:r>
      <w:r>
        <w:t>3.2.4.4</w:t>
      </w:r>
      <w:r>
        <w:fldChar w:fldCharType="end"/>
      </w:r>
    </w:p>
    <w:tbl>
      <w:tblPr>
        <w:tblStyle w:val="CodeSampleTable"/>
        <w:tblW w:w="5000" w:type="pct"/>
        <w:tblLook w:val="04A0" w:firstRow="1" w:lastRow="0" w:firstColumn="1" w:lastColumn="0" w:noHBand="0" w:noVBand="1"/>
      </w:tblPr>
      <w:tblGrid>
        <w:gridCol w:w="9628"/>
      </w:tblGrid>
      <w:tr w14:paraId="4985AF3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DE62EC" w14:textId="77777777">
            <w:pPr>
              <w:pStyle w:val="Kpalrs"/>
            </w:pPr>
            <w:bookmarkStart w:id="103" w:name="_Ref137825293"/>
            <w:bookmarkStart w:id="104" w:name="_Ref137825286"/>
            <w:r>
              <w:t xml:space="preserve">Exhibit </w:t>
            </w:r>
            <w:fldSimple w:instr=" STYLEREF 2 \s ">
              <w:r>
                <w:rPr>
                  <w:noProof/>
                </w:rPr>
                <w:t>3.2</w:t>
              </w:r>
            </w:fldSimple>
            <w:r>
              <w:t>.</w:t>
            </w:r>
            <w:fldSimple w:instr=" SEQ Exhibit \* ALPHABETIC \s 2 ">
              <w:r>
                <w:rPr>
                  <w:noProof/>
                </w:rPr>
                <w:t>F</w:t>
              </w:r>
            </w:fldSimple>
            <w:bookmarkEnd w:id="103"/>
            <w:r>
              <w:t>: stanza with initial extrametrical addition</w:t>
            </w:r>
            <w:bookmarkEnd w:id="104"/>
          </w:p>
        </w:tc>
      </w:tr>
      <w:tr w14:paraId="25905D1A" w14:textId="77777777">
        <w:tc>
          <w:tcPr>
            <w:tcW w:w="5000" w:type="pct"/>
          </w:tcPr>
          <w:p w14:paraId="289FD15F" w14:textId="77777777">
            <w:pPr>
              <w:pStyle w:val="CodeParagraph"/>
              <w:rPr>
                <w:rStyle w:val="Code"/>
              </w:rPr>
            </w:pPr>
            <w:r>
              <w:rPr>
                <w:rStyle w:val="Code"/>
              </w:rPr>
              <w:t xml:space="preserve">&lt;ab&gt;&lt;lb </w:t>
            </w:r>
            <w:r>
              <w:rPr>
                <w:rStyle w:val="Codeattribute"/>
              </w:rPr>
              <w:t>n</w:t>
            </w:r>
            <w:r>
              <w:rPr>
                <w:rStyle w:val="Code"/>
              </w:rPr>
              <w:t>=</w:t>
            </w:r>
            <w:r>
              <w:rPr>
                <w:rStyle w:val="Codevalue"/>
              </w:rPr>
              <w:t>"2"</w:t>
            </w:r>
            <w:r>
              <w:rPr>
                <w:rStyle w:val="Code"/>
              </w:rPr>
              <w:t>/&gt;</w:t>
            </w:r>
            <w:r>
              <w:rPr>
                <w:rStyle w:val="Codetext"/>
              </w:rPr>
              <w:t>śrī</w:t>
            </w:r>
            <w:r>
              <w:rPr>
                <w:rStyle w:val="Code"/>
              </w:rPr>
              <w:t>&lt;/ab&gt;</w:t>
            </w:r>
          </w:p>
          <w:p w14:paraId="162FF963" w14:textId="77777777">
            <w:pPr>
              <w:pStyle w:val="CodeParagraph"/>
              <w:rPr>
                <w:rStyle w:val="Code"/>
              </w:rPr>
            </w:pPr>
            <w:r>
              <w:rPr>
                <w:rStyle w:val="Code"/>
              </w:rPr>
              <w:t xml:space="preserve">&lt;lg </w:t>
            </w:r>
            <w:r>
              <w:rPr>
                <w:rStyle w:val="Codeattribute"/>
              </w:rPr>
              <w:t>n</w:t>
            </w:r>
            <w:r>
              <w:rPr>
                <w:rStyle w:val="Code"/>
              </w:rPr>
              <w:t>=</w:t>
            </w:r>
            <w:r>
              <w:rPr>
                <w:rStyle w:val="Codevalue"/>
              </w:rPr>
              <w:t>"2"</w:t>
            </w:r>
            <w:r>
              <w:rPr>
                <w:rStyle w:val="Code"/>
              </w:rPr>
              <w:t xml:space="preserve"> </w:t>
            </w:r>
            <w:r>
              <w:rPr>
                <w:rStyle w:val="Codeattribute"/>
              </w:rPr>
              <w:t>met</w:t>
            </w:r>
            <w:r>
              <w:rPr>
                <w:rStyle w:val="Code"/>
              </w:rPr>
              <w:t>=</w:t>
            </w:r>
            <w:r>
              <w:rPr>
                <w:rStyle w:val="Codevalue"/>
              </w:rPr>
              <w:t>"anuṣṭubh"</w:t>
            </w:r>
            <w:r>
              <w:rPr>
                <w:rStyle w:val="Code"/>
              </w:rPr>
              <w:t>&gt;</w:t>
            </w:r>
          </w:p>
          <w:p w14:paraId="497F1691" w14:textId="77777777">
            <w:pPr>
              <w:pStyle w:val="CodeParagraph"/>
              <w:rPr>
                <w:rStyle w:val="Code"/>
              </w:rPr>
            </w:pPr>
            <w:r>
              <w:rPr>
                <w:rStyle w:val="Code"/>
              </w:rPr>
              <w:t xml:space="preserve">  &lt;l </w:t>
            </w:r>
            <w:r>
              <w:rPr>
                <w:rStyle w:val="Codeattribute"/>
              </w:rPr>
              <w:t>n</w:t>
            </w:r>
            <w:r>
              <w:rPr>
                <w:rStyle w:val="Code"/>
              </w:rPr>
              <w:t>=</w:t>
            </w:r>
            <w:r>
              <w:rPr>
                <w:rStyle w:val="Codevalue"/>
              </w:rPr>
              <w:t>"a"</w:t>
            </w:r>
            <w:r>
              <w:rPr>
                <w:rStyle w:val="Code"/>
              </w:rPr>
              <w:t>&gt;</w:t>
            </w:r>
            <w:r>
              <w:rPr>
                <w:rStyle w:val="Codetext"/>
              </w:rPr>
              <w:t>prabhāsomeśvaraḥ śrīmān·</w:t>
            </w:r>
            <w:r>
              <w:rPr>
                <w:rStyle w:val="Code"/>
              </w:rPr>
              <w:t>&lt;/l&gt;</w:t>
            </w:r>
          </w:p>
          <w:p w14:paraId="2B919D15" w14:textId="77777777">
            <w:pPr>
              <w:pStyle w:val="CodeParagraph"/>
              <w:rPr>
                <w:rStyle w:val="Codetext"/>
              </w:rPr>
            </w:pPr>
            <w:r>
              <w:rPr>
                <w:rStyle w:val="Codetext"/>
              </w:rPr>
              <w:t xml:space="preserve">  ...</w:t>
            </w:r>
          </w:p>
          <w:p w14:paraId="0C43F165" w14:textId="77777777">
            <w:pPr>
              <w:pStyle w:val="CodeParagraph"/>
            </w:pPr>
            <w:r>
              <w:rPr>
                <w:rStyle w:val="Code"/>
              </w:rPr>
              <w:t>&lt;/lg&gt;</w:t>
            </w:r>
          </w:p>
        </w:tc>
      </w:tr>
      <w:tr w14:paraId="14C46305" w14:textId="77777777">
        <w:tc>
          <w:tcPr>
            <w:tcW w:w="5000" w:type="pct"/>
          </w:tcPr>
          <w:p w14:paraId="2E5064C5" w14:textId="77777777">
            <w:pPr>
              <w:pStyle w:val="TableNote"/>
            </w:pPr>
            <w:r>
              <w:t xml:space="preserve">the composer or the engraver felt the need to add the honorific </w:t>
            </w:r>
            <w:r>
              <w:rPr>
                <w:rStyle w:val="Foreign"/>
              </w:rPr>
              <w:t>śrī</w:t>
            </w:r>
            <w:r>
              <w:t xml:space="preserve"> before the name of the deity, but the stanza’s metre would be disrupted by this addition</w:t>
            </w:r>
          </w:p>
          <w:p w14:paraId="5D36A77E" w14:textId="77777777">
            <w:pPr>
              <w:pStyle w:val="TableNote"/>
              <w:rPr>
                <w:rStyle w:val="Code"/>
                <w:rFonts w:ascii="Arial" w:hAnsi="Arial" w:cs="Arial"/>
                <w:noProof w:val="0"/>
                <w:color w:val="auto"/>
                <w:sz w:val="18"/>
                <w:szCs w:val="18"/>
                <w:shd w:val="clear" w:color="auto" w:fill="auto"/>
              </w:rPr>
            </w:pPr>
            <w:r>
              <w:rPr>
                <w:rStyle w:val="Foreign"/>
              </w:rPr>
              <w:t>śrī</w:t>
            </w:r>
            <w:r>
              <w:t xml:space="preserve"> is therefore encoded in a separate prose container before the stanza</w:t>
            </w:r>
          </w:p>
        </w:tc>
      </w:tr>
    </w:tbl>
    <w:p w14:paraId="4D176CEA" w14:textId="77777777">
      <w:pPr>
        <w:pStyle w:val="Cmsor3"/>
      </w:pPr>
      <w:bookmarkStart w:id="105" w:name="_Toc243900252"/>
      <w:r>
        <w:t xml:space="preserve">Container boundaries interrupting </w:t>
      </w:r>
      <w:bookmarkEnd w:id="102"/>
      <w:r>
        <w:t>the text</w:t>
      </w:r>
      <w:bookmarkEnd w:id="105"/>
    </w:p>
    <w:p w14:paraId="16BA2C65" w14:textId="77777777">
      <w:bookmarkStart w:id="106" w:name="_npo9c26uh9kc" w:colFirst="0" w:colLast="0"/>
      <w:bookmarkStart w:id="107" w:name="_jc4wva15vg6u" w:colFirst="0" w:colLast="0"/>
      <w:bookmarkStart w:id="108" w:name="_5nopgd94ub2w" w:colFirst="0" w:colLast="0"/>
      <w:bookmarkStart w:id="109" w:name="_9vbmy5wityl0" w:colFirst="0" w:colLast="0"/>
      <w:bookmarkEnd w:id="106"/>
      <w:bookmarkEnd w:id="107"/>
      <w:bookmarkEnd w:id="108"/>
      <w:bookmarkEnd w:id="109"/>
      <w:r>
        <w:t>Since the units of intrinsic structure are determined on a largely semantic basis, their boundaries will normally coincide with word boundaries. This section discusses situations where this is not, or not obviously, the case. Such problematic situations are relatively common in verse lines, which are metrically determined and need not be semantically complete. Exceptionally, the boundaries of other kinds of block-level elements can also interact with the segmentation of the text. As a general rule for this situations, block boundaries must always be established at morphological word boundaries or as close to them as feasible. However, in the case of verse, metrical considerations take precedence, so boundaries must first correspond to the applicable prosodic requirements.</w:t>
      </w:r>
    </w:p>
    <w:p w14:paraId="7F45DAEE" w14:textId="77777777">
      <w:pPr>
        <w:pStyle w:val="Cmsor4"/>
      </w:pPr>
      <w:bookmarkStart w:id="110" w:name="_Ref224901083"/>
      <w:bookmarkStart w:id="111" w:name="_Ref225328264"/>
      <w:bookmarkStart w:id="112" w:name="_Ref225326474"/>
      <w:r>
        <w:lastRenderedPageBreak/>
        <w:t>Enjambement</w:t>
      </w:r>
      <w:bookmarkEnd w:id="110"/>
    </w:p>
    <w:p w14:paraId="35ECDE2A" w14:textId="77777777">
      <w:r>
        <w:t xml:space="preserve">The ends of verse lines normally coincide with word boundaries. When they do not (which may be a poetic device, a compositional mistake, or a different interpretation of versification conventions on the part of the composer), we speak of </w:t>
      </w:r>
      <w:r>
        <w:rPr>
          <w:i/>
          <w:iCs/>
        </w:rPr>
        <w:t>enjambement</w:t>
      </w:r>
      <w:r>
        <w:t xml:space="preserve">. TEI represents enjambement by adding the attribute </w:t>
      </w:r>
      <w:r>
        <w:rPr>
          <w:rStyle w:val="Codeattribute"/>
        </w:rPr>
        <w:t>@enjamb=</w:t>
      </w:r>
      <w:r>
        <w:rPr>
          <w:rStyle w:val="Codevalue"/>
        </w:rPr>
        <w:t>"yes"</w:t>
      </w:r>
      <w:r>
        <w:t xml:space="preserve"> to the </w:t>
      </w:r>
      <w:r>
        <w:rPr>
          <w:rStyle w:val="Code"/>
        </w:rPr>
        <w:t>&lt;l&gt;</w:t>
      </w:r>
      <w:r>
        <w:t xml:space="preserve"> element which ends inside a word, i.e. the one containing the initial part of the broken word, not to the one containing the final part.</w:t>
      </w:r>
    </w:p>
    <w:p w14:paraId="5B13B4EB" w14:textId="77777777">
      <w:pPr>
        <w:pStyle w:val="Normlbehzs"/>
      </w:pPr>
      <w:r>
        <w:t>In DHARMA practice, encoding enjambement is mandatory whenever a line boundary does not coincide with a word boundary. Instructions pertaining to the various ways in which line and word boundaries interact are given in the following subsections.</w:t>
      </w:r>
    </w:p>
    <w:p w14:paraId="1E107609" w14:textId="77777777">
      <w:pPr>
        <w:pStyle w:val="Cmsor4"/>
      </w:pPr>
      <w:r>
        <w:t xml:space="preserve">Interrupted </w:t>
      </w:r>
      <w:r>
        <w:rPr>
          <w:rStyle w:val="Foreign"/>
        </w:rPr>
        <w:t>akṣara</w:t>
      </w:r>
      <w:r>
        <w:rPr>
          <w:rStyle w:val="Foreign"/>
          <w:i w:val="0"/>
          <w:iCs w:val="0"/>
        </w:rPr>
        <w:t>s</w:t>
      </w:r>
      <w:bookmarkEnd w:id="111"/>
    </w:p>
    <w:p w14:paraId="788D08DD" w14:textId="77777777">
      <w:r>
        <w:t xml:space="preserve">All of our editions are in Romanised transliteration, which allows us to detach any two adjacent graphemes of the text, even if these graphemes belong to a single </w:t>
      </w:r>
      <w:r>
        <w:rPr>
          <w:rStyle w:val="Foreign"/>
        </w:rPr>
        <w:t>akṣara</w:t>
      </w:r>
      <w:r>
        <w:t xml:space="preserve"> in the source.</w:t>
      </w:r>
      <w:r>
        <w:rPr>
          <w:rStyle w:val="Lbjegyzet-hivatkozs"/>
        </w:rPr>
        <w:footnoteReference w:id="9"/>
      </w:r>
      <w:r>
        <w:t xml:space="preserve"> The boundaries of block-level elements must always be placed at word boundaries unless this is patently impossible, while </w:t>
      </w:r>
      <w:r>
        <w:rPr>
          <w:rStyle w:val="Foreign"/>
        </w:rPr>
        <w:t>akṣara</w:t>
      </w:r>
      <w:r>
        <w:t xml:space="preserve"> boundaries can and must be disregarded when applicable.</w:t>
      </w:r>
    </w:p>
    <w:p w14:paraId="5599FF12" w14:textId="77777777">
      <w:pPr>
        <w:pStyle w:val="Lista"/>
      </w:pPr>
      <w:r>
        <w:t xml:space="preserve">if </w:t>
      </w:r>
      <w:r>
        <w:rPr>
          <w:b/>
          <w:bCs/>
        </w:rPr>
        <w:t>the end of a verse line</w:t>
      </w:r>
      <w:r>
        <w:t xml:space="preserve"> falls at a segmentable point inside an </w:t>
      </w:r>
      <w:r>
        <w:rPr>
          <w:rStyle w:val="Foreign"/>
        </w:rPr>
        <w:t>akṣara</w:t>
      </w:r>
      <w:r>
        <w:t xml:space="preserve">, as in </w:t>
      </w:r>
      <w:r>
        <w:fldChar w:fldCharType="begin"/>
      </w:r>
      <w:r>
        <w:instrText xml:space="preserve"> REF _Ref181626270 \h </w:instrText>
      </w:r>
      <w:r>
        <w:fldChar w:fldCharType="separate"/>
      </w:r>
      <w:r>
        <w:t xml:space="preserve">Exhibit </w:t>
      </w:r>
      <w:r>
        <w:rPr>
          <w:noProof/>
        </w:rPr>
        <w:t>3.2</w:t>
      </w:r>
      <w:r>
        <w:t>.</w:t>
      </w:r>
      <w:r>
        <w:rPr>
          <w:noProof/>
        </w:rPr>
        <w:t>G</w:t>
      </w:r>
      <w:r>
        <w:fldChar w:fldCharType="end"/>
      </w:r>
    </w:p>
    <w:p w14:paraId="0FDB27E3" w14:textId="77777777">
      <w:pPr>
        <w:pStyle w:val="Lista2"/>
      </w:pPr>
      <w:r>
        <w:t xml:space="preserve">ignore the </w:t>
      </w:r>
      <w:r>
        <w:rPr>
          <w:rStyle w:val="Foreign"/>
        </w:rPr>
        <w:t>akṣara</w:t>
      </w:r>
      <w:r>
        <w:t xml:space="preserve"> boundary and mark up the block boundary in its proper place</w:t>
      </w:r>
    </w:p>
    <w:p w14:paraId="6595FAD7" w14:textId="77777777">
      <w:pPr>
        <w:pStyle w:val="Lista2"/>
      </w:pPr>
      <w:r>
        <w:t>enjambement (§</w:t>
      </w:r>
      <w:r>
        <w:fldChar w:fldCharType="begin"/>
      </w:r>
      <w:r>
        <w:instrText xml:space="preserve"> REF _Ref224901083 \r \h </w:instrText>
      </w:r>
      <w:r>
        <w:fldChar w:fldCharType="separate"/>
      </w:r>
      <w:r>
        <w:t>3.2.4.1</w:t>
      </w:r>
      <w:r>
        <w:fldChar w:fldCharType="end"/>
      </w:r>
      <w:r>
        <w:t>) is not present</w:t>
      </w:r>
    </w:p>
    <w:p w14:paraId="45C4FFF8" w14:textId="77777777">
      <w:pPr>
        <w:pStyle w:val="Lista"/>
      </w:pPr>
      <w:r>
        <w:t xml:space="preserve">this applies no less to cases where sandhi reduces a final vowel to a semivowel, as in </w:t>
      </w:r>
      <w:r>
        <w:fldChar w:fldCharType="begin"/>
      </w:r>
      <w:r>
        <w:instrText xml:space="preserve"> REF _Ref224916154 \h </w:instrText>
      </w:r>
      <w:r>
        <w:fldChar w:fldCharType="separate"/>
      </w:r>
      <w:r>
        <w:t xml:space="preserve">Exhibit </w:t>
      </w:r>
      <w:r>
        <w:rPr>
          <w:noProof/>
        </w:rPr>
        <w:t>3.2</w:t>
      </w:r>
      <w:r>
        <w:t>.</w:t>
      </w:r>
      <w:r>
        <w:rPr>
          <w:noProof/>
        </w:rPr>
        <w:t>H</w:t>
      </w:r>
      <w:r>
        <w:fldChar w:fldCharType="end"/>
      </w:r>
    </w:p>
    <w:p w14:paraId="319C9C38" w14:textId="77777777">
      <w:pPr>
        <w:pStyle w:val="Lista2"/>
      </w:pPr>
      <w:r>
        <w:t>the block boundary can still be marked up at the original word boundary</w:t>
      </w:r>
    </w:p>
    <w:p w14:paraId="6021E2FD" w14:textId="77777777">
      <w:pPr>
        <w:pStyle w:val="Lista"/>
      </w:pPr>
      <w:r>
        <w:t xml:space="preserve">if the original document employs a space or a symbol for indicating the block boundary, but this indication does not exactly coincide with the boundary because of the presence of a merged </w:t>
      </w:r>
      <w:r>
        <w:rPr>
          <w:rStyle w:val="Foreign"/>
        </w:rPr>
        <w:t>akṣara</w:t>
      </w:r>
      <w:r>
        <w:t xml:space="preserve"> (e.g. </w:t>
      </w:r>
      <w:r>
        <w:rPr>
          <w:rStyle w:val="Foreign"/>
        </w:rPr>
        <w:t>paṁcaviṁśati|ntat-putro</w:t>
      </w:r>
      <w:r>
        <w:t>)</w:t>
      </w:r>
    </w:p>
    <w:p w14:paraId="0F0DEB2A" w14:textId="77777777">
      <w:pPr>
        <w:pStyle w:val="Lista2"/>
      </w:pPr>
      <w:r>
        <w:t>encode the space or symbol at its true location</w:t>
      </w:r>
    </w:p>
    <w:p w14:paraId="24036946" w14:textId="77777777">
      <w:pPr>
        <w:pStyle w:val="Lista2"/>
      </w:pPr>
      <w:r>
        <w:t>optionally flag the locus as non-standard and/or normalise it as per §</w:t>
      </w:r>
      <w:r>
        <w:fldChar w:fldCharType="begin"/>
      </w:r>
      <w:r>
        <w:instrText xml:space="preserve"> REF _Ref227836867 \r \h </w:instrText>
      </w:r>
      <w:r>
        <w:fldChar w:fldCharType="separate"/>
      </w:r>
      <w:r>
        <w:t>5.3.6</w:t>
      </w:r>
      <w:r>
        <w:fldChar w:fldCharType="end"/>
      </w:r>
      <w:r>
        <w:t xml:space="preserve"> (for symbols) and §</w:t>
      </w:r>
      <w:r>
        <w:fldChar w:fldCharType="begin"/>
      </w:r>
      <w:r>
        <w:instrText xml:space="preserve"> REF _Ref227836913 \r \h </w:instrText>
      </w:r>
      <w:r>
        <w:fldChar w:fldCharType="separate"/>
      </w:r>
      <w:r>
        <w:t>5.4.4</w:t>
      </w:r>
      <w:r>
        <w:fldChar w:fldCharType="end"/>
      </w:r>
      <w:r>
        <w:t xml:space="preserve"> (for spaces)</w:t>
      </w:r>
    </w:p>
    <w:tbl>
      <w:tblPr>
        <w:tblStyle w:val="CodeSampleTable"/>
        <w:tblW w:w="5000" w:type="pct"/>
        <w:tblLook w:val="04A0" w:firstRow="1" w:lastRow="0" w:firstColumn="1" w:lastColumn="0" w:noHBand="0" w:noVBand="1"/>
      </w:tblPr>
      <w:tblGrid>
        <w:gridCol w:w="6231"/>
        <w:gridCol w:w="3397"/>
      </w:tblGrid>
      <w:tr w14:paraId="39552F80"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A4CA4A6" w14:textId="77777777">
            <w:pPr>
              <w:pStyle w:val="Kpalrs"/>
            </w:pPr>
            <w:bookmarkStart w:id="113" w:name="_Ref181626270"/>
            <w:r>
              <w:t xml:space="preserve">Exhibit </w:t>
            </w:r>
            <w:fldSimple w:instr=" STYLEREF 2 \s ">
              <w:r>
                <w:rPr>
                  <w:noProof/>
                </w:rPr>
                <w:t>3.2</w:t>
              </w:r>
            </w:fldSimple>
            <w:r>
              <w:t>.</w:t>
            </w:r>
            <w:fldSimple w:instr=" SEQ Exhibit \* ALPHABETIC \s 2 ">
              <w:r>
                <w:rPr>
                  <w:noProof/>
                </w:rPr>
                <w:t>G</w:t>
              </w:r>
            </w:fldSimple>
            <w:bookmarkEnd w:id="113"/>
            <w:r>
              <w:t xml:space="preserve">: </w:t>
            </w:r>
            <w:r>
              <w:rPr>
                <w:rStyle w:val="Foreign"/>
              </w:rPr>
              <w:t>akṣara</w:t>
            </w:r>
            <w:r>
              <w:t xml:space="preserve"> overlapping metrical boundary</w:t>
            </w:r>
          </w:p>
        </w:tc>
      </w:tr>
      <w:tr w14:paraId="05BD7A82" w14:textId="77777777">
        <w:tc>
          <w:tcPr>
            <w:tcW w:w="3236" w:type="pct"/>
          </w:tcPr>
          <w:p w14:paraId="140C0803" w14:textId="77777777">
            <w:pPr>
              <w:pStyle w:val="CodeParagraph"/>
              <w:keepNext/>
            </w:pPr>
            <w:r>
              <w:rPr>
                <w:rStyle w:val="Code"/>
              </w:rPr>
              <w:t xml:space="preserve">&lt;lg </w:t>
            </w:r>
            <w:r>
              <w:rPr>
                <w:rStyle w:val="Codeattribute"/>
              </w:rPr>
              <w:t>n</w:t>
            </w:r>
            <w:r>
              <w:rPr>
                <w:rStyle w:val="Code"/>
              </w:rPr>
              <w:t>=</w:t>
            </w:r>
            <w:r>
              <w:rPr>
                <w:rStyle w:val="Codevalue"/>
              </w:rPr>
              <w:t>"20"</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bahubhir vvasudhā dattā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bahubhiś cānupālitā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yasya yasya yadā bhūmis</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tasya tasya tadā phalaṁ</w:t>
            </w:r>
            <w:r>
              <w:rPr>
                <w:rStyle w:val="Code"/>
              </w:rPr>
              <w:t>&lt;/l&gt;</w:t>
            </w:r>
            <w:r>
              <w:rPr>
                <w:rStyle w:val="Codetext"/>
              </w:rPr>
              <w:br/>
            </w:r>
            <w:r>
              <w:rPr>
                <w:rStyle w:val="Code"/>
              </w:rPr>
              <w:t>&lt;/lg&gt;</w:t>
            </w:r>
          </w:p>
        </w:tc>
        <w:tc>
          <w:tcPr>
            <w:tcW w:w="1764" w:type="pct"/>
          </w:tcPr>
          <w:p w14:paraId="2C9C0BA5" w14:textId="77777777">
            <w:pPr>
              <w:pStyle w:val="Tabletext"/>
              <w:rPr>
                <w:rStyle w:val="ForeignDevanagariScript0"/>
                <w:sz w:val="24"/>
                <w:szCs w:val="24"/>
              </w:rPr>
            </w:pPr>
            <w:r>
              <w:rPr>
                <w:rStyle w:val="ForeignDevanagariScript0"/>
                <w:sz w:val="24"/>
                <w:szCs w:val="24"/>
                <w:cs/>
              </w:rPr>
              <w:t>बहुभिर्व्वसुधा दत्ता</w:t>
            </w:r>
          </w:p>
          <w:p w14:paraId="79778763" w14:textId="77777777">
            <w:pPr>
              <w:pStyle w:val="Tabletext"/>
              <w:rPr>
                <w:rStyle w:val="ForeignDevanagariScript0"/>
                <w:sz w:val="24"/>
                <w:szCs w:val="24"/>
              </w:rPr>
            </w:pPr>
            <w:r>
              <w:rPr>
                <w:rStyle w:val="ForeignDevanagariScript0"/>
                <w:sz w:val="24"/>
                <w:szCs w:val="24"/>
                <w:cs/>
              </w:rPr>
              <w:t>बहुभिश्चानुपालिता</w:t>
            </w:r>
          </w:p>
          <w:p w14:paraId="7991E7FC" w14:textId="77777777">
            <w:pPr>
              <w:pStyle w:val="Tabletext"/>
              <w:rPr>
                <w:rStyle w:val="ForeignDevanagariScript0"/>
                <w:sz w:val="24"/>
                <w:szCs w:val="24"/>
              </w:rPr>
            </w:pPr>
            <w:r>
              <w:rPr>
                <w:rStyle w:val="ForeignDevanagariScript0"/>
                <w:sz w:val="24"/>
                <w:szCs w:val="24"/>
                <w:cs/>
              </w:rPr>
              <w:t xml:space="preserve">यस्य यस्य यदा </w:t>
            </w:r>
            <w:r>
              <w:rPr>
                <w:rStyle w:val="ForeignDevanagariScript0"/>
                <w:color w:val="EE0000"/>
                <w:sz w:val="24"/>
                <w:szCs w:val="24"/>
                <w:cs/>
              </w:rPr>
              <w:t>भूमि</w:t>
            </w:r>
          </w:p>
          <w:p w14:paraId="6D7D94AC" w14:textId="77777777">
            <w:pPr>
              <w:pStyle w:val="Tabletext"/>
            </w:pPr>
            <w:r>
              <w:rPr>
                <w:rStyle w:val="ForeignDevanagariScript0"/>
                <w:color w:val="EE0000"/>
                <w:sz w:val="24"/>
                <w:szCs w:val="24"/>
                <w:cs/>
              </w:rPr>
              <w:t>स्तस्य</w:t>
            </w:r>
            <w:r>
              <w:rPr>
                <w:rStyle w:val="ForeignDevanagariScript0"/>
                <w:sz w:val="24"/>
                <w:szCs w:val="24"/>
                <w:cs/>
              </w:rPr>
              <w:t xml:space="preserve"> तस्य तदा फलं</w:t>
            </w:r>
          </w:p>
        </w:tc>
      </w:tr>
      <w:tr w14:paraId="24F3E88D" w14:textId="77777777">
        <w:tc>
          <w:tcPr>
            <w:tcW w:w="5000" w:type="pct"/>
            <w:gridSpan w:val="2"/>
          </w:tcPr>
          <w:p w14:paraId="51116F9E" w14:textId="77777777">
            <w:pPr>
              <w:pStyle w:val="TableNote"/>
              <w:keepNext/>
            </w:pPr>
            <w:r>
              <w:t xml:space="preserve">the end of line c can and must be marked up after </w:t>
            </w:r>
            <w:r>
              <w:rPr>
                <w:rStyle w:val="Foreign"/>
              </w:rPr>
              <w:t>bhūmis</w:t>
            </w:r>
            <w:r>
              <w:t xml:space="preserve">, even though the </w:t>
            </w:r>
            <w:r>
              <w:rPr>
                <w:rStyle w:val="Foreign"/>
              </w:rPr>
              <w:t>s</w:t>
            </w:r>
            <w:r>
              <w:t xml:space="preserve"> at the end of this word is part of the </w:t>
            </w:r>
            <w:r>
              <w:rPr>
                <w:rStyle w:val="Foreign"/>
              </w:rPr>
              <w:t>akṣara</w:t>
            </w:r>
            <w:r>
              <w:t xml:space="preserve"> </w:t>
            </w:r>
            <w:r>
              <w:rPr>
                <w:rStyle w:val="Foreign"/>
              </w:rPr>
              <w:t>sta</w:t>
            </w:r>
            <w:r>
              <w:t xml:space="preserve"> in Indic script and is routinely shown in the next line in Indic typography</w:t>
            </w:r>
          </w:p>
        </w:tc>
      </w:tr>
    </w:tbl>
    <w:p w14:paraId="3C2D2F22" w14:textId="77777777"/>
    <w:tbl>
      <w:tblPr>
        <w:tblStyle w:val="CodeSampleTable"/>
        <w:tblW w:w="5000" w:type="pct"/>
        <w:tblLook w:val="04A0" w:firstRow="1" w:lastRow="0" w:firstColumn="1" w:lastColumn="0" w:noHBand="0" w:noVBand="1"/>
      </w:tblPr>
      <w:tblGrid>
        <w:gridCol w:w="6231"/>
        <w:gridCol w:w="3397"/>
      </w:tblGrid>
      <w:tr w14:paraId="43A6FD8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C75F0E3" w14:textId="77777777">
            <w:pPr>
              <w:pStyle w:val="Kpalrs"/>
            </w:pPr>
            <w:bookmarkStart w:id="114" w:name="_Ref224916154"/>
            <w:r>
              <w:t xml:space="preserve">Exhibit </w:t>
            </w:r>
            <w:fldSimple w:instr=" STYLEREF 2 \s ">
              <w:r>
                <w:rPr>
                  <w:noProof/>
                </w:rPr>
                <w:t>3.2</w:t>
              </w:r>
            </w:fldSimple>
            <w:r>
              <w:t>.</w:t>
            </w:r>
            <w:fldSimple w:instr=" SEQ Exhibit \* ALPHABETIC \s 2 ">
              <w:r>
                <w:rPr>
                  <w:noProof/>
                </w:rPr>
                <w:t>H</w:t>
              </w:r>
            </w:fldSimple>
            <w:bookmarkEnd w:id="114"/>
            <w:r>
              <w:t>: vowel reduction at</w:t>
            </w:r>
            <w:r>
              <w:rPr>
                <w:rStyle w:val="Foreign"/>
              </w:rPr>
              <w:t xml:space="preserve"> </w:t>
            </w:r>
            <w:r>
              <w:t>metrical boundary</w:t>
            </w:r>
          </w:p>
        </w:tc>
      </w:tr>
      <w:tr w14:paraId="495839EF" w14:textId="77777777">
        <w:tc>
          <w:tcPr>
            <w:tcW w:w="3236" w:type="pct"/>
          </w:tcPr>
          <w:p w14:paraId="7858B4F9" w14:textId="77777777">
            <w:pPr>
              <w:pStyle w:val="CodeParagraph"/>
              <w:keepNext/>
            </w:pPr>
            <w:r>
              <w:rPr>
                <w:rStyle w:val="Code"/>
              </w:rPr>
              <w:t xml:space="preserve">&lt;lg </w:t>
            </w:r>
            <w:r>
              <w:rPr>
                <w:rStyle w:val="Codeattribute"/>
              </w:rPr>
              <w:t>n</w:t>
            </w:r>
            <w:r>
              <w:rPr>
                <w:rStyle w:val="Code"/>
              </w:rPr>
              <w:t>=</w:t>
            </w:r>
            <w:r>
              <w:rPr>
                <w:rStyle w:val="Codevalue"/>
              </w:rPr>
              <w:t>"8"</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t xml:space="preserve">  ...</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&gt;</w:t>
            </w:r>
            <w:r>
              <w:rPr>
                <w:rStyle w:val="Codetext"/>
              </w:rPr>
              <w:t>dānārṇṇavāmma-nr̥payoḥ khalu paṁcaviṁśaty</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abdān arakṣad avanī-talam ammarājaḥ</w:t>
            </w:r>
            <w:r>
              <w:rPr>
                <w:rStyle w:val="Code"/>
              </w:rPr>
              <w:t>&lt;/l&gt;</w:t>
            </w:r>
            <w:r>
              <w:rPr>
                <w:rStyle w:val="Codetext"/>
              </w:rPr>
              <w:br/>
            </w:r>
            <w:r>
              <w:rPr>
                <w:rStyle w:val="Code"/>
              </w:rPr>
              <w:t>&lt;/lg&gt;</w:t>
            </w:r>
          </w:p>
        </w:tc>
        <w:tc>
          <w:tcPr>
            <w:tcW w:w="1764" w:type="pct"/>
          </w:tcPr>
          <w:p w14:paraId="7E23B69B" w14:textId="77777777">
            <w:pPr>
              <w:pStyle w:val="Tabletext"/>
              <w:rPr>
                <w:rStyle w:val="ForeignDevanagariScript0"/>
                <w:sz w:val="24"/>
                <w:szCs w:val="24"/>
              </w:rPr>
            </w:pPr>
            <w:r>
              <w:rPr>
                <w:rStyle w:val="ForeignDevanagariScript0"/>
                <w:sz w:val="24"/>
                <w:szCs w:val="24"/>
                <w:cs/>
              </w:rPr>
              <w:t xml:space="preserve">दानार्ण्णवाम्मनृपयोः खलु </w:t>
            </w:r>
            <w:r>
              <w:rPr>
                <w:rStyle w:val="ForeignDevanagariScript0"/>
                <w:color w:val="EE0000"/>
                <w:sz w:val="24"/>
                <w:szCs w:val="24"/>
                <w:cs/>
              </w:rPr>
              <w:t>पंचविंश</w:t>
            </w:r>
          </w:p>
          <w:p w14:paraId="3B2145C8" w14:textId="77777777">
            <w:pPr>
              <w:pStyle w:val="Tabletext"/>
            </w:pPr>
            <w:r>
              <w:rPr>
                <w:rStyle w:val="ForeignDevanagariScript0"/>
                <w:color w:val="EE0000"/>
                <w:sz w:val="24"/>
                <w:szCs w:val="24"/>
                <w:cs/>
              </w:rPr>
              <w:t>त्य</w:t>
            </w:r>
            <w:r>
              <w:rPr>
                <w:rStyle w:val="ForeignDevanagariScript0"/>
                <w:sz w:val="24"/>
                <w:szCs w:val="24"/>
                <w:cs/>
              </w:rPr>
              <w:t>ब्दानरक्षदवनीतलमम्मराजः</w:t>
            </w:r>
          </w:p>
          <w:p w14:paraId="067ECBAC" w14:textId="77777777">
            <w:pPr>
              <w:pStyle w:val="Tabletext"/>
            </w:pPr>
          </w:p>
        </w:tc>
      </w:tr>
      <w:tr w14:paraId="75444499" w14:textId="77777777">
        <w:tc>
          <w:tcPr>
            <w:tcW w:w="5000" w:type="pct"/>
            <w:gridSpan w:val="2"/>
          </w:tcPr>
          <w:p w14:paraId="58B3655B" w14:textId="77777777">
            <w:pPr>
              <w:pStyle w:val="TableNote"/>
              <w:keepNext/>
            </w:pPr>
            <w:r>
              <w:t xml:space="preserve">the end of line c can and must be marked up after </w:t>
            </w:r>
            <w:r>
              <w:rPr>
                <w:rStyle w:val="Foreign"/>
              </w:rPr>
              <w:t>paṁcaviṁśaty</w:t>
            </w:r>
            <w:r>
              <w:t xml:space="preserve">, even though the end of this word is part of the </w:t>
            </w:r>
            <w:r>
              <w:rPr>
                <w:rStyle w:val="Foreign"/>
              </w:rPr>
              <w:t>akṣara</w:t>
            </w:r>
            <w:r>
              <w:t xml:space="preserve"> </w:t>
            </w:r>
            <w:r>
              <w:rPr>
                <w:rStyle w:val="Foreign"/>
              </w:rPr>
              <w:t>tya</w:t>
            </w:r>
            <w:r>
              <w:t xml:space="preserve"> in Indic script and even though </w:t>
            </w:r>
            <w:r>
              <w:rPr>
                <w:rStyle w:val="Foreign"/>
              </w:rPr>
              <w:t>paṁcaviṁśaty</w:t>
            </w:r>
            <w:r>
              <w:t xml:space="preserve"> is not really pronounceable in isolation</w:t>
            </w:r>
          </w:p>
        </w:tc>
      </w:tr>
    </w:tbl>
    <w:p w14:paraId="0030B969" w14:textId="77777777">
      <w:pPr>
        <w:pStyle w:val="Lista"/>
      </w:pPr>
      <w:r>
        <w:t xml:space="preserve">the </w:t>
      </w:r>
      <w:r>
        <w:rPr>
          <w:b/>
          <w:bCs/>
        </w:rPr>
        <w:t>end of a prose block</w:t>
      </w:r>
      <w:r>
        <w:t xml:space="preserve"> may also fall inside an </w:t>
      </w:r>
      <w:r>
        <w:rPr>
          <w:rStyle w:val="Foreign"/>
        </w:rPr>
        <w:t>akṣara</w:t>
      </w:r>
      <w:r>
        <w:t xml:space="preserve"> if the editor feels that a semantic boundary is present, but the writer of the source document did not choose to represent that boundary with a hiatus in writing, as in </w:t>
      </w:r>
      <w:r>
        <w:fldChar w:fldCharType="begin"/>
      </w:r>
      <w:r>
        <w:instrText xml:space="preserve"> REF _Ref181371522 \h </w:instrText>
      </w:r>
      <w:r>
        <w:fldChar w:fldCharType="separate"/>
      </w:r>
      <w:r>
        <w:t xml:space="preserve">Exhibit </w:t>
      </w:r>
      <w:r>
        <w:rPr>
          <w:noProof/>
        </w:rPr>
        <w:t>3.2</w:t>
      </w:r>
      <w:r>
        <w:t>.</w:t>
      </w:r>
      <w:r>
        <w:rPr>
          <w:noProof/>
        </w:rPr>
        <w:t>I</w:t>
      </w:r>
      <w:r>
        <w:fldChar w:fldCharType="end"/>
      </w:r>
    </w:p>
    <w:p w14:paraId="68459E66" w14:textId="77777777">
      <w:pPr>
        <w:pStyle w:val="Lista2"/>
      </w:pPr>
      <w:r>
        <w:t>in such cases, too, encode the block boundary at the word boundary if it is segmentable in transliteration</w:t>
      </w:r>
    </w:p>
    <w:p w14:paraId="51DAA42B" w14:textId="77777777">
      <w:pPr>
        <w:pStyle w:val="Lista2"/>
      </w:pPr>
      <w:r>
        <w:t>additionally, you may optionally either flag (§</w:t>
      </w:r>
      <w:r>
        <w:fldChar w:fldCharType="begin"/>
      </w:r>
      <w:r>
        <w:instrText xml:space="preserve"> REF _Ref228886903 \r \h </w:instrText>
      </w:r>
      <w:r>
        <w:fldChar w:fldCharType="separate"/>
      </w:r>
      <w:r>
        <w:t>7.4.2</w:t>
      </w:r>
      <w:r>
        <w:fldChar w:fldCharType="end"/>
      </w:r>
      <w:r>
        <w:t>) or normalise (§</w:t>
      </w:r>
      <w:r>
        <w:fldChar w:fldCharType="begin"/>
      </w:r>
      <w:r>
        <w:instrText xml:space="preserve"> REF _Ref228885848 \r \h </w:instrText>
      </w:r>
      <w:r>
        <w:fldChar w:fldCharType="separate"/>
      </w:r>
      <w:r>
        <w:t>7.5.1.2</w:t>
      </w:r>
      <w:r>
        <w:fldChar w:fldCharType="end"/>
      </w:r>
      <w:r>
        <w:t>) non-standard usage on both sides of the break</w:t>
      </w:r>
    </w:p>
    <w:p w14:paraId="5B9C910B" w14:textId="366AD3DE">
      <w:pPr>
        <w:pStyle w:val="Lista3"/>
      </w:pPr>
      <w:r>
        <w:lastRenderedPageBreak/>
        <w:t xml:space="preserve">thus, each of the methods shown in </w:t>
      </w:r>
      <w:r>
        <w:fldChar w:fldCharType="begin"/>
      </w:r>
      <w:r>
        <w:instrText xml:space="preserve"> REF _Ref181371522 \h </w:instrText>
      </w:r>
      <w:r>
        <w:fldChar w:fldCharType="separate"/>
      </w:r>
      <w:r>
        <w:t xml:space="preserve">Exhibit </w:t>
      </w:r>
      <w:r>
        <w:rPr>
          <w:noProof/>
        </w:rPr>
        <w:t>3.2</w:t>
      </w:r>
      <w:r>
        <w:t>.</w:t>
      </w:r>
      <w:r>
        <w:rPr>
          <w:noProof/>
        </w:rPr>
        <w:t>I</w:t>
      </w:r>
      <w:r>
        <w:fldChar w:fldCharType="end"/>
      </w:r>
      <w:r>
        <w:t xml:space="preserve"> is acceptable, depending on your judgement</w:t>
      </w:r>
    </w:p>
    <w:tbl>
      <w:tblPr>
        <w:tblStyle w:val="CodeSampleTable"/>
        <w:tblW w:w="5000" w:type="pct"/>
        <w:tblLook w:val="04A0" w:firstRow="1" w:lastRow="0" w:firstColumn="1" w:lastColumn="0" w:noHBand="0" w:noVBand="1"/>
      </w:tblPr>
      <w:tblGrid>
        <w:gridCol w:w="9628"/>
      </w:tblGrid>
      <w:tr w14:paraId="4DE095E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07544E4" w14:textId="77777777">
            <w:pPr>
              <w:pStyle w:val="Kpalrs"/>
            </w:pPr>
            <w:bookmarkStart w:id="115" w:name="_Ref181371522"/>
            <w:r>
              <w:t xml:space="preserve">Exhibit </w:t>
            </w:r>
            <w:fldSimple w:instr=" STYLEREF 2 \s ">
              <w:r>
                <w:rPr>
                  <w:noProof/>
                </w:rPr>
                <w:t>3.2</w:t>
              </w:r>
            </w:fldSimple>
            <w:r>
              <w:t>.</w:t>
            </w:r>
            <w:fldSimple w:instr=" SEQ Exhibit \* ALPHABETIC \s 2 ">
              <w:r>
                <w:rPr>
                  <w:noProof/>
                </w:rPr>
                <w:t>I</w:t>
              </w:r>
            </w:fldSimple>
            <w:bookmarkEnd w:id="115"/>
            <w:r>
              <w:t>: prose boundary obscured by non-fusion sandhi</w:t>
            </w:r>
          </w:p>
        </w:tc>
      </w:tr>
      <w:tr w14:paraId="2A7610DC" w14:textId="77777777">
        <w:tc>
          <w:tcPr>
            <w:tcW w:w="5000" w:type="pct"/>
          </w:tcPr>
          <w:p w14:paraId="3BE385CD" w14:textId="77777777">
            <w:pPr>
              <w:pStyle w:val="CodeParagraph"/>
              <w:keepNext/>
              <w:rPr>
                <w:rStyle w:val="Code"/>
              </w:rPr>
            </w:pPr>
            <w:r>
              <w:rPr>
                <w:rStyle w:val="Code"/>
              </w:rPr>
              <w:t>&lt;p&gt;</w:t>
            </w:r>
            <w:r>
              <w:rPr>
                <w:rStyle w:val="Codetext"/>
              </w:rPr>
              <w:t xml:space="preserve"> ... ājñāpayaty</w:t>
            </w:r>
            <w:r>
              <w:rPr>
                <w:rStyle w:val="Code"/>
              </w:rPr>
              <w:t>&lt;/p&gt;</w:t>
            </w:r>
          </w:p>
          <w:p w14:paraId="2290DCDF" w14:textId="77777777">
            <w:pPr>
              <w:pStyle w:val="CodeParagraph"/>
              <w:keepNext/>
              <w:rPr>
                <w:color w:val="000080"/>
                <w:shd w:val="clear" w:color="auto" w:fill="F8F8F8"/>
              </w:rPr>
            </w:pPr>
            <w:r>
              <w:rPr>
                <w:rStyle w:val="Code"/>
              </w:rPr>
              <w:t>&lt;p&gt;</w:t>
            </w:r>
            <w:r>
              <w:rPr>
                <w:rStyle w:val="Codetext"/>
              </w:rPr>
              <w:t xml:space="preserve">astu vo viditam ... </w:t>
            </w:r>
            <w:r>
              <w:rPr>
                <w:rStyle w:val="Code"/>
              </w:rPr>
              <w:t>&lt;/p&gt;</w:t>
            </w:r>
          </w:p>
        </w:tc>
      </w:tr>
      <w:tr w14:paraId="33E53ABA" w14:textId="77777777">
        <w:tc>
          <w:tcPr>
            <w:tcW w:w="5000" w:type="pct"/>
          </w:tcPr>
          <w:p w14:paraId="0E718418" w14:textId="77777777">
            <w:pPr>
              <w:pStyle w:val="TableNote"/>
              <w:keepNext/>
            </w:pPr>
            <w:r>
              <w:t xml:space="preserve">a container boundary is marked up within an </w:t>
            </w:r>
            <w:r>
              <w:rPr>
                <w:rStyle w:val="Foreign"/>
              </w:rPr>
              <w:t>akṣara</w:t>
            </w:r>
            <w:r>
              <w:t xml:space="preserve"> of the original script</w:t>
            </w:r>
          </w:p>
        </w:tc>
      </w:tr>
      <w:tr w14:paraId="4441ADC6" w14:textId="77777777">
        <w:tc>
          <w:tcPr>
            <w:tcW w:w="5000" w:type="pct"/>
          </w:tcPr>
          <w:p w14:paraId="7C0AB946" w14:textId="77777777">
            <w:pPr>
              <w:pStyle w:val="CodeParagraph"/>
              <w:keepNext/>
              <w:rPr>
                <w:rStyle w:val="Code"/>
              </w:rPr>
            </w:pPr>
            <w:bookmarkStart w:id="116" w:name="_Ref149921101"/>
            <w:r>
              <w:rPr>
                <w:rStyle w:val="Code"/>
              </w:rPr>
              <w:t>&lt;p&gt;</w:t>
            </w:r>
            <w:r>
              <w:rPr>
                <w:rStyle w:val="Codetext"/>
              </w:rPr>
              <w:t xml:space="preserve"> ... ājñāpayat</w:t>
            </w:r>
            <w:r>
              <w:rPr>
                <w:rStyle w:val="Code"/>
              </w:rPr>
              <w:t>&lt;orig&gt;</w:t>
            </w:r>
            <w:r>
              <w:rPr>
                <w:rStyle w:val="Codetext"/>
              </w:rPr>
              <w:t>y</w:t>
            </w:r>
            <w:r>
              <w:rPr>
                <w:rStyle w:val="Code"/>
              </w:rPr>
              <w:t>&lt;/orig&gt;&lt;/p&gt;</w:t>
            </w:r>
          </w:p>
          <w:p w14:paraId="4272AC1D" w14:textId="77777777">
            <w:pPr>
              <w:pStyle w:val="CodeParagraph"/>
              <w:keepNext/>
              <w:rPr>
                <w:color w:val="000080"/>
                <w:shd w:val="clear" w:color="auto" w:fill="F8F8F8"/>
              </w:rPr>
            </w:pPr>
            <w:r>
              <w:rPr>
                <w:rStyle w:val="Code"/>
              </w:rPr>
              <w:t>&lt;p&gt;&lt;orig&gt;</w:t>
            </w:r>
            <w:r>
              <w:rPr>
                <w:rStyle w:val="Codetext"/>
              </w:rPr>
              <w:t>a</w:t>
            </w:r>
            <w:r>
              <w:rPr>
                <w:rStyle w:val="Code"/>
              </w:rPr>
              <w:t>&lt;/orig&gt;</w:t>
            </w:r>
            <w:r>
              <w:rPr>
                <w:rStyle w:val="Codetext"/>
              </w:rPr>
              <w:t xml:space="preserve">stu vo viditam ... </w:t>
            </w:r>
            <w:r>
              <w:rPr>
                <w:rStyle w:val="Code"/>
              </w:rPr>
              <w:t>&lt;/p&gt;</w:t>
            </w:r>
          </w:p>
        </w:tc>
      </w:tr>
      <w:tr w14:paraId="7290071F" w14:textId="77777777">
        <w:tc>
          <w:tcPr>
            <w:tcW w:w="5000" w:type="pct"/>
          </w:tcPr>
          <w:p w14:paraId="26B46B95" w14:textId="77777777">
            <w:pPr>
              <w:pStyle w:val="TableNote"/>
              <w:keepNext/>
            </w:pPr>
            <w:r>
              <w:t xml:space="preserve">a container boundary within an </w:t>
            </w:r>
            <w:r>
              <w:rPr>
                <w:rStyle w:val="Foreign"/>
              </w:rPr>
              <w:t>akṣara</w:t>
            </w:r>
            <w:r>
              <w:t xml:space="preserve"> of the original script is flagged as non-standard usage</w:t>
            </w:r>
          </w:p>
        </w:tc>
      </w:tr>
      <w:tr w14:paraId="0E159020" w14:textId="77777777">
        <w:tc>
          <w:tcPr>
            <w:tcW w:w="5000" w:type="pct"/>
          </w:tcPr>
          <w:p w14:paraId="1A6E21DB" w14:textId="77777777">
            <w:pPr>
              <w:pStyle w:val="CodeParagraph"/>
              <w:keepNext/>
              <w:rPr>
                <w:color w:val="000080"/>
                <w:shd w:val="clear" w:color="auto" w:fill="F8F8F8"/>
              </w:rPr>
            </w:pPr>
            <w:r>
              <w:rPr>
                <w:rStyle w:val="Code"/>
              </w:rPr>
              <w:t>&lt;p&gt;</w:t>
            </w:r>
            <w:r>
              <w:rPr>
                <w:rStyle w:val="Codetext"/>
              </w:rPr>
              <w:t xml:space="preserve"> ... ājñāpayat</w:t>
            </w:r>
            <w:r>
              <w:rPr>
                <w:rStyle w:val="Code"/>
              </w:rPr>
              <w:t>&lt;choice&gt;&lt;orig&gt;</w:t>
            </w:r>
            <w:r>
              <w:rPr>
                <w:rStyle w:val="Codetext"/>
              </w:rPr>
              <w:t>y</w:t>
            </w:r>
            <w:r>
              <w:rPr>
                <w:rStyle w:val="Code"/>
              </w:rPr>
              <w:t>&lt;/orig&gt;&lt;reg&gt;</w:t>
            </w:r>
            <w:r>
              <w:rPr>
                <w:rStyle w:val="Codetext"/>
              </w:rPr>
              <w:t>i</w:t>
            </w:r>
            <w:r>
              <w:rPr>
                <w:rStyle w:val="Code"/>
              </w:rPr>
              <w:t>&lt;/reg&gt;&lt;/choice&gt;&lt;/p&gt;</w:t>
            </w:r>
            <w:r>
              <w:rPr>
                <w:rStyle w:val="Codetext"/>
              </w:rPr>
              <w:t xml:space="preserve"> </w:t>
            </w:r>
            <w:r>
              <w:rPr>
                <w:rStyle w:val="Code"/>
              </w:rPr>
              <w:t>&lt;p&gt;&lt;choice&gt;&lt;orig&gt;</w:t>
            </w:r>
            <w:r>
              <w:rPr>
                <w:rStyle w:val="Codetext"/>
              </w:rPr>
              <w:t>a</w:t>
            </w:r>
            <w:r>
              <w:rPr>
                <w:rStyle w:val="Code"/>
              </w:rPr>
              <w:t>&lt;/orig&gt;&lt;reg&gt;</w:t>
            </w:r>
            <w:r>
              <w:rPr>
                <w:rStyle w:val="Codetext"/>
              </w:rPr>
              <w:t>A</w:t>
            </w:r>
            <w:r>
              <w:rPr>
                <w:rStyle w:val="Code"/>
              </w:rPr>
              <w:t>&lt;/reg&gt;&lt;/choice&gt;</w:t>
            </w:r>
            <w:r>
              <w:rPr>
                <w:rStyle w:val="Codetext"/>
              </w:rPr>
              <w:t xml:space="preserve">stu vo viditam ... </w:t>
            </w:r>
            <w:r>
              <w:rPr>
                <w:rStyle w:val="Code"/>
              </w:rPr>
              <w:t>&lt;/p&gt;</w:t>
            </w:r>
          </w:p>
        </w:tc>
      </w:tr>
      <w:tr w14:paraId="73250E62" w14:textId="77777777">
        <w:tc>
          <w:tcPr>
            <w:tcW w:w="5000" w:type="pct"/>
          </w:tcPr>
          <w:p w14:paraId="6C46CCA0" w14:textId="77777777">
            <w:pPr>
              <w:pStyle w:val="TableNote"/>
              <w:keepNext/>
            </w:pPr>
            <w:r>
              <w:t xml:space="preserve">a container boundary within an </w:t>
            </w:r>
            <w:r>
              <w:rPr>
                <w:rStyle w:val="Foreign"/>
              </w:rPr>
              <w:t>akṣara</w:t>
            </w:r>
            <w:r>
              <w:t xml:space="preserve"> of the original script is normalised</w:t>
            </w:r>
          </w:p>
        </w:tc>
      </w:tr>
    </w:tbl>
    <w:bookmarkEnd w:id="116"/>
    <w:p w14:paraId="6FA5B3F8" w14:textId="77777777">
      <w:pPr>
        <w:pStyle w:val="Cmsor4"/>
      </w:pPr>
      <w:r>
        <w:t>Interrupted compounds</w:t>
      </w:r>
      <w:bookmarkEnd w:id="112"/>
    </w:p>
    <w:p w14:paraId="42F6205D" w14:textId="77777777">
      <w:r>
        <w:t xml:space="preserve">Semantic prose blocks are never expected to end within a compound word, but exceptionally, an editor may choose to encode a long </w:t>
      </w:r>
      <w:r>
        <w:rPr>
          <w:rStyle w:val="Foreign"/>
        </w:rPr>
        <w:t>dvandva</w:t>
      </w:r>
      <w:r>
        <w:t xml:space="preserve"> compound as a list (§</w:t>
      </w:r>
      <w:r>
        <w:fldChar w:fldCharType="begin"/>
      </w:r>
      <w:r>
        <w:instrText xml:space="preserve"> REF _Ref168563127 \r \h </w:instrText>
      </w:r>
      <w:r>
        <w:fldChar w:fldCharType="separate"/>
      </w:r>
      <w:r>
        <w:t>3.2.1.3</w:t>
      </w:r>
      <w:r>
        <w:fldChar w:fldCharType="end"/>
      </w:r>
      <w:r>
        <w:t>), with the compound members as items. In verse, compounds not uncommonly transgress the boundary of lines belonging to the same hemistich and, rarely, can also transgress the boundary between hemistichs. If the end of a block-level container falls inside a compound, proceed as follows</w:t>
      </w:r>
    </w:p>
    <w:p w14:paraId="77445F95" w14:textId="77777777">
      <w:pPr>
        <w:pStyle w:val="Lista"/>
      </w:pPr>
      <w:r>
        <w:t>encode the container boundary between compound members</w:t>
      </w:r>
    </w:p>
    <w:p w14:paraId="1513C221" w14:textId="77777777">
      <w:pPr>
        <w:pStyle w:val="Lista2"/>
      </w:pPr>
      <w:r>
        <w:t xml:space="preserve">disregard </w:t>
      </w:r>
      <w:r>
        <w:rPr>
          <w:rStyle w:val="Foreign"/>
        </w:rPr>
        <w:t>akṣara</w:t>
      </w:r>
      <w:r>
        <w:t xml:space="preserve"> boundaries just as in §</w:t>
      </w:r>
      <w:r>
        <w:fldChar w:fldCharType="begin"/>
      </w:r>
      <w:r>
        <w:instrText xml:space="preserve"> REF _Ref225328264 \r \h </w:instrText>
      </w:r>
      <w:r>
        <w:fldChar w:fldCharType="separate"/>
      </w:r>
      <w:r>
        <w:t>3.2.4.1</w:t>
      </w:r>
      <w:r>
        <w:fldChar w:fldCharType="end"/>
      </w:r>
      <w:r>
        <w:t xml:space="preserve"> above</w:t>
      </w:r>
    </w:p>
    <w:p w14:paraId="320B2E27" w14:textId="77777777">
      <w:pPr>
        <w:pStyle w:val="Lista"/>
      </w:pPr>
      <w:r>
        <w:t xml:space="preserve">if you use editorial hyphens for compound analysis (TG §7.3.4), place your hyphen at the beginning of the latter block-level element </w:t>
      </w:r>
    </w:p>
    <w:p w14:paraId="71F6508D" w14:textId="77777777">
      <w:pPr>
        <w:pStyle w:val="Lista"/>
      </w:pPr>
      <w:r>
        <w:t>if this takes place at a verse line boundary, encode enjambement on the former line (§</w:t>
      </w:r>
      <w:r>
        <w:fldChar w:fldCharType="begin"/>
      </w:r>
      <w:r>
        <w:instrText xml:space="preserve"> REF _Ref224901083 \r \h </w:instrText>
      </w:r>
      <w:r>
        <w:fldChar w:fldCharType="separate"/>
      </w:r>
      <w:r>
        <w:t>3.2.4.1</w:t>
      </w:r>
      <w:r>
        <w:fldChar w:fldCharType="end"/>
      </w:r>
      <w:r>
        <w:t>)</w:t>
      </w:r>
    </w:p>
    <w:p w14:paraId="117D2EE1" w14:textId="77777777">
      <w:pPr>
        <w:pStyle w:val="Lista2"/>
        <w:rPr>
          <w:rStyle w:val="Codetext"/>
          <w:rFonts w:ascii="Gentium" w:hAnsi="Gentium" w:cs="Tiro Devanagari Sanskrit"/>
          <w:noProof w:val="0"/>
          <w:color w:val="auto"/>
          <w:shd w:val="clear" w:color="auto" w:fill="auto"/>
        </w:rPr>
      </w:pPr>
      <w:r>
        <w:t xml:space="preserve">e.g. </w:t>
      </w:r>
      <w:r>
        <w:rPr>
          <w:rStyle w:val="Code"/>
        </w:rPr>
        <w:t xml:space="preserve">&lt;l </w:t>
      </w:r>
      <w:r>
        <w:rPr>
          <w:rStyle w:val="Codeattribute"/>
        </w:rPr>
        <w:t>enjamb</w:t>
      </w:r>
      <w:r>
        <w:rPr>
          <w:rStyle w:val="Codetext"/>
        </w:rPr>
        <w:t>=</w:t>
      </w:r>
      <w:r>
        <w:rPr>
          <w:rStyle w:val="Codevalue"/>
        </w:rPr>
        <w:t>"yes"</w:t>
      </w:r>
      <w:r>
        <w:rPr>
          <w:rStyle w:val="Code"/>
        </w:rPr>
        <w:t>&gt;</w:t>
      </w:r>
      <w:r>
        <w:rPr>
          <w:rStyle w:val="Codetext"/>
        </w:rPr>
        <w:t>... maṇḍalānta</w:t>
      </w:r>
      <w:r>
        <w:rPr>
          <w:rStyle w:val="Code"/>
        </w:rPr>
        <w:t>&lt;/l&gt;&lt;l&gt;</w:t>
      </w:r>
      <w:r>
        <w:rPr>
          <w:rStyle w:val="Codetext"/>
        </w:rPr>
        <w:t>-vyakta-bhrū-bhaṅga...</w:t>
      </w:r>
    </w:p>
    <w:p w14:paraId="0A7C38BF" w14:textId="77777777">
      <w:pPr>
        <w:pStyle w:val="Lista"/>
      </w:pPr>
      <w:r>
        <w:t xml:space="preserve">see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r>
        <w:t xml:space="preserve"> and </w:t>
      </w:r>
      <w:r>
        <w:fldChar w:fldCharType="begin"/>
      </w:r>
      <w:r>
        <w:instrText xml:space="preserve"> REF _Ref44077336 \h </w:instrText>
      </w:r>
      <w:r>
        <w:fldChar w:fldCharType="separate"/>
      </w:r>
      <w:r>
        <w:t xml:space="preserve">Exhibit </w:t>
      </w:r>
      <w:r>
        <w:rPr>
          <w:noProof/>
        </w:rPr>
        <w:t>3.3</w:t>
      </w:r>
      <w:r>
        <w:t>.</w:t>
      </w:r>
      <w:r>
        <w:rPr>
          <w:noProof/>
        </w:rPr>
        <w:t>H</w:t>
      </w:r>
      <w:r>
        <w:fldChar w:fldCharType="end"/>
      </w:r>
      <w:r>
        <w:t xml:space="preserve"> above for full encoding examples</w:t>
      </w:r>
    </w:p>
    <w:p w14:paraId="5A99A40B" w14:textId="77777777">
      <w:pPr>
        <w:pStyle w:val="Cmsor4"/>
      </w:pPr>
      <w:bookmarkStart w:id="117" w:name="_Ref225324953"/>
      <w:r>
        <w:t>Word boundaries fused in sandhi</w:t>
      </w:r>
      <w:bookmarkEnd w:id="117"/>
    </w:p>
    <w:p w14:paraId="53371DBA" w14:textId="77777777">
      <w:r>
        <w:t xml:space="preserve">Boundaries between units of intrinsic structure falling at word boundaries may occasionally be obscured by vowel fusion sandhi. In this case, a single grapheme of the written source belongs to both of the adjacent morphemes, so it is impossible even in transliteration to encode the block boundary at a word boundary. This is not uncommon between verse lines (as in </w:t>
      </w:r>
      <w:r>
        <w:fldChar w:fldCharType="begin"/>
      </w:r>
      <w:r>
        <w:instrText xml:space="preserve"> REF _Ref181628185 \h </w:instrText>
      </w:r>
      <w:r>
        <w:fldChar w:fldCharType="separate"/>
      </w:r>
      <w:r>
        <w:t xml:space="preserve">Exhibit </w:t>
      </w:r>
      <w:r>
        <w:rPr>
          <w:noProof/>
        </w:rPr>
        <w:t>3.2</w:t>
      </w:r>
      <w:r>
        <w:t>.</w:t>
      </w:r>
      <w:r>
        <w:rPr>
          <w:noProof/>
        </w:rPr>
        <w:t>J</w:t>
      </w:r>
      <w:r>
        <w:fldChar w:fldCharType="end"/>
      </w:r>
      <w:r>
        <w:t>), but may on rare occasions happen at a transition from verse to prose (</w:t>
      </w:r>
      <w:r>
        <w:fldChar w:fldCharType="begin"/>
      </w:r>
      <w:r>
        <w:instrText xml:space="preserve"> REF _Ref43995893 \h </w:instrText>
      </w:r>
      <w:r>
        <w:fldChar w:fldCharType="separate"/>
      </w:r>
      <w:r>
        <w:t xml:space="preserve">Exhibit </w:t>
      </w:r>
      <w:r>
        <w:rPr>
          <w:noProof/>
        </w:rPr>
        <w:t>3.2</w:t>
      </w:r>
      <w:r>
        <w:t>.</w:t>
      </w:r>
      <w:r>
        <w:rPr>
          <w:noProof/>
        </w:rPr>
        <w:t>K</w:t>
      </w:r>
      <w:r>
        <w:fldChar w:fldCharType="end"/>
      </w:r>
      <w:r>
        <w:t>) or between prose blocks (</w:t>
      </w:r>
      <w:r>
        <w:fldChar w:fldCharType="begin"/>
      </w:r>
      <w:r>
        <w:instrText xml:space="preserve"> REF _Ref43996267 \h </w:instrText>
      </w:r>
      <w:r>
        <w:fldChar w:fldCharType="separate"/>
      </w:r>
      <w:r>
        <w:t xml:space="preserve">Exhibit </w:t>
      </w:r>
      <w:r>
        <w:rPr>
          <w:noProof/>
        </w:rPr>
        <w:t>3.2</w:t>
      </w:r>
      <w:r>
        <w:t>.</w:t>
      </w:r>
      <w:r>
        <w:rPr>
          <w:noProof/>
        </w:rPr>
        <w:t>L</w:t>
      </w:r>
      <w:r>
        <w:fldChar w:fldCharType="end"/>
      </w:r>
      <w:r>
        <w:t>).</w:t>
      </w:r>
    </w:p>
    <w:p w14:paraId="047C3959" w14:textId="77777777">
      <w:pPr>
        <w:pStyle w:val="Lista"/>
      </w:pPr>
      <w:r>
        <w:t>establish block boundaries at your own discretion based on the following considerations</w:t>
      </w:r>
    </w:p>
    <w:p w14:paraId="2CB0B777" w14:textId="77777777">
      <w:pPr>
        <w:pStyle w:val="Lista2"/>
      </w:pPr>
      <w:r>
        <w:t>if a metrical passage is involved, the boundary must always respect the metre</w:t>
      </w:r>
    </w:p>
    <w:p w14:paraId="127B298C" w14:textId="77777777">
      <w:pPr>
        <w:pStyle w:val="Lista2"/>
      </w:pPr>
      <w:r>
        <w:t>as far as the metre allows, the boundary shall be placed as close to a word boundary as possible</w:t>
      </w:r>
    </w:p>
    <w:p w14:paraId="19F5A71E" w14:textId="77777777">
      <w:pPr>
        <w:pStyle w:val="Lista2"/>
      </w:pPr>
      <w:r>
        <w:t>if two word boundaries are equally close to where the block boundary would be ideally placed, choose the word boundary that is semantically more appropriate</w:t>
      </w:r>
    </w:p>
    <w:p w14:paraId="0018F9C7" w14:textId="77777777">
      <w:pPr>
        <w:pStyle w:val="Lista2"/>
      </w:pPr>
      <w:r>
        <w:t>all other considerations being equal, place the block boundary after the fused vowel</w:t>
      </w:r>
    </w:p>
    <w:p w14:paraId="5932EC88" w14:textId="77777777">
      <w:pPr>
        <w:pStyle w:val="Lista"/>
      </w:pPr>
      <w:r>
        <w:t>if this takes place at a verse line boundary, encode enjambement on the former line (§</w:t>
      </w:r>
      <w:r>
        <w:fldChar w:fldCharType="begin"/>
      </w:r>
      <w:r>
        <w:instrText xml:space="preserve"> REF _Ref224901083 \r \h </w:instrText>
      </w:r>
      <w:r>
        <w:fldChar w:fldCharType="separate"/>
      </w:r>
      <w:r>
        <w:t>3.2.4.1</w:t>
      </w:r>
      <w:r>
        <w:fldChar w:fldCharType="end"/>
      </w:r>
      <w:r>
        <w:t>)</w:t>
      </w:r>
    </w:p>
    <w:p w14:paraId="11A901D1" w14:textId="77777777">
      <w:pPr>
        <w:pStyle w:val="Lista"/>
      </w:pPr>
      <w:r>
        <w:t>editorial intervention (§</w:t>
      </w:r>
      <w:r>
        <w:fldChar w:fldCharType="begin"/>
      </w:r>
      <w:r>
        <w:instrText xml:space="preserve"> REF _Ref229054270 \r \h </w:instrText>
      </w:r>
      <w:r>
        <w:fldChar w:fldCharType="separate"/>
      </w:r>
      <w:r>
        <w:t>7.2</w:t>
      </w:r>
      <w:r>
        <w:fldChar w:fldCharType="end"/>
      </w:r>
      <w:r>
        <w:t>) may be encoded, keeping the following in mind</w:t>
      </w:r>
    </w:p>
    <w:p w14:paraId="1BB758F7" w14:textId="77777777">
      <w:pPr>
        <w:pStyle w:val="Lista2"/>
      </w:pPr>
      <w:r>
        <w:t>between verse lines</w:t>
      </w:r>
    </w:p>
    <w:p w14:paraId="63DCAB62" w14:textId="77777777">
      <w:pPr>
        <w:pStyle w:val="Lista3"/>
      </w:pPr>
      <w:r>
        <w:t>if the metre is correct in the received text, editorial intervention must be avoided</w:t>
      </w:r>
    </w:p>
    <w:p w14:paraId="23A7BC86" w14:textId="77777777">
      <w:pPr>
        <w:pStyle w:val="Lista3"/>
      </w:pPr>
      <w:r>
        <w:t>if the metre is incorrect in the received text and can be corrected by resolving the fusion sandhi, editorial intervention must be encoded as correction (§</w:t>
      </w:r>
      <w:r>
        <w:fldChar w:fldCharType="begin"/>
      </w:r>
      <w:r>
        <w:instrText xml:space="preserve"> REF _Ref232089210 \r \h </w:instrText>
      </w:r>
      <w:r>
        <w:fldChar w:fldCharType="separate"/>
      </w:r>
      <w:r>
        <w:t>7.7.4</w:t>
      </w:r>
      <w:r>
        <w:fldChar w:fldCharType="end"/>
      </w:r>
      <w:r>
        <w:t>)</w:t>
      </w:r>
    </w:p>
    <w:p w14:paraId="74F8260F" w14:textId="77777777">
      <w:pPr>
        <w:pStyle w:val="Lista2"/>
      </w:pPr>
      <w:r>
        <w:t>between prose blocks and at transitions from verse to prose</w:t>
      </w:r>
    </w:p>
    <w:p w14:paraId="6ED9154B" w14:textId="77777777">
      <w:pPr>
        <w:pStyle w:val="Lista3"/>
      </w:pPr>
      <w:r>
        <w:t xml:space="preserve">encode editorial normalisation (not correction) separately before and after the boundary (as in </w:t>
      </w:r>
      <w:r>
        <w:fldChar w:fldCharType="begin"/>
      </w:r>
      <w:r>
        <w:instrText xml:space="preserve"> REF _Ref43995893 \h </w:instrText>
      </w:r>
      <w:r>
        <w:fldChar w:fldCharType="separate"/>
      </w:r>
      <w:r>
        <w:t xml:space="preserve">Exhibit </w:t>
      </w:r>
      <w:r>
        <w:rPr>
          <w:noProof/>
        </w:rPr>
        <w:t>3.2</w:t>
      </w:r>
      <w:r>
        <w:t>.</w:t>
      </w:r>
      <w:r>
        <w:rPr>
          <w:noProof/>
        </w:rPr>
        <w:t>K</w:t>
      </w:r>
      <w:r>
        <w:fldChar w:fldCharType="end"/>
      </w:r>
      <w:r>
        <w:t xml:space="preserve"> and </w:t>
      </w:r>
      <w:r>
        <w:fldChar w:fldCharType="begin"/>
      </w:r>
      <w:r>
        <w:instrText xml:space="preserve"> REF _Ref43996267 \h </w:instrText>
      </w:r>
      <w:r>
        <w:fldChar w:fldCharType="separate"/>
      </w:r>
      <w:r>
        <w:t xml:space="preserve">Exhibit </w:t>
      </w:r>
      <w:r>
        <w:rPr>
          <w:noProof/>
        </w:rPr>
        <w:t>3.2</w:t>
      </w:r>
      <w:r>
        <w:t>.</w:t>
      </w:r>
      <w:r>
        <w:rPr>
          <w:noProof/>
        </w:rPr>
        <w:t>L</w:t>
      </w:r>
      <w:r>
        <w:fldChar w:fldCharType="end"/>
      </w:r>
      <w:r>
        <w:t>), provided that it does not disrupt the metre of a verse block</w:t>
      </w:r>
    </w:p>
    <w:p w14:paraId="1912C43A" w14:textId="77777777">
      <w:pPr>
        <w:pStyle w:val="Lista4"/>
      </w:pPr>
      <w:r>
        <w:t>one at the end of the earlier block (normalising the fused vowel to the one expected at the end of the former word)</w:t>
      </w:r>
    </w:p>
    <w:p w14:paraId="7FFEA0C9" w14:textId="77777777">
      <w:pPr>
        <w:pStyle w:val="Lista4"/>
      </w:pPr>
      <w:r>
        <w:t>and one at the beginning of the later block (restoring the vowel expected at the beginning of the latter word)</w:t>
      </w:r>
    </w:p>
    <w:p w14:paraId="666B364E" w14:textId="77777777">
      <w:pPr>
        <w:pStyle w:val="Lista3"/>
      </w:pPr>
      <w:r>
        <w:lastRenderedPageBreak/>
        <w:t xml:space="preserve">you will need to resort to this in the occasional cases where the particle </w:t>
      </w:r>
      <w:r>
        <w:rPr>
          <w:rStyle w:val="Foreign"/>
        </w:rPr>
        <w:t>iti</w:t>
      </w:r>
      <w:r>
        <w:t xml:space="preserve"> is fused in sandhi to the end of a stanza ending in </w:t>
      </w:r>
      <w:r>
        <w:rPr>
          <w:rStyle w:val="Foreign"/>
        </w:rPr>
        <w:t>-i</w:t>
      </w:r>
      <w:r>
        <w:t xml:space="preserve">, as in </w:t>
      </w:r>
      <w:r>
        <w:fldChar w:fldCharType="begin"/>
      </w:r>
      <w:r>
        <w:instrText xml:space="preserve"> REF _Ref43995893 \h  \* MERGEFORMAT </w:instrText>
      </w:r>
      <w:r>
        <w:fldChar w:fldCharType="separate"/>
      </w:r>
      <w:r>
        <w:t xml:space="preserve">Exhibit </w:t>
      </w:r>
      <w:r>
        <w:rPr>
          <w:noProof/>
        </w:rPr>
        <w:t>3.2.K</w:t>
      </w:r>
      <w:r>
        <w:fldChar w:fldCharType="end"/>
      </w:r>
    </w:p>
    <w:p w14:paraId="73820CA3" w14:textId="17A05F39">
      <w:pPr>
        <w:pStyle w:val="Lista4"/>
      </w:pPr>
      <w:r>
        <w:t xml:space="preserve">if </w:t>
      </w:r>
      <w:r>
        <w:rPr>
          <w:rStyle w:val="Foreign"/>
        </w:rPr>
        <w:t>iti</w:t>
      </w:r>
      <w:r>
        <w:t xml:space="preserve"> is fused in this way to the end of a stanza, and it is not semantically a part of the following paragraph of text (i.e. not translatable as e.g. “therefore” or “having said so,” but appears simply in the function of a closing quotation mark), then create a separate </w:t>
      </w:r>
      <w:r>
        <w:rPr>
          <w:rStyle w:val="Code"/>
        </w:rPr>
        <w:t>&lt;ab&gt;</w:t>
      </w:r>
      <w:r>
        <w:t xml:space="preserve"> container for this word between the preceding </w:t>
      </w:r>
      <w:r>
        <w:rPr>
          <w:rStyle w:val="Code"/>
        </w:rPr>
        <w:t>&lt;lg&gt;</w:t>
      </w:r>
      <w:r>
        <w:t xml:space="preserve"> and the following </w:t>
      </w:r>
      <w:r>
        <w:rPr>
          <w:rStyle w:val="Code"/>
        </w:rPr>
        <w:t>&lt;p&gt;</w:t>
      </w:r>
    </w:p>
    <w:tbl>
      <w:tblPr>
        <w:tblStyle w:val="CodeSampleTable"/>
        <w:tblW w:w="5000" w:type="pct"/>
        <w:tblLook w:val="04A0" w:firstRow="1" w:lastRow="0" w:firstColumn="1" w:lastColumn="0" w:noHBand="0" w:noVBand="1"/>
      </w:tblPr>
      <w:tblGrid>
        <w:gridCol w:w="9628"/>
      </w:tblGrid>
      <w:tr w14:paraId="2B2EBE6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F2BB795" w14:textId="77777777">
            <w:pPr>
              <w:pStyle w:val="Kpalrs"/>
            </w:pPr>
            <w:bookmarkStart w:id="118" w:name="_Ref181628185"/>
            <w:bookmarkStart w:id="119" w:name="_Ref224918638"/>
            <w:r>
              <w:t xml:space="preserve">Exhibit </w:t>
            </w:r>
            <w:fldSimple w:instr=" STYLEREF 2 \s ">
              <w:r>
                <w:rPr>
                  <w:noProof/>
                </w:rPr>
                <w:t>3.2</w:t>
              </w:r>
            </w:fldSimple>
            <w:r>
              <w:t>.</w:t>
            </w:r>
            <w:fldSimple w:instr=" SEQ Exhibit \* ALPHABETIC \s 2 ">
              <w:r>
                <w:rPr>
                  <w:noProof/>
                </w:rPr>
                <w:t>J</w:t>
              </w:r>
            </w:fldSimple>
            <w:bookmarkEnd w:id="118"/>
            <w:r>
              <w:t xml:space="preserve">: end of verse line obscured by vowel fusion </w:t>
            </w:r>
            <w:r>
              <w:rPr>
                <w:rStyle w:val="Foreign"/>
              </w:rPr>
              <w:t>sandhi</w:t>
            </w:r>
            <w:bookmarkEnd w:id="119"/>
          </w:p>
        </w:tc>
      </w:tr>
      <w:tr w14:paraId="36B1B4A4" w14:textId="77777777">
        <w:tc>
          <w:tcPr>
            <w:tcW w:w="5000" w:type="pct"/>
          </w:tcPr>
          <w:p w14:paraId="3B4B1EC7" w14:textId="77777777">
            <w:pPr>
              <w:pStyle w:val="CodeParagraph"/>
              <w:keepNext/>
              <w:rPr>
                <w:rStyle w:val="Code"/>
              </w:rPr>
            </w:pPr>
            <w:r>
              <w:rPr>
                <w:rStyle w:val="Code"/>
              </w:rPr>
              <w:t xml:space="preserve">&lt;lg </w:t>
            </w:r>
            <w:r>
              <w:rPr>
                <w:rStyle w:val="Codeattribute"/>
              </w:rPr>
              <w:t>n=</w:t>
            </w:r>
            <w:r>
              <w:rPr>
                <w:rStyle w:val="Codevalue"/>
              </w:rPr>
              <w:t>"32"</w:t>
            </w:r>
            <w:r>
              <w:rPr>
                <w:rStyle w:val="Code"/>
              </w:rPr>
              <w:t xml:space="preserve"> </w:t>
            </w:r>
            <w:r>
              <w:rPr>
                <w:rStyle w:val="Codeattribute"/>
              </w:rPr>
              <w:t>met=</w:t>
            </w:r>
            <w:r>
              <w:rPr>
                <w:rStyle w:val="Codevalue"/>
              </w:rPr>
              <w:t>"vaṁśastha"</w:t>
            </w:r>
            <w:r>
              <w:rPr>
                <w:rStyle w:val="Code"/>
              </w:rPr>
              <w:t>&gt;</w:t>
            </w:r>
          </w:p>
          <w:p w14:paraId="4BE89C52"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 </w:t>
            </w:r>
            <w:r>
              <w:rPr>
                <w:rStyle w:val="Codeattribute"/>
              </w:rPr>
              <w:t>enjamb</w:t>
            </w:r>
            <w:r>
              <w:rPr>
                <w:rStyle w:val="Codetext"/>
              </w:rPr>
              <w:t>=</w:t>
            </w:r>
            <w:r>
              <w:rPr>
                <w:rStyle w:val="Codevalue"/>
              </w:rPr>
              <w:t>"yes"</w:t>
            </w:r>
            <w:r>
              <w:rPr>
                <w:rStyle w:val="Code"/>
              </w:rPr>
              <w:t>&gt;</w:t>
            </w:r>
            <w:r>
              <w:rPr>
                <w:rStyle w:val="Codetext"/>
              </w:rPr>
              <w:t>sadā sva-vācā manasā ca karmmaṇā</w:t>
            </w:r>
            <w:r>
              <w:rPr>
                <w:rStyle w:val="Code"/>
              </w:rPr>
              <w:t>&lt;/l&gt;</w:t>
            </w:r>
          </w:p>
          <w:p w14:paraId="35C1E270"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nvakāri yenādhiguṇena kuṇḍinaḥ</w:t>
            </w:r>
            <w:r>
              <w:rPr>
                <w:rStyle w:val="Code"/>
              </w:rPr>
              <w:t>&lt;/l&gt;</w:t>
            </w:r>
          </w:p>
          <w:p w14:paraId="6A18A4B2" w14:textId="77777777">
            <w:pPr>
              <w:pStyle w:val="CodeParagraph"/>
              <w:keepNext/>
              <w:rPr>
                <w:rStyle w:val="Code"/>
              </w:rPr>
            </w:pPr>
            <w:r>
              <w:rPr>
                <w:rStyle w:val="Code"/>
              </w:rPr>
              <w:t xml:space="preserve">  ...</w:t>
            </w:r>
          </w:p>
          <w:p w14:paraId="4E7341D7" w14:textId="77777777">
            <w:pPr>
              <w:pStyle w:val="CodeParagraph"/>
              <w:keepNext/>
            </w:pPr>
            <w:r>
              <w:rPr>
                <w:rStyle w:val="Code"/>
              </w:rPr>
              <w:t>&lt;/lg&gt;</w:t>
            </w:r>
          </w:p>
        </w:tc>
      </w:tr>
      <w:tr w14:paraId="43C77050" w14:textId="77777777">
        <w:tc>
          <w:tcPr>
            <w:tcW w:w="5000" w:type="pct"/>
          </w:tcPr>
          <w:p w14:paraId="5A6BC1C1" w14:textId="77777777">
            <w:pPr>
              <w:pStyle w:val="TableNote"/>
              <w:keepNext/>
            </w:pPr>
            <w:r>
              <w:t xml:space="preserve">the word </w:t>
            </w:r>
            <w:r>
              <w:rPr>
                <w:rStyle w:val="Foreign"/>
              </w:rPr>
              <w:t>anvakāri</w:t>
            </w:r>
            <w:r>
              <w:t xml:space="preserve"> is split between lines (its initial vowel being merged into the final </w:t>
            </w:r>
            <w:r>
              <w:rPr>
                <w:rStyle w:val="Foreign"/>
              </w:rPr>
              <w:t>ā</w:t>
            </w:r>
            <w:r>
              <w:t xml:space="preserve"> of the preceding word)</w:t>
            </w:r>
          </w:p>
          <w:p w14:paraId="72F50292" w14:textId="77777777">
            <w:pPr>
              <w:pStyle w:val="TableNote"/>
              <w:keepNext/>
            </w:pPr>
            <w:r>
              <w:t xml:space="preserve">splitting into </w:t>
            </w:r>
            <w:r>
              <w:rPr>
                <w:rStyle w:val="Codetext"/>
              </w:rPr>
              <w:t>karmmaṇā</w:t>
            </w:r>
            <w:r>
              <w:rPr>
                <w:rStyle w:val="Code"/>
              </w:rPr>
              <w:t>&lt;/l&gt;&lt;l&gt;</w:t>
            </w:r>
            <w:r>
              <w:rPr>
                <w:rStyle w:val="Codetext"/>
              </w:rPr>
              <w:t>nvakāri</w:t>
            </w:r>
            <w:r>
              <w:t xml:space="preserve"> puts the metrical boundary at an </w:t>
            </w:r>
            <w:r>
              <w:rPr>
                <w:rStyle w:val="Foreign"/>
              </w:rPr>
              <w:t>akṣara</w:t>
            </w:r>
            <w:r>
              <w:t xml:space="preserve"> boundary</w:t>
            </w:r>
          </w:p>
          <w:p w14:paraId="3C7085BD" w14:textId="77777777">
            <w:pPr>
              <w:pStyle w:val="TableNote"/>
              <w:keepNext/>
            </w:pPr>
            <w:r>
              <w:t xml:space="preserve">but the primary reason for splitting at this point was that it is closer to a word boundary than </w:t>
            </w:r>
            <w:r>
              <w:rPr>
                <w:rStyle w:val="Codetext"/>
              </w:rPr>
              <w:t>karmmaṇānv</w:t>
            </w:r>
            <w:r>
              <w:rPr>
                <w:rStyle w:val="Code"/>
              </w:rPr>
              <w:t>&lt;/l&gt;&lt;l&gt;</w:t>
            </w:r>
            <w:r>
              <w:rPr>
                <w:rStyle w:val="Codetext"/>
              </w:rPr>
              <w:t>akāri</w:t>
            </w:r>
            <w:r>
              <w:t xml:space="preserve"> would be (which is at the boundary of a prefix)</w:t>
            </w:r>
          </w:p>
        </w:tc>
      </w:tr>
      <w:tr w14:paraId="75822E8F" w14:textId="77777777">
        <w:tc>
          <w:tcPr>
            <w:tcW w:w="5000" w:type="pct"/>
          </w:tcPr>
          <w:p w14:paraId="552C7FEF" w14:textId="77777777">
            <w:pPr>
              <w:pStyle w:val="CodeParagraph"/>
              <w:keepNext/>
              <w:rPr>
                <w:rStyle w:val="Code"/>
              </w:rPr>
            </w:pPr>
            <w:r>
              <w:rPr>
                <w:rStyle w:val="Code"/>
              </w:rPr>
              <w:t xml:space="preserve">&lt;lg </w:t>
            </w:r>
            <w:r>
              <w:rPr>
                <w:rStyle w:val="Codeattribute"/>
              </w:rPr>
              <w:t>n=</w:t>
            </w:r>
            <w:r>
              <w:rPr>
                <w:rStyle w:val="Codevalue"/>
              </w:rPr>
              <w:t>"6"</w:t>
            </w:r>
            <w:r>
              <w:rPr>
                <w:rStyle w:val="Code"/>
              </w:rPr>
              <w:t xml:space="preserve"> </w:t>
            </w:r>
            <w:r>
              <w:rPr>
                <w:rStyle w:val="Codeattribute"/>
              </w:rPr>
              <w:t>met=</w:t>
            </w:r>
            <w:r>
              <w:rPr>
                <w:rStyle w:val="Codevalue"/>
              </w:rPr>
              <w:t>"anuṣṭubh"</w:t>
            </w:r>
            <w:r>
              <w:rPr>
                <w:rStyle w:val="Code"/>
              </w:rPr>
              <w:t>&gt;</w:t>
            </w:r>
          </w:p>
          <w:p w14:paraId="2734C99E" w14:textId="77777777">
            <w:pPr>
              <w:pStyle w:val="CodeParagraph"/>
              <w:keepNext/>
              <w:rPr>
                <w:rStyle w:val="Code"/>
              </w:rPr>
            </w:pPr>
            <w:r>
              <w:rPr>
                <w:rStyle w:val="Code"/>
              </w:rPr>
              <w:t xml:space="preserve">  &lt;l </w:t>
            </w:r>
            <w:r>
              <w:rPr>
                <w:rStyle w:val="Codeattribute"/>
              </w:rPr>
              <w:t>n</w:t>
            </w:r>
            <w:r>
              <w:rPr>
                <w:rStyle w:val="Codetext"/>
              </w:rPr>
              <w:t>=</w:t>
            </w:r>
            <w:r>
              <w:rPr>
                <w:rStyle w:val="Codevalue"/>
              </w:rPr>
              <w:t>"a"</w:t>
            </w:r>
            <w:r>
              <w:rPr>
                <w:rStyle w:val="Code"/>
              </w:rPr>
              <w:t xml:space="preserve"> </w:t>
            </w:r>
            <w:r>
              <w:rPr>
                <w:rStyle w:val="Codeattribute"/>
              </w:rPr>
              <w:t>enjamb</w:t>
            </w:r>
            <w:r>
              <w:rPr>
                <w:rStyle w:val="Codetext"/>
              </w:rPr>
              <w:t>=</w:t>
            </w:r>
            <w:r>
              <w:rPr>
                <w:rStyle w:val="Codevalue"/>
              </w:rPr>
              <w:t>"yes"</w:t>
            </w:r>
            <w:r>
              <w:rPr>
                <w:rStyle w:val="Code"/>
              </w:rPr>
              <w:t xml:space="preserve"> </w:t>
            </w:r>
            <w:r>
              <w:rPr>
                <w:rStyle w:val="Codeattribute"/>
              </w:rPr>
              <w:t>met</w:t>
            </w:r>
            <w:r>
              <w:rPr>
                <w:rStyle w:val="Codetext"/>
              </w:rPr>
              <w:t>=</w:t>
            </w:r>
            <w:r>
              <w:rPr>
                <w:rStyle w:val="Codevalue"/>
              </w:rPr>
              <w:t>"na-vipulā"</w:t>
            </w:r>
            <w:r>
              <w:rPr>
                <w:rStyle w:val="Code"/>
              </w:rPr>
              <w:t xml:space="preserve"> </w:t>
            </w:r>
            <w:r>
              <w:rPr>
                <w:rStyle w:val="Codeattribute"/>
              </w:rPr>
              <w:t>real</w:t>
            </w:r>
            <w:r>
              <w:rPr>
                <w:rStyle w:val="Codetext"/>
              </w:rPr>
              <w:t>=</w:t>
            </w:r>
            <w:r>
              <w:rPr>
                <w:rStyle w:val="Codevalue"/>
              </w:rPr>
              <w:t>"+-++---+"</w:t>
            </w:r>
            <w:r>
              <w:rPr>
                <w:rStyle w:val="Code"/>
              </w:rPr>
              <w:t>&gt;</w:t>
            </w:r>
            <w:r>
              <w:rPr>
                <w:rStyle w:val="Codetext"/>
              </w:rPr>
              <w:t>viṣṇurājas tad-anujasy</w:t>
            </w:r>
            <w:r>
              <w:rPr>
                <w:rStyle w:val="Code"/>
              </w:rPr>
              <w:t>&lt;/l&gt;</w:t>
            </w:r>
          </w:p>
          <w:p w14:paraId="2F278B6A" w14:textId="77777777">
            <w:pPr>
              <w:pStyle w:val="CodeParagraph"/>
              <w:keepNext/>
              <w:rPr>
                <w:rStyle w:val="Code"/>
              </w:rPr>
            </w:pPr>
            <w:r>
              <w:rPr>
                <w:rStyle w:val="Code"/>
              </w:rPr>
              <w:t xml:space="preserve">  &lt;l </w:t>
            </w:r>
            <w:r>
              <w:rPr>
                <w:rStyle w:val="Codeattribute"/>
              </w:rPr>
              <w:t>n</w:t>
            </w:r>
            <w:r>
              <w:rPr>
                <w:rStyle w:val="Codetext"/>
              </w:rPr>
              <w:t>=</w:t>
            </w:r>
            <w:r>
              <w:rPr>
                <w:rStyle w:val="Codevalue"/>
              </w:rPr>
              <w:t>"b"</w:t>
            </w:r>
            <w:r>
              <w:rPr>
                <w:rStyle w:val="Code"/>
              </w:rPr>
              <w:t>&gt;</w:t>
            </w:r>
            <w:r>
              <w:rPr>
                <w:rStyle w:val="Codetext"/>
              </w:rPr>
              <w:t>endrarājasya nandanaḥ</w:t>
            </w:r>
            <w:r>
              <w:rPr>
                <w:rStyle w:val="Code"/>
              </w:rPr>
              <w:t>&lt;/l&gt;</w:t>
            </w:r>
          </w:p>
          <w:p w14:paraId="1B1C3342" w14:textId="77777777">
            <w:pPr>
              <w:pStyle w:val="CodeParagraph"/>
              <w:keepNext/>
              <w:rPr>
                <w:rStyle w:val="Code"/>
              </w:rPr>
            </w:pPr>
            <w:r>
              <w:rPr>
                <w:rStyle w:val="Code"/>
              </w:rPr>
              <w:t xml:space="preserve">  ...</w:t>
            </w:r>
          </w:p>
          <w:p w14:paraId="23E724F9" w14:textId="77777777">
            <w:pPr>
              <w:pStyle w:val="CodeParagraph"/>
              <w:keepNext/>
            </w:pPr>
            <w:r>
              <w:rPr>
                <w:rStyle w:val="Code"/>
              </w:rPr>
              <w:t>&lt;/lg&gt;</w:t>
            </w:r>
          </w:p>
        </w:tc>
      </w:tr>
      <w:tr w14:paraId="0C748F04" w14:textId="77777777">
        <w:tc>
          <w:tcPr>
            <w:tcW w:w="5000" w:type="pct"/>
          </w:tcPr>
          <w:p w14:paraId="1E411671" w14:textId="77777777">
            <w:pPr>
              <w:pStyle w:val="TableNote"/>
              <w:keepNext/>
            </w:pPr>
            <w:r>
              <w:t xml:space="preserve">the word </w:t>
            </w:r>
            <w:r>
              <w:rPr>
                <w:rStyle w:val="Foreign"/>
              </w:rPr>
              <w:t>anujasya</w:t>
            </w:r>
            <w:r>
              <w:t xml:space="preserve"> is split between lines (its final vowel being merged into the initial vowel of the following </w:t>
            </w:r>
            <w:r>
              <w:rPr>
                <w:rStyle w:val="Foreign"/>
              </w:rPr>
              <w:t>indrarājasya</w:t>
            </w:r>
            <w:r>
              <w:t>)</w:t>
            </w:r>
          </w:p>
          <w:p w14:paraId="4206B582" w14:textId="77777777">
            <w:pPr>
              <w:pStyle w:val="TableNote"/>
              <w:keepNext/>
            </w:pPr>
            <w:r>
              <w:t xml:space="preserve">splitting into </w:t>
            </w:r>
            <w:r>
              <w:rPr>
                <w:rStyle w:val="Codetext"/>
              </w:rPr>
              <w:t>tad-anuja</w:t>
            </w:r>
            <w:r>
              <w:rPr>
                <w:rStyle w:val="Code"/>
              </w:rPr>
              <w:t>&lt;/l&gt;&lt;l&gt;</w:t>
            </w:r>
            <w:r>
              <w:rPr>
                <w:rStyle w:val="Codetext"/>
              </w:rPr>
              <w:t>syendrarājasya</w:t>
            </w:r>
            <w:r>
              <w:t xml:space="preserve"> would place the split further away from the word boundary, which is not desirable</w:t>
            </w:r>
          </w:p>
          <w:p w14:paraId="166E0882" w14:textId="77777777">
            <w:pPr>
              <w:pStyle w:val="TableNote"/>
              <w:keepNext/>
            </w:pPr>
            <w:r>
              <w:t xml:space="preserve">the preferred splitting does not, in this case, coincide with an </w:t>
            </w:r>
            <w:r>
              <w:rPr>
                <w:rStyle w:val="Foreign"/>
              </w:rPr>
              <w:t>akṣara</w:t>
            </w:r>
            <w:r>
              <w:t xml:space="preserve"> boundary</w:t>
            </w:r>
          </w:p>
          <w:p w14:paraId="16491342" w14:textId="77777777">
            <w:pPr>
              <w:pStyle w:val="TableNote"/>
              <w:keepNext/>
            </w:pPr>
            <w:r>
              <w:t xml:space="preserve">the </w:t>
            </w:r>
            <w:r>
              <w:rPr>
                <w:rStyle w:val="Foreign"/>
              </w:rPr>
              <w:t>vipulā</w:t>
            </w:r>
            <w:r>
              <w:t xml:space="preserve"> metre, incidental to this illustration, is encoded as per §</w:t>
            </w:r>
            <w:r>
              <w:fldChar w:fldCharType="begin"/>
            </w:r>
            <w:r>
              <w:instrText xml:space="preserve"> REF _Ref224725166 \r \h </w:instrText>
            </w:r>
            <w:r>
              <w:fldChar w:fldCharType="separate"/>
            </w:r>
            <w:r>
              <w:t>3.3.4.1</w:t>
            </w:r>
            <w:r>
              <w:fldChar w:fldCharType="end"/>
            </w:r>
          </w:p>
        </w:tc>
      </w:tr>
      <w:tr w14:paraId="61FE8E01" w14:textId="77777777">
        <w:tc>
          <w:tcPr>
            <w:tcW w:w="5000" w:type="pct"/>
          </w:tcPr>
          <w:p w14:paraId="6E9F3D3B" w14:textId="77777777">
            <w:pPr>
              <w:pStyle w:val="CodeParagraph"/>
              <w:keepNext/>
              <w:rPr>
                <w:rStyle w:val="Code"/>
              </w:rPr>
            </w:pPr>
            <w:r>
              <w:rPr>
                <w:rStyle w:val="Code"/>
              </w:rPr>
              <w:t xml:space="preserve">&lt;lg </w:t>
            </w:r>
            <w:r>
              <w:rPr>
                <w:rStyle w:val="Codeattribute"/>
              </w:rPr>
              <w:t>n=</w:t>
            </w:r>
            <w:r>
              <w:rPr>
                <w:rStyle w:val="Codevalue"/>
              </w:rPr>
              <w:t>"2"</w:t>
            </w:r>
            <w:r>
              <w:rPr>
                <w:rStyle w:val="Code"/>
              </w:rPr>
              <w:t xml:space="preserve"> </w:t>
            </w:r>
            <w:r>
              <w:rPr>
                <w:rStyle w:val="Codeattribute"/>
              </w:rPr>
              <w:t>met=</w:t>
            </w:r>
            <w:r>
              <w:rPr>
                <w:rStyle w:val="Codevalue"/>
              </w:rPr>
              <w:t>"sragdharā"</w:t>
            </w:r>
            <w:r>
              <w:rPr>
                <w:rStyle w:val="Code"/>
              </w:rPr>
              <w:t>&gt;</w:t>
            </w:r>
          </w:p>
          <w:p w14:paraId="6DFCE3C9" w14:textId="77777777">
            <w:pPr>
              <w:pStyle w:val="CodeParagraph"/>
              <w:keepNext/>
              <w:rPr>
                <w:rStyle w:val="Code"/>
              </w:rPr>
            </w:pPr>
            <w:r>
              <w:rPr>
                <w:rStyle w:val="Code"/>
              </w:rPr>
              <w:t xml:space="preserve">  ...</w:t>
            </w:r>
          </w:p>
          <w:p w14:paraId="19BB90D4" w14:textId="77777777">
            <w:pPr>
              <w:pStyle w:val="CodeParagraph"/>
              <w:keepNext/>
              <w:rPr>
                <w:rStyle w:val="Code"/>
              </w:rPr>
            </w:pPr>
            <w:r>
              <w:rPr>
                <w:rStyle w:val="Code"/>
              </w:rPr>
              <w:t xml:space="preserve">  &lt;l </w:t>
            </w:r>
            <w:r>
              <w:rPr>
                <w:rStyle w:val="Codeattribute"/>
              </w:rPr>
              <w:t>n</w:t>
            </w:r>
            <w:r>
              <w:rPr>
                <w:rStyle w:val="Codetext"/>
              </w:rPr>
              <w:t>=</w:t>
            </w:r>
            <w:r>
              <w:rPr>
                <w:rStyle w:val="Codevalue"/>
              </w:rPr>
              <w:t>"c"</w:t>
            </w:r>
            <w:r>
              <w:rPr>
                <w:rStyle w:val="Code"/>
              </w:rPr>
              <w:t xml:space="preserve"> </w:t>
            </w:r>
            <w:r>
              <w:rPr>
                <w:rStyle w:val="Codeattribute"/>
              </w:rPr>
              <w:t>enjamb</w:t>
            </w:r>
            <w:r>
              <w:rPr>
                <w:rStyle w:val="Codetext"/>
              </w:rPr>
              <w:t>=</w:t>
            </w:r>
            <w:r>
              <w:rPr>
                <w:rStyle w:val="Codevalue"/>
              </w:rPr>
              <w:t>"yes"</w:t>
            </w:r>
            <w:r>
              <w:rPr>
                <w:rStyle w:val="Code"/>
              </w:rPr>
              <w:t>&gt;</w:t>
            </w:r>
            <w:r>
              <w:rPr>
                <w:rStyle w:val="Codetext"/>
              </w:rPr>
              <w:t>lokeśas sthāpito ’pīśvara-guṇa-nipuṇo vismayo nāpy akāryy atr</w:t>
            </w:r>
            <w:r>
              <w:rPr>
                <w:rStyle w:val="Code"/>
              </w:rPr>
              <w:t>&lt;/l&gt;</w:t>
            </w:r>
          </w:p>
          <w:p w14:paraId="4BAFE3C4" w14:textId="77777777">
            <w:pPr>
              <w:pStyle w:val="CodeParagraph"/>
              <w:keepNext/>
              <w:rPr>
                <w:rStyle w:val="Code"/>
              </w:rPr>
            </w:pPr>
            <w:r>
              <w:rPr>
                <w:rStyle w:val="Code"/>
              </w:rPr>
              <w:t xml:space="preserve">  &lt;l </w:t>
            </w:r>
            <w:r>
              <w:rPr>
                <w:rStyle w:val="Codeattribute"/>
              </w:rPr>
              <w:t>n</w:t>
            </w:r>
            <w:r>
              <w:rPr>
                <w:rStyle w:val="Codetext"/>
              </w:rPr>
              <w:t>=</w:t>
            </w:r>
            <w:r>
              <w:rPr>
                <w:rStyle w:val="Codevalue"/>
              </w:rPr>
              <w:t>"d"</w:t>
            </w:r>
            <w:r>
              <w:rPr>
                <w:rStyle w:val="Code"/>
              </w:rPr>
              <w:t>&gt;</w:t>
            </w:r>
            <w:r>
              <w:rPr>
                <w:rStyle w:val="Codetext"/>
              </w:rPr>
              <w:t>āsevīhājñayānāvinamita-matinā duṣṭa-vākyañ ca dharmme</w:t>
            </w:r>
            <w:r>
              <w:rPr>
                <w:rStyle w:val="Code"/>
              </w:rPr>
              <w:t>&lt;/l&gt;</w:t>
            </w:r>
          </w:p>
          <w:p w14:paraId="35C1AC5F" w14:textId="77777777">
            <w:pPr>
              <w:pStyle w:val="CodeParagraph"/>
              <w:keepNext/>
            </w:pPr>
            <w:r>
              <w:rPr>
                <w:rStyle w:val="Code"/>
              </w:rPr>
              <w:t>&lt;/lg&gt;</w:t>
            </w:r>
          </w:p>
        </w:tc>
      </w:tr>
      <w:tr w14:paraId="75DE14A4" w14:textId="77777777">
        <w:tc>
          <w:tcPr>
            <w:tcW w:w="5000" w:type="pct"/>
          </w:tcPr>
          <w:p w14:paraId="7D9A9FDD" w14:textId="77777777">
            <w:pPr>
              <w:pStyle w:val="TableNote"/>
            </w:pPr>
            <w:r>
              <w:t xml:space="preserve">the word </w:t>
            </w:r>
            <w:r>
              <w:rPr>
                <w:rStyle w:val="Foreign"/>
              </w:rPr>
              <w:t>atra</w:t>
            </w:r>
            <w:r>
              <w:t xml:space="preserve"> is split between lines (its final vowel being merged into the initial vowel of the following </w:t>
            </w:r>
            <w:r>
              <w:rPr>
                <w:rStyle w:val="Foreign"/>
              </w:rPr>
              <w:t>asevi</w:t>
            </w:r>
            <w:r>
              <w:t>)</w:t>
            </w:r>
          </w:p>
          <w:p w14:paraId="2FF3E9E1" w14:textId="77777777">
            <w:pPr>
              <w:pStyle w:val="TableNote"/>
            </w:pPr>
            <w:r>
              <w:t xml:space="preserve">splitting into </w:t>
            </w:r>
            <w:r>
              <w:rPr>
                <w:rStyle w:val="Codetext"/>
              </w:rPr>
              <w:t>akāryy a</w:t>
            </w:r>
            <w:r>
              <w:rPr>
                <w:rStyle w:val="Code"/>
              </w:rPr>
              <w:t>&lt;/l&gt;&lt;l&gt;</w:t>
            </w:r>
            <w:r>
              <w:rPr>
                <w:rStyle w:val="Codetext"/>
              </w:rPr>
              <w:t>trāsevī°</w:t>
            </w:r>
            <w:r>
              <w:t xml:space="preserve"> would be equally acceptable on the basis of proximity to a word boundary</w:t>
            </w:r>
          </w:p>
          <w:p w14:paraId="3B603BAC" w14:textId="77777777">
            <w:pPr>
              <w:pStyle w:val="TableNote"/>
            </w:pPr>
            <w:r>
              <w:t xml:space="preserve">but semantically, </w:t>
            </w:r>
            <w:r>
              <w:rPr>
                <w:rStyle w:val="Foreign"/>
              </w:rPr>
              <w:t>atra</w:t>
            </w:r>
            <w:r>
              <w:t xml:space="preserve"> belongs to the former line, so putting most of this word into that line is preferable to keeping the </w:t>
            </w:r>
            <w:r>
              <w:rPr>
                <w:rStyle w:val="Foreign"/>
              </w:rPr>
              <w:t>akṣara</w:t>
            </w:r>
            <w:r>
              <w:t xml:space="preserve"> boundary intact</w:t>
            </w:r>
          </w:p>
        </w:tc>
      </w:tr>
    </w:tbl>
    <w:p w14:paraId="63CACBA4" w14:textId="77777777"/>
    <w:tbl>
      <w:tblPr>
        <w:tblStyle w:val="CodeSampleTable"/>
        <w:tblW w:w="5000" w:type="pct"/>
        <w:tblLook w:val="04A0" w:firstRow="1" w:lastRow="0" w:firstColumn="1" w:lastColumn="0" w:noHBand="0" w:noVBand="1"/>
      </w:tblPr>
      <w:tblGrid>
        <w:gridCol w:w="9628"/>
      </w:tblGrid>
      <w:tr w14:paraId="0F127E7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5F33A5A" w14:textId="77777777">
            <w:pPr>
              <w:pStyle w:val="Kpalrs"/>
            </w:pPr>
            <w:bookmarkStart w:id="120" w:name="_Ref43995893"/>
            <w:r>
              <w:t xml:space="preserve">Exhibit </w:t>
            </w:r>
            <w:fldSimple w:instr=" STYLEREF 2 \s ">
              <w:r>
                <w:rPr>
                  <w:noProof/>
                </w:rPr>
                <w:t>3.2</w:t>
              </w:r>
            </w:fldSimple>
            <w:r>
              <w:t>.</w:t>
            </w:r>
            <w:fldSimple w:instr=" SEQ Exhibit \* ALPHABETIC \s 4 ">
              <w:r>
                <w:rPr>
                  <w:noProof/>
                </w:rPr>
                <w:t>K</w:t>
              </w:r>
            </w:fldSimple>
            <w:bookmarkEnd w:id="120"/>
            <w:r>
              <w:t>: extraneous text fused to the end of a stanza</w:t>
            </w:r>
          </w:p>
        </w:tc>
      </w:tr>
      <w:tr w14:paraId="2443F768" w14:textId="77777777">
        <w:tc>
          <w:tcPr>
            <w:tcW w:w="5000" w:type="pct"/>
          </w:tcPr>
          <w:p w14:paraId="538B5B8C" w14:textId="77777777">
            <w:pPr>
              <w:pStyle w:val="CodeParagraph"/>
              <w:keepNext/>
              <w:rPr>
                <w:color w:val="000080"/>
                <w:shd w:val="clear" w:color="auto" w:fill="F8F8F8"/>
              </w:rPr>
            </w:pPr>
            <w:r>
              <w:rPr>
                <w:rStyle w:val="Code"/>
              </w:rPr>
              <w:t>&lt;lg&gt;</w:t>
            </w:r>
            <w:r>
              <w:rPr>
                <w:rStyle w:val="Codetext"/>
              </w:rPr>
              <w:br/>
              <w:t xml:space="preserve">  ...</w:t>
            </w:r>
            <w:r>
              <w:rPr>
                <w:rStyle w:val="Codetext"/>
              </w:rPr>
              <w:br/>
            </w:r>
            <w:r>
              <w:rPr>
                <w:rStyle w:val="Code"/>
              </w:rPr>
              <w:t xml:space="preserve">  &lt;l </w:t>
            </w:r>
            <w:r>
              <w:rPr>
                <w:rStyle w:val="Codeattribute"/>
              </w:rPr>
              <w:t>n</w:t>
            </w:r>
            <w:r>
              <w:rPr>
                <w:rStyle w:val="Code"/>
              </w:rPr>
              <w:t>=</w:t>
            </w:r>
            <w:r>
              <w:rPr>
                <w:rStyle w:val="Codevalue"/>
              </w:rPr>
              <w:t>"d"</w:t>
            </w:r>
            <w:r>
              <w:rPr>
                <w:rStyle w:val="Code"/>
              </w:rPr>
              <w:t>&gt;</w:t>
            </w:r>
            <w:r>
              <w:rPr>
                <w:rStyle w:val="Codetext"/>
              </w:rPr>
              <w:t>pitr̥bhiḥ saha majjat</w:t>
            </w:r>
            <w:r>
              <w:rPr>
                <w:rStyle w:val="Code"/>
              </w:rPr>
              <w:t>&lt;choice&gt;&lt;orig&gt;</w:t>
            </w:r>
            <w:r>
              <w:rPr>
                <w:rStyle w:val="Codetext"/>
              </w:rPr>
              <w:t>ī</w:t>
            </w:r>
            <w:r>
              <w:rPr>
                <w:rStyle w:val="Code"/>
              </w:rPr>
              <w:t>&lt;/orig&gt;&lt;reg&gt;</w:t>
            </w:r>
            <w:r>
              <w:rPr>
                <w:rStyle w:val="Codetext"/>
              </w:rPr>
              <w:t>i</w:t>
            </w:r>
            <w:r>
              <w:rPr>
                <w:rStyle w:val="Code"/>
              </w:rPr>
              <w:t>&lt;/reg&gt;&lt;/choice&gt;&lt;/l&gt;</w:t>
            </w:r>
            <w:r>
              <w:rPr>
                <w:rStyle w:val="Codetext"/>
              </w:rPr>
              <w:br/>
            </w:r>
            <w:r>
              <w:rPr>
                <w:rStyle w:val="Code"/>
              </w:rPr>
              <w:t>&lt;/lg&gt;</w:t>
            </w:r>
            <w:r>
              <w:rPr>
                <w:rStyle w:val="Codetext"/>
              </w:rPr>
              <w:br/>
            </w:r>
            <w:r>
              <w:rPr>
                <w:rStyle w:val="Code"/>
              </w:rPr>
              <w:t>&lt;ab&gt;&lt;choice&gt;&lt;orig&gt;</w:t>
            </w:r>
            <w:r>
              <w:rPr>
                <w:rStyle w:val="Codetext"/>
              </w:rPr>
              <w:t>ti</w:t>
            </w:r>
            <w:r>
              <w:rPr>
                <w:rStyle w:val="Code"/>
              </w:rPr>
              <w:t>&lt;/orig&gt;&lt;reg&gt;</w:t>
            </w:r>
            <w:r>
              <w:rPr>
                <w:rStyle w:val="Codetext"/>
              </w:rPr>
              <w:t>Iti</w:t>
            </w:r>
            <w:r>
              <w:rPr>
                <w:rStyle w:val="Code"/>
              </w:rPr>
              <w:t>&lt;/reg&gt;&lt;/choice&gt;&lt;/ab&gt;</w:t>
            </w:r>
            <w:r>
              <w:rPr>
                <w:rStyle w:val="Codetext"/>
              </w:rPr>
              <w:br/>
            </w:r>
            <w:r>
              <w:rPr>
                <w:rStyle w:val="Code"/>
              </w:rPr>
              <w:t>&lt;p&gt;</w:t>
            </w:r>
            <w:r>
              <w:rPr>
                <w:rStyle w:val="Codetext"/>
              </w:rPr>
              <w:t xml:space="preserve">saṁvatsara-śate ... </w:t>
            </w:r>
            <w:r>
              <w:rPr>
                <w:rStyle w:val="Code"/>
              </w:rPr>
              <w:t>&lt;/p&gt;</w:t>
            </w:r>
          </w:p>
        </w:tc>
      </w:tr>
      <w:tr w14:paraId="0953EB6D" w14:textId="77777777">
        <w:tc>
          <w:tcPr>
            <w:tcW w:w="5000" w:type="pct"/>
          </w:tcPr>
          <w:p w14:paraId="5E7719AF" w14:textId="77777777">
            <w:pPr>
              <w:pStyle w:val="TableNote"/>
            </w:pPr>
            <w:r>
              <w:t xml:space="preserve">the string </w:t>
            </w:r>
            <w:r>
              <w:rPr>
                <w:rStyle w:val="Foreign"/>
              </w:rPr>
              <w:t>majjatīti</w:t>
            </w:r>
            <w:r>
              <w:t xml:space="preserve"> is resolved into </w:t>
            </w:r>
            <w:r>
              <w:rPr>
                <w:rStyle w:val="Foreign"/>
              </w:rPr>
              <w:t>majjati Iti</w:t>
            </w:r>
            <w:r>
              <w:t xml:space="preserve"> to allow a container break between these words</w:t>
            </w:r>
          </w:p>
          <w:p w14:paraId="1A2144AA" w14:textId="77777777">
            <w:pPr>
              <w:pStyle w:val="TableNote"/>
            </w:pPr>
            <w:r>
              <w:t xml:space="preserve">since </w:t>
            </w:r>
            <w:r>
              <w:rPr>
                <w:rStyle w:val="Foreign"/>
              </w:rPr>
              <w:t>iti</w:t>
            </w:r>
            <w:r>
              <w:t xml:space="preserve"> does not belong semantically to the paragraph after the stanza </w:t>
            </w:r>
            <w:r>
              <w:rPr>
                <w:noProof/>
              </w:rPr>
              <w:t>(</w:t>
            </w:r>
            <w:r>
              <w:t xml:space="preserve">being used simply as an end-quote mark), a separate </w:t>
            </w:r>
            <w:r>
              <w:rPr>
                <w:rStyle w:val="Code"/>
              </w:rPr>
              <w:t>&lt;ab&gt;</w:t>
            </w:r>
            <w:r>
              <w:t xml:space="preserve"> container is created for </w:t>
            </w:r>
            <w:r>
              <w:rPr>
                <w:rStyle w:val="Foreign"/>
              </w:rPr>
              <w:t>iti</w:t>
            </w:r>
            <w:r>
              <w:t xml:space="preserve"> between the preceding </w:t>
            </w:r>
            <w:r>
              <w:rPr>
                <w:rStyle w:val="Code"/>
              </w:rPr>
              <w:t>&lt;lg&gt;</w:t>
            </w:r>
            <w:r>
              <w:t xml:space="preserve"> and the following </w:t>
            </w:r>
            <w:r>
              <w:rPr>
                <w:rStyle w:val="Code"/>
              </w:rPr>
              <w:t>&lt;p&gt;</w:t>
            </w:r>
          </w:p>
        </w:tc>
      </w:tr>
    </w:tbl>
    <w:p w14:paraId="737B7AE1" w14:textId="77777777"/>
    <w:tbl>
      <w:tblPr>
        <w:tblStyle w:val="CodeSampleTable"/>
        <w:tblW w:w="5000" w:type="pct"/>
        <w:tblLook w:val="04A0" w:firstRow="1" w:lastRow="0" w:firstColumn="1" w:lastColumn="0" w:noHBand="0" w:noVBand="1"/>
      </w:tblPr>
      <w:tblGrid>
        <w:gridCol w:w="9628"/>
      </w:tblGrid>
      <w:tr w14:paraId="41C61D6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325F21D" w14:textId="77777777">
            <w:pPr>
              <w:pStyle w:val="Kpalrs"/>
            </w:pPr>
            <w:bookmarkStart w:id="121" w:name="_Ref43996267"/>
            <w:r>
              <w:t xml:space="preserve">Exhibit </w:t>
            </w:r>
            <w:fldSimple w:instr=" STYLEREF 2 \s ">
              <w:r>
                <w:rPr>
                  <w:noProof/>
                </w:rPr>
                <w:t>3.2</w:t>
              </w:r>
            </w:fldSimple>
            <w:r>
              <w:t>.</w:t>
            </w:r>
            <w:fldSimple w:instr=" SEQ Exhibit \* ALPHABETIC \s 4 ">
              <w:r>
                <w:rPr>
                  <w:noProof/>
                </w:rPr>
                <w:t>L</w:t>
              </w:r>
            </w:fldSimple>
            <w:bookmarkEnd w:id="121"/>
            <w:r>
              <w:t>: paragraph boundary fused in sandhi</w:t>
            </w:r>
          </w:p>
        </w:tc>
      </w:tr>
      <w:tr w14:paraId="50CD7EB8" w14:textId="77777777">
        <w:tc>
          <w:tcPr>
            <w:tcW w:w="5000" w:type="pct"/>
          </w:tcPr>
          <w:p w14:paraId="68639EBC" w14:textId="77777777">
            <w:pPr>
              <w:pStyle w:val="CodeParagraph"/>
              <w:keepNext/>
            </w:pPr>
            <w:r>
              <w:rPr>
                <w:rStyle w:val="Code"/>
              </w:rPr>
              <w:t>&lt;p&gt;</w:t>
            </w:r>
            <w:r>
              <w:rPr>
                <w:rStyle w:val="Codetext"/>
              </w:rPr>
              <w:t xml:space="preserve"> ... puṇye tithau muhūrtte c</w:t>
            </w:r>
            <w:r>
              <w:rPr>
                <w:rStyle w:val="Code"/>
              </w:rPr>
              <w:t>&lt;choice&gt;&lt;orig&gt;</w:t>
            </w:r>
            <w:r>
              <w:rPr>
                <w:rStyle w:val="Codetext"/>
              </w:rPr>
              <w:t>ā</w:t>
            </w:r>
            <w:r>
              <w:rPr>
                <w:rStyle w:val="Code"/>
              </w:rPr>
              <w:t>&lt;/orig&gt;&lt;reg&gt;</w:t>
            </w:r>
            <w:r>
              <w:rPr>
                <w:rStyle w:val="Codetext"/>
              </w:rPr>
              <w:t>a</w:t>
            </w:r>
            <w:r>
              <w:rPr>
                <w:rStyle w:val="Code"/>
              </w:rPr>
              <w:t>&lt;/reg&gt;&lt;/choice&gt;&lt;/p&gt;</w:t>
            </w:r>
            <w:r>
              <w:rPr>
                <w:rStyle w:val="Codetext"/>
              </w:rPr>
              <w:br/>
            </w:r>
            <w:r>
              <w:rPr>
                <w:rStyle w:val="Code"/>
              </w:rPr>
              <w:t>&lt;p&gt;&lt;choice&gt;&lt;orig&gt;</w:t>
            </w:r>
            <w:r>
              <w:rPr>
                <w:rStyle w:val="Codetext"/>
              </w:rPr>
              <w:t>smin</w:t>
            </w:r>
            <w:r>
              <w:rPr>
                <w:rStyle w:val="Code"/>
              </w:rPr>
              <w:t>&lt;/orig&gt;&lt;reg&gt;</w:t>
            </w:r>
            <w:r>
              <w:rPr>
                <w:rStyle w:val="Codetext"/>
              </w:rPr>
              <w:t>Asmin</w:t>
            </w:r>
            <w:r>
              <w:rPr>
                <w:rStyle w:val="Code"/>
              </w:rPr>
              <w:t>&lt;/reg&gt;&lt;/choice&gt;</w:t>
            </w:r>
            <w:r>
              <w:rPr>
                <w:rStyle w:val="Codetext"/>
              </w:rPr>
              <w:t xml:space="preserve"> divasa-māsa-samvatsare ... </w:t>
            </w:r>
            <w:r>
              <w:rPr>
                <w:rStyle w:val="Code"/>
              </w:rPr>
              <w:t>&lt;/p&gt;</w:t>
            </w:r>
          </w:p>
        </w:tc>
      </w:tr>
      <w:tr w14:paraId="2147E03E" w14:textId="77777777">
        <w:tc>
          <w:tcPr>
            <w:tcW w:w="5000" w:type="pct"/>
          </w:tcPr>
          <w:p w14:paraId="76832C50" w14:textId="77777777">
            <w:pPr>
              <w:pStyle w:val="TableNote"/>
            </w:pPr>
            <w:r>
              <w:t xml:space="preserve">the string </w:t>
            </w:r>
            <w:r>
              <w:rPr>
                <w:rStyle w:val="Foreign"/>
              </w:rPr>
              <w:t>cāsmin</w:t>
            </w:r>
            <w:r>
              <w:t xml:space="preserve"> is normalised to </w:t>
            </w:r>
            <w:r>
              <w:rPr>
                <w:rStyle w:val="Foreign"/>
              </w:rPr>
              <w:t>ca Asmin</w:t>
            </w:r>
            <w:r>
              <w:t xml:space="preserve"> to allow a paragraph break between these words</w:t>
            </w:r>
          </w:p>
        </w:tc>
      </w:tr>
    </w:tbl>
    <w:p w14:paraId="5D7262A5" w14:textId="77777777">
      <w:pPr>
        <w:pStyle w:val="Cmsor4"/>
      </w:pPr>
      <w:r>
        <w:lastRenderedPageBreak/>
        <w:t>Interrupted words</w:t>
      </w:r>
    </w:p>
    <w:p w14:paraId="083F2FA8" w14:textId="77777777">
      <w:pPr>
        <w:rPr>
          <w:lang w:eastAsia="en-US" w:bidi="ar-SA"/>
        </w:rPr>
      </w:pPr>
      <w:r>
        <w:rPr>
          <w:lang w:eastAsia="en-US" w:bidi="ar-SA"/>
        </w:rPr>
        <w:t xml:space="preserve">Prose blocks must never be created in such a way that they end within an integral word. However, verse lines may occasionally end in such a position. If this happens, the usual reason is that a boundary between compound members is in fact present, but it is not segmented in our edition because the compound is a proper name (and vowel fusion may also apply, as in </w:t>
      </w:r>
      <w:r>
        <w:rPr>
          <w:lang w:eastAsia="en-US" w:bidi="ar-SA"/>
        </w:rPr>
        <w:fldChar w:fldCharType="begin"/>
      </w:r>
      <w:r>
        <w:rPr>
          <w:lang w:eastAsia="en-US" w:bidi="ar-SA"/>
        </w:rPr>
        <w:instrText xml:space="preserve"> REF _Ref181627544 \h </w:instrText>
      </w:r>
      <w:r>
        <w:rPr>
          <w:lang w:eastAsia="en-US" w:bidi="ar-SA"/>
        </w:rPr>
      </w:r>
      <w:r>
        <w:rPr>
          <w:lang w:eastAsia="en-US" w:bidi="ar-SA"/>
        </w:rPr>
        <w:fldChar w:fldCharType="separate"/>
      </w:r>
      <w:r>
        <w:t xml:space="preserve">Exhibit </w:t>
      </w:r>
      <w:r>
        <w:rPr>
          <w:noProof/>
        </w:rPr>
        <w:t>3.2</w:t>
      </w:r>
      <w:r>
        <w:t>.</w:t>
      </w:r>
      <w:r>
        <w:rPr>
          <w:noProof/>
        </w:rPr>
        <w:t>M</w:t>
      </w:r>
      <w:r>
        <w:rPr>
          <w:lang w:eastAsia="en-US" w:bidi="ar-SA"/>
        </w:rPr>
        <w:fldChar w:fldCharType="end"/>
      </w:r>
      <w:r>
        <w:rPr>
          <w:lang w:eastAsia="en-US" w:bidi="ar-SA"/>
        </w:rPr>
        <w:t xml:space="preserve">). Rarely, a verse line may end between bound morphemes (e.g. between a prefix and a verbal stem) and even more rarely, the end may be inside an atomic morpheme (as in </w:t>
      </w:r>
      <w:r>
        <w:rPr>
          <w:lang w:eastAsia="en-US" w:bidi="ar-SA"/>
        </w:rPr>
        <w:fldChar w:fldCharType="begin"/>
      </w:r>
      <w:r>
        <w:rPr>
          <w:lang w:eastAsia="en-US" w:bidi="ar-SA"/>
        </w:rPr>
        <w:instrText xml:space="preserve"> REF _Ref224920202 \h </w:instrText>
      </w:r>
      <w:r>
        <w:rPr>
          <w:lang w:eastAsia="en-US" w:bidi="ar-SA"/>
        </w:rPr>
      </w:r>
      <w:r>
        <w:rPr>
          <w:lang w:eastAsia="en-US" w:bidi="ar-SA"/>
        </w:rPr>
        <w:fldChar w:fldCharType="separate"/>
      </w:r>
      <w:r>
        <w:t xml:space="preserve">Exhibit </w:t>
      </w:r>
      <w:r>
        <w:rPr>
          <w:noProof/>
        </w:rPr>
        <w:t>3.2</w:t>
      </w:r>
      <w:r>
        <w:t>.</w:t>
      </w:r>
      <w:r>
        <w:rPr>
          <w:noProof/>
        </w:rPr>
        <w:t>N</w:t>
      </w:r>
      <w:r>
        <w:rPr>
          <w:lang w:eastAsia="en-US" w:bidi="ar-SA"/>
        </w:rPr>
        <w:fldChar w:fldCharType="end"/>
      </w:r>
      <w:r>
        <w:rPr>
          <w:lang w:eastAsia="en-US" w:bidi="ar-SA"/>
        </w:rPr>
        <w:t>). The former is generally frowned upon by traditional authorities on versification, while the latter is usually considered a grave error on the part of the poet.</w:t>
      </w:r>
    </w:p>
    <w:p w14:paraId="7B140017" w14:textId="77777777">
      <w:pPr>
        <w:pStyle w:val="Lista"/>
        <w:rPr>
          <w:lang w:eastAsia="en-US" w:bidi="ar-SA"/>
        </w:rPr>
      </w:pPr>
      <w:r>
        <w:rPr>
          <w:lang w:eastAsia="en-US" w:bidi="ar-SA"/>
        </w:rPr>
        <w:t>in all such cases, provided that the metre of the verse is correct</w:t>
      </w:r>
    </w:p>
    <w:p w14:paraId="49547E2C" w14:textId="77777777">
      <w:pPr>
        <w:pStyle w:val="Lista2"/>
        <w:rPr>
          <w:lang w:eastAsia="en-US" w:bidi="ar-SA"/>
        </w:rPr>
      </w:pPr>
      <w:r>
        <w:rPr>
          <w:lang w:eastAsia="en-US" w:bidi="ar-SA"/>
        </w:rPr>
        <w:t>encode the boundary at the point that makes sense to you</w:t>
      </w:r>
    </w:p>
    <w:p w14:paraId="497935BA" w14:textId="77777777">
      <w:pPr>
        <w:pStyle w:val="Lista3"/>
        <w:rPr>
          <w:lang w:eastAsia="en-US" w:bidi="ar-SA"/>
        </w:rPr>
      </w:pPr>
      <w:r>
        <w:rPr>
          <w:lang w:eastAsia="en-US" w:bidi="ar-SA"/>
        </w:rPr>
        <w:t>making sure that the lines on both sides of the boundary have the required number of syllables</w:t>
      </w:r>
    </w:p>
    <w:p w14:paraId="4A0EEEF2" w14:textId="77777777">
      <w:pPr>
        <w:pStyle w:val="Lista2"/>
        <w:rPr>
          <w:lang w:eastAsia="en-US" w:bidi="ar-SA"/>
        </w:rPr>
      </w:pPr>
      <w:r>
        <w:t>encode enjambement on the former line (§</w:t>
      </w:r>
      <w:r>
        <w:fldChar w:fldCharType="begin"/>
      </w:r>
      <w:r>
        <w:instrText xml:space="preserve"> REF _Ref224901083 \r \h </w:instrText>
      </w:r>
      <w:r>
        <w:fldChar w:fldCharType="separate"/>
      </w:r>
      <w:r>
        <w:t>3.2.4.1</w:t>
      </w:r>
      <w:r>
        <w:fldChar w:fldCharType="end"/>
      </w:r>
      <w:r>
        <w:t>)</w:t>
      </w:r>
    </w:p>
    <w:tbl>
      <w:tblPr>
        <w:tblStyle w:val="CodeSampleTable"/>
        <w:tblW w:w="5000" w:type="pct"/>
        <w:tblLook w:val="04A0" w:firstRow="1" w:lastRow="0" w:firstColumn="1" w:lastColumn="0" w:noHBand="0" w:noVBand="1"/>
      </w:tblPr>
      <w:tblGrid>
        <w:gridCol w:w="9628"/>
      </w:tblGrid>
      <w:tr w14:paraId="03B8650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9F1939B" w14:textId="77777777">
            <w:pPr>
              <w:pStyle w:val="Kpalrs"/>
            </w:pPr>
            <w:bookmarkStart w:id="122" w:name="_Ref181627544"/>
            <w:r>
              <w:t xml:space="preserve">Exhibit </w:t>
            </w:r>
            <w:fldSimple w:instr=" STYLEREF 2 \s ">
              <w:r>
                <w:rPr>
                  <w:noProof/>
                </w:rPr>
                <w:t>3.2</w:t>
              </w:r>
            </w:fldSimple>
            <w:r>
              <w:t>.</w:t>
            </w:r>
            <w:fldSimple w:instr=" SEQ Exhibit \* ALPHABETIC \s 2 ">
              <w:r>
                <w:rPr>
                  <w:noProof/>
                </w:rPr>
                <w:t>M</w:t>
              </w:r>
            </w:fldSimple>
            <w:bookmarkEnd w:id="122"/>
            <w:r>
              <w:t>: verse line ending inside a compound not segmented in the edition</w:t>
            </w:r>
          </w:p>
        </w:tc>
      </w:tr>
      <w:tr w14:paraId="5C738F92" w14:textId="77777777">
        <w:tc>
          <w:tcPr>
            <w:tcW w:w="5000" w:type="pct"/>
          </w:tcPr>
          <w:p w14:paraId="540938A0" w14:textId="77777777">
            <w:pPr>
              <w:pStyle w:val="CodeParagraph"/>
              <w:keepNext/>
              <w:rPr>
                <w:rStyle w:val="Code"/>
              </w:rPr>
            </w:pPr>
            <w:r>
              <w:rPr>
                <w:rStyle w:val="Code"/>
              </w:rPr>
              <w:t xml:space="preserve">&lt;lg </w:t>
            </w:r>
            <w:r>
              <w:rPr>
                <w:rStyle w:val="Codeattribute"/>
              </w:rPr>
              <w:t>n=</w:t>
            </w:r>
            <w:r>
              <w:rPr>
                <w:rStyle w:val="Codevalue"/>
              </w:rPr>
              <w:t>"11"</w:t>
            </w:r>
            <w:r>
              <w:rPr>
                <w:rStyle w:val="Code"/>
              </w:rPr>
              <w:t xml:space="preserve"> </w:t>
            </w:r>
            <w:r>
              <w:rPr>
                <w:rStyle w:val="Codeattribute"/>
              </w:rPr>
              <w:t>met=</w:t>
            </w:r>
            <w:r>
              <w:rPr>
                <w:rStyle w:val="Codevalue"/>
              </w:rPr>
              <w:t>"anuṣṭubh"</w:t>
            </w:r>
            <w:r>
              <w:rPr>
                <w:rStyle w:val="Code"/>
              </w:rPr>
              <w:t>&gt;</w:t>
            </w:r>
          </w:p>
          <w:p w14:paraId="00CE45F8"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enjamb=</w:t>
            </w:r>
            <w:r>
              <w:rPr>
                <w:rStyle w:val="Codevalue"/>
              </w:rPr>
              <w:t>"yes"</w:t>
            </w:r>
            <w:r>
              <w:rPr>
                <w:rStyle w:val="Code"/>
              </w:rPr>
              <w:t xml:space="preserve"> </w:t>
            </w:r>
            <w:r>
              <w:rPr>
                <w:rStyle w:val="Codeattribute"/>
              </w:rPr>
              <w:t>met=</w:t>
            </w:r>
            <w:r>
              <w:rPr>
                <w:rStyle w:val="Codevalue"/>
              </w:rPr>
              <w:t>"bha-vipulā"</w:t>
            </w:r>
            <w:r>
              <w:rPr>
                <w:rStyle w:val="Code"/>
              </w:rPr>
              <w:t xml:space="preserve"> </w:t>
            </w:r>
            <w:r>
              <w:rPr>
                <w:rStyle w:val="Codeattribute"/>
              </w:rPr>
              <w:t>real=</w:t>
            </w:r>
            <w:r>
              <w:rPr>
                <w:rStyle w:val="Codevalue"/>
              </w:rPr>
              <w:t>"++-++--+"</w:t>
            </w:r>
            <w:r>
              <w:rPr>
                <w:rStyle w:val="Code"/>
              </w:rPr>
              <w:t>&gt;</w:t>
            </w:r>
            <w:r>
              <w:rPr>
                <w:rStyle w:val="Codetext"/>
              </w:rPr>
              <w:t>sūnus tadīyo vijayā</w:t>
            </w:r>
            <w:r>
              <w:rPr>
                <w:rStyle w:val="Code"/>
              </w:rPr>
              <w:t>&lt;/l&gt;</w:t>
            </w:r>
          </w:p>
          <w:p w14:paraId="045EE788"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ditya-nāmā mahīpatiḥ</w:t>
            </w:r>
            <w:r>
              <w:rPr>
                <w:rStyle w:val="Code"/>
              </w:rPr>
              <w:t>&lt;/l&gt;</w:t>
            </w:r>
          </w:p>
          <w:p w14:paraId="47E4F4DE" w14:textId="77777777">
            <w:pPr>
              <w:pStyle w:val="CodeParagraph"/>
              <w:keepNext/>
              <w:rPr>
                <w:rStyle w:val="Code"/>
              </w:rPr>
            </w:pPr>
            <w:r>
              <w:rPr>
                <w:rStyle w:val="Code"/>
              </w:rPr>
              <w:t xml:space="preserve">  ...</w:t>
            </w:r>
          </w:p>
          <w:p w14:paraId="3592D148" w14:textId="77777777">
            <w:pPr>
              <w:pStyle w:val="CodeParagraph"/>
              <w:keepNext/>
            </w:pPr>
            <w:r>
              <w:rPr>
                <w:rStyle w:val="Code"/>
              </w:rPr>
              <w:t>&lt;/lg&gt;</w:t>
            </w:r>
          </w:p>
        </w:tc>
      </w:tr>
      <w:tr w14:paraId="3F8F7DDB" w14:textId="77777777">
        <w:tc>
          <w:tcPr>
            <w:tcW w:w="5000" w:type="pct"/>
          </w:tcPr>
          <w:p w14:paraId="5857BAC4" w14:textId="77777777">
            <w:pPr>
              <w:pStyle w:val="TableNote"/>
            </w:pPr>
            <w:r>
              <w:t xml:space="preserve">the name </w:t>
            </w:r>
            <w:r>
              <w:rPr>
                <w:rStyle w:val="Foreign"/>
              </w:rPr>
              <w:t>vijayāditya</w:t>
            </w:r>
            <w:r>
              <w:t xml:space="preserve"> is split across verse lines, so enjambement is present</w:t>
            </w:r>
          </w:p>
          <w:p w14:paraId="38A4CC2B" w14:textId="77777777">
            <w:pPr>
              <w:pStyle w:val="TableNote"/>
            </w:pPr>
            <w:r>
              <w:t>vowel fusion sandhi is present, so §</w:t>
            </w:r>
            <w:r>
              <w:fldChar w:fldCharType="begin"/>
            </w:r>
            <w:r>
              <w:instrText xml:space="preserve"> REF _Ref225324953 \r \h </w:instrText>
            </w:r>
            <w:r>
              <w:fldChar w:fldCharType="separate"/>
            </w:r>
            <w:r>
              <w:t>3.2.4.4</w:t>
            </w:r>
            <w:r>
              <w:fldChar w:fldCharType="end"/>
            </w:r>
            <w:r>
              <w:t xml:space="preserve"> also applies</w:t>
            </w:r>
          </w:p>
          <w:p w14:paraId="253954BB" w14:textId="77777777">
            <w:pPr>
              <w:pStyle w:val="TableNote"/>
            </w:pPr>
            <w:r>
              <w:t>but the compound would not be segmented anyway in DHARMA editorial practice</w:t>
            </w:r>
          </w:p>
          <w:p w14:paraId="23744BDF" w14:textId="77777777">
            <w:pPr>
              <w:pStyle w:val="TableNote"/>
            </w:pPr>
            <w:r>
              <w:t xml:space="preserve">the </w:t>
            </w:r>
            <w:r>
              <w:rPr>
                <w:rStyle w:val="Foreign"/>
              </w:rPr>
              <w:t>vipulā</w:t>
            </w:r>
            <w:r>
              <w:t xml:space="preserve"> metre, incidental to this illustration, is encoded as per §</w:t>
            </w:r>
            <w:r>
              <w:fldChar w:fldCharType="begin"/>
            </w:r>
            <w:r>
              <w:instrText xml:space="preserve"> REF _Ref224725166 \r \h </w:instrText>
            </w:r>
            <w:r>
              <w:fldChar w:fldCharType="separate"/>
            </w:r>
            <w:r>
              <w:t>3.3.4.1</w:t>
            </w:r>
            <w:r>
              <w:fldChar w:fldCharType="end"/>
            </w:r>
          </w:p>
        </w:tc>
      </w:tr>
    </w:tbl>
    <w:p w14:paraId="7EDC1E36" w14:textId="77777777">
      <w:pPr>
        <w:rPr>
          <w:lang w:eastAsia="en-US" w:bidi="ar-SA"/>
        </w:rPr>
      </w:pPr>
    </w:p>
    <w:tbl>
      <w:tblPr>
        <w:tblStyle w:val="CodeSampleTable"/>
        <w:tblW w:w="5000" w:type="pct"/>
        <w:tblLook w:val="04A0" w:firstRow="1" w:lastRow="0" w:firstColumn="1" w:lastColumn="0" w:noHBand="0" w:noVBand="1"/>
      </w:tblPr>
      <w:tblGrid>
        <w:gridCol w:w="9628"/>
      </w:tblGrid>
      <w:tr w14:paraId="0FD20EB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D7FEDC9" w14:textId="77777777">
            <w:pPr>
              <w:pStyle w:val="Kpalrs"/>
            </w:pPr>
            <w:bookmarkStart w:id="123" w:name="_Ref224920202"/>
            <w:r>
              <w:t xml:space="preserve">Exhibit </w:t>
            </w:r>
            <w:fldSimple w:instr=" STYLEREF 2 \s ">
              <w:r>
                <w:rPr>
                  <w:noProof/>
                </w:rPr>
                <w:t>3.2</w:t>
              </w:r>
            </w:fldSimple>
            <w:r>
              <w:t>.</w:t>
            </w:r>
            <w:fldSimple w:instr=" SEQ Exhibit \* ALPHABETIC \s 2 ">
              <w:r>
                <w:rPr>
                  <w:noProof/>
                </w:rPr>
                <w:t>N</w:t>
              </w:r>
            </w:fldSimple>
            <w:bookmarkEnd w:id="123"/>
            <w:r>
              <w:t>: verse line ending within atomic morpheme</w:t>
            </w:r>
          </w:p>
        </w:tc>
      </w:tr>
      <w:tr w14:paraId="4BBE003E" w14:textId="77777777">
        <w:tc>
          <w:tcPr>
            <w:tcW w:w="5000" w:type="pct"/>
          </w:tcPr>
          <w:p w14:paraId="088B3C07" w14:textId="77777777">
            <w:pPr>
              <w:pStyle w:val="CodeParagraph"/>
              <w:keepNext/>
              <w:rPr>
                <w:rStyle w:val="Code"/>
              </w:rPr>
            </w:pPr>
            <w:r>
              <w:rPr>
                <w:rStyle w:val="Code"/>
              </w:rPr>
              <w:t xml:space="preserve">&lt;lg </w:t>
            </w:r>
            <w:r>
              <w:rPr>
                <w:rStyle w:val="Codeattribute"/>
              </w:rPr>
              <w:t>n=</w:t>
            </w:r>
            <w:r>
              <w:rPr>
                <w:rStyle w:val="Codevalue"/>
              </w:rPr>
              <w:t>"2"</w:t>
            </w:r>
            <w:r>
              <w:rPr>
                <w:rStyle w:val="Code"/>
              </w:rPr>
              <w:t xml:space="preserve"> </w:t>
            </w:r>
            <w:r>
              <w:rPr>
                <w:rStyle w:val="Codeattribute"/>
              </w:rPr>
              <w:t>met=</w:t>
            </w:r>
            <w:r>
              <w:rPr>
                <w:rStyle w:val="Codevalue"/>
              </w:rPr>
              <w:t>"śikhariṇī"</w:t>
            </w:r>
            <w:r>
              <w:rPr>
                <w:rStyle w:val="Code"/>
              </w:rPr>
              <w:t>&gt;</w:t>
            </w:r>
          </w:p>
          <w:p w14:paraId="608A9F33"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enjamb=</w:t>
            </w:r>
            <w:r>
              <w:rPr>
                <w:rStyle w:val="Codevalue"/>
              </w:rPr>
              <w:t>"yes"</w:t>
            </w:r>
            <w:r>
              <w:rPr>
                <w:rStyle w:val="Code"/>
              </w:rPr>
              <w:t>&gt;</w:t>
            </w:r>
            <w:r>
              <w:rPr>
                <w:rStyle w:val="Codetext"/>
              </w:rPr>
              <w:t>sutas tasya jyeṣṭho guṇaga-vijayāditya-patir aṁ</w:t>
            </w:r>
            <w:r>
              <w:rPr>
                <w:rStyle w:val="Code"/>
              </w:rPr>
              <w:t>&lt;/l&gt;</w:t>
            </w:r>
          </w:p>
          <w:p w14:paraId="410A4C62"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kakāras sākṣād vallabha-nr̥pa-samabhyarccita-bhujaḥ</w:t>
            </w:r>
            <w:r>
              <w:rPr>
                <w:rStyle w:val="Code"/>
              </w:rPr>
              <w:t>&lt;/l&gt;</w:t>
            </w:r>
          </w:p>
          <w:p w14:paraId="432111CF" w14:textId="77777777">
            <w:pPr>
              <w:pStyle w:val="CodeParagraph"/>
              <w:keepNext/>
              <w:rPr>
                <w:rStyle w:val="Code"/>
              </w:rPr>
            </w:pPr>
            <w:r>
              <w:rPr>
                <w:rStyle w:val="Code"/>
              </w:rPr>
              <w:t xml:space="preserve">  ...</w:t>
            </w:r>
          </w:p>
          <w:p w14:paraId="66B5139B" w14:textId="77777777">
            <w:pPr>
              <w:pStyle w:val="CodeParagraph"/>
              <w:keepNext/>
            </w:pPr>
            <w:r>
              <w:rPr>
                <w:rStyle w:val="Code"/>
              </w:rPr>
              <w:t>&lt;/lg&gt;</w:t>
            </w:r>
          </w:p>
        </w:tc>
      </w:tr>
      <w:tr w14:paraId="65B02121" w14:textId="77777777">
        <w:tc>
          <w:tcPr>
            <w:tcW w:w="5000" w:type="pct"/>
          </w:tcPr>
          <w:p w14:paraId="531C29AE" w14:textId="77777777">
            <w:pPr>
              <w:pStyle w:val="TableNote"/>
            </w:pPr>
            <w:r>
              <w:t xml:space="preserve">the monomorphemic word </w:t>
            </w:r>
            <w:r>
              <w:rPr>
                <w:rStyle w:val="Foreign"/>
              </w:rPr>
              <w:t>aṁka</w:t>
            </w:r>
            <w:r>
              <w:t xml:space="preserve"> is split across verse lines, so enjambement is present</w:t>
            </w:r>
          </w:p>
          <w:p w14:paraId="7A77EC46" w14:textId="77777777">
            <w:pPr>
              <w:pStyle w:val="TableNote"/>
            </w:pPr>
            <w:r>
              <w:t>the boundary is encoded at a convenient spot that leaves the metre intact</w:t>
            </w:r>
          </w:p>
        </w:tc>
      </w:tr>
    </w:tbl>
    <w:p w14:paraId="30F3D7D0" w14:textId="77777777">
      <w:pPr>
        <w:pStyle w:val="Cmsor3"/>
      </w:pPr>
      <w:bookmarkStart w:id="124" w:name="_Toc243900253"/>
      <w:r>
        <w:t>Good encoding practice for block-level elements</w:t>
      </w:r>
      <w:bookmarkEnd w:id="124"/>
    </w:p>
    <w:p w14:paraId="15AB24D3" w14:textId="77777777">
      <w:r>
        <w:t>The basic block-level containers are the direct children of a division (the edition division or, if applicable, of a textpart division) and must contain not only all the text in an edition, but also all the markup applied to the edition. The empty elements representing extrinsic structure (§</w:t>
      </w:r>
      <w:r>
        <w:fldChar w:fldCharType="begin"/>
      </w:r>
      <w:r>
        <w:instrText xml:space="preserve"> REF _Ref225327729 \r \h </w:instrText>
      </w:r>
      <w:r>
        <w:fldChar w:fldCharType="separate"/>
      </w:r>
      <w:r>
        <w:t>4.3</w:t>
      </w:r>
      <w:r>
        <w:fldChar w:fldCharType="end"/>
      </w:r>
      <w:r>
        <w:t>) must thus also be placed within the block-level text containers (§</w:t>
      </w:r>
      <w:r>
        <w:fldChar w:fldCharType="begin"/>
      </w:r>
      <w:r>
        <w:instrText xml:space="preserve"> REF _Ref225502994 \r \h </w:instrText>
      </w:r>
      <w:r>
        <w:fldChar w:fldCharType="separate"/>
      </w:r>
      <w:r>
        <w:t>4.3.3.1</w:t>
      </w:r>
      <w:r>
        <w:fldChar w:fldCharType="end"/>
      </w:r>
      <w:r>
        <w:t>). Since XML cannot represent overlapping hierarchies (§</w:t>
      </w:r>
      <w:r>
        <w:fldChar w:fldCharType="begin"/>
      </w:r>
      <w:r>
        <w:instrText xml:space="preserve"> REF _Ref224893456 \r \h </w:instrText>
      </w:r>
      <w:r>
        <w:fldChar w:fldCharType="separate"/>
      </w:r>
      <w:r>
        <w:t>2.2.4</w:t>
      </w:r>
      <w:r>
        <w:fldChar w:fldCharType="end"/>
      </w:r>
      <w:r>
        <w:t>), all phrase-level elements (§</w:t>
      </w:r>
      <w:r>
        <w:fldChar w:fldCharType="begin"/>
      </w:r>
      <w:r>
        <w:instrText xml:space="preserve"> REF _Ref224893557 \r \h </w:instrText>
      </w:r>
      <w:r>
        <w:fldChar w:fldCharType="separate"/>
      </w:r>
      <w:r>
        <w:t>2.2.2</w:t>
      </w:r>
      <w:r>
        <w:fldChar w:fldCharType="end"/>
      </w:r>
      <w:r>
        <w:t>) representing features extending across a block-level boundary must be split up, with one phrase-level element at the end of the former block-level element, and another phrase-level element of the same kind at the beginning of the latter block-level element. Further guidelines for the hierarchy of encoding, including exceptional cases where empty elements may appear in an edition outside one of these structural containers, are given in §</w:t>
      </w:r>
      <w:r>
        <w:fldChar w:fldCharType="begin"/>
      </w:r>
      <w:r>
        <w:instrText xml:space="preserve"> REF _Ref43978660 \r \h </w:instrText>
      </w:r>
      <w:r>
        <w:fldChar w:fldCharType="separate"/>
      </w:r>
      <w:r>
        <w:t>16.2</w:t>
      </w:r>
      <w:r>
        <w:fldChar w:fldCharType="end"/>
      </w:r>
      <w:r>
        <w:t>.</w:t>
      </w:r>
    </w:p>
    <w:p w14:paraId="61B07975" w14:textId="77777777">
      <w:pPr>
        <w:pStyle w:val="Cmsor2"/>
      </w:pPr>
      <w:bookmarkStart w:id="125" w:name="_Toc243900254"/>
      <w:r>
        <w:lastRenderedPageBreak/>
        <w:t>Encoding metre in verse</w:t>
      </w:r>
      <w:bookmarkEnd w:id="125"/>
    </w:p>
    <w:p w14:paraId="4A30704B" w14:textId="77777777">
      <w:pPr>
        <w:pStyle w:val="Cmsor3"/>
      </w:pPr>
      <w:bookmarkStart w:id="126" w:name="_Ref225323861"/>
      <w:bookmarkStart w:id="127" w:name="_Ref225323884"/>
      <w:bookmarkStart w:id="128" w:name="_Toc243900255"/>
      <w:r>
        <w:t xml:space="preserve">Encoding an abstract prosodic template with </w:t>
      </w:r>
      <w:r>
        <w:rPr>
          <w:rStyle w:val="Codeattribute"/>
        </w:rPr>
        <w:t>@met</w:t>
      </w:r>
      <w:bookmarkEnd w:id="86"/>
      <w:bookmarkEnd w:id="96"/>
      <w:bookmarkEnd w:id="126"/>
      <w:bookmarkEnd w:id="127"/>
      <w:bookmarkEnd w:id="128"/>
    </w:p>
    <w:p w14:paraId="3F50D193" w14:textId="600544CC">
      <w:r>
        <w:t xml:space="preserve">Most of the verse in our texts conforms to conventional metrical templates associated with emic names recognised by authorities on poetics </w:t>
      </w:r>
      <w:r>
        <w:rPr>
          <w:noProof/>
        </w:rPr>
        <w:t>(</w:t>
      </w:r>
      <w:r>
        <w:t xml:space="preserve">e.g. </w:t>
      </w:r>
      <w:r>
        <w:rPr>
          <w:rStyle w:val="Foreign"/>
        </w:rPr>
        <w:t>upajāti</w:t>
      </w:r>
      <w:r>
        <w:t xml:space="preserve">, </w:t>
      </w:r>
      <w:r>
        <w:rPr>
          <w:rStyle w:val="Foreign"/>
        </w:rPr>
        <w:t>śārdūlavikrīḍita</w:t>
      </w:r>
      <w:r>
        <w:t>, etc.). We have catalogued these in the authority file “Prosodic Patterns.”</w:t>
      </w:r>
      <w:r>
        <w:rPr>
          <w:rStyle w:val="Lbjegyzet-hivatkozs"/>
        </w:rPr>
        <w:footnoteReference w:id="10"/>
      </w:r>
      <w:r>
        <w:t xml:space="preserve"> In addition to serving as canonical reference, this file can also help you with the identification of metres, for which the VG contains additional guidance.</w:t>
      </w:r>
    </w:p>
    <w:p w14:paraId="1A84D690" w14:textId="77777777">
      <w:pPr>
        <w:pStyle w:val="Lista"/>
      </w:pPr>
      <w:r>
        <w:t>when establishing the metre of a verse segment, you must disregard</w:t>
      </w:r>
    </w:p>
    <w:p w14:paraId="752803D6" w14:textId="77777777">
      <w:pPr>
        <w:pStyle w:val="Lista2"/>
      </w:pPr>
      <w:r>
        <w:t xml:space="preserve">presumable scribal error </w:t>
      </w:r>
      <w:r>
        <w:rPr>
          <w:noProof/>
        </w:rPr>
        <w:t>(</w:t>
      </w:r>
      <w:r>
        <w:t xml:space="preserve">e.g. omission, dittography) or non-standard usage which you as editor have corrected </w:t>
      </w:r>
      <w:r>
        <w:rPr>
          <w:noProof/>
        </w:rPr>
        <w:t>(</w:t>
      </w:r>
      <w:r>
        <w:t>§</w:t>
      </w:r>
      <w:r>
        <w:fldChar w:fldCharType="begin"/>
      </w:r>
      <w:r>
        <w:instrText xml:space="preserve"> REF _Ref232089210 \r \h </w:instrText>
      </w:r>
      <w:r>
        <w:fldChar w:fldCharType="separate"/>
      </w:r>
      <w:r>
        <w:t>7.7.4</w:t>
      </w:r>
      <w:r>
        <w:fldChar w:fldCharType="end"/>
      </w:r>
      <w:r>
        <w:t>), thereby restoring the expected metre</w:t>
      </w:r>
    </w:p>
    <w:p w14:paraId="1B282B6B" w14:textId="77777777">
      <w:pPr>
        <w:pStyle w:val="Lista2"/>
      </w:pPr>
      <w:r>
        <w:t xml:space="preserve">the scribal quirk where the end of a verse is joined in sandhi to a closing </w:t>
      </w:r>
      <w:r>
        <w:rPr>
          <w:rStyle w:val="Foreign"/>
        </w:rPr>
        <w:t>iti</w:t>
      </w:r>
      <w:r>
        <w:t xml:space="preserve"> (for which see §</w:t>
      </w:r>
      <w:r>
        <w:fldChar w:fldCharType="begin"/>
      </w:r>
      <w:r>
        <w:instrText xml:space="preserve"> REF _Ref225324953 \r \h </w:instrText>
      </w:r>
      <w:r>
        <w:fldChar w:fldCharType="separate"/>
      </w:r>
      <w:r>
        <w:t>3.2.4.4</w:t>
      </w:r>
      <w:r>
        <w:fldChar w:fldCharType="end"/>
      </w:r>
      <w:r>
        <w:t>)</w:t>
      </w:r>
    </w:p>
    <w:p w14:paraId="6F167951" w14:textId="77777777">
      <w:pPr>
        <w:pStyle w:val="Lista"/>
      </w:pPr>
      <w:r>
        <w:t xml:space="preserve">the theoretical metre to which a verse segment conforms can be encoded in the attribute </w:t>
      </w:r>
      <w:r>
        <w:rPr>
          <w:rStyle w:val="Codeattribute"/>
        </w:rPr>
        <w:t>@met</w:t>
      </w:r>
    </w:p>
    <w:p w14:paraId="4C390346" w14:textId="77777777">
      <w:pPr>
        <w:pStyle w:val="Lista"/>
      </w:pPr>
      <w:r>
        <w:t xml:space="preserve">in DHARMA practice, </w:t>
      </w:r>
      <w:r>
        <w:rPr>
          <w:rStyle w:val="Codeattribute"/>
        </w:rPr>
        <w:t>@met</w:t>
      </w:r>
      <w:r>
        <w:t xml:space="preserve"> </w:t>
      </w:r>
    </w:p>
    <w:p w14:paraId="423F6F2B" w14:textId="77777777">
      <w:pPr>
        <w:pStyle w:val="Lista2"/>
      </w:pPr>
      <w:r>
        <w:t xml:space="preserve">must be mandatorily present on every </w:t>
      </w:r>
      <w:r>
        <w:rPr>
          <w:rStyle w:val="Code"/>
        </w:rPr>
        <w:t>&lt;lg&gt;</w:t>
      </w:r>
      <w:r>
        <w:t xml:space="preserve"> element</w:t>
      </w:r>
    </w:p>
    <w:p w14:paraId="16989D30" w14:textId="77777777">
      <w:pPr>
        <w:pStyle w:val="Lista2"/>
      </w:pPr>
      <w:r>
        <w:t xml:space="preserve">is normally not used on </w:t>
      </w:r>
      <w:r>
        <w:rPr>
          <w:rStyle w:val="Code"/>
        </w:rPr>
        <w:t>&lt;l&gt;</w:t>
      </w:r>
      <w:r>
        <w:t xml:space="preserve"> elements</w:t>
      </w:r>
    </w:p>
    <w:p w14:paraId="77D308BC" w14:textId="77777777">
      <w:pPr>
        <w:pStyle w:val="Lista3"/>
      </w:pPr>
      <w:r>
        <w:t>but is added to lines that deviate from the overall template of a stanza, as called for in some subsections of §</w:t>
      </w:r>
      <w:r>
        <w:fldChar w:fldCharType="begin"/>
      </w:r>
      <w:r>
        <w:instrText xml:space="preserve"> REF _Ref225325000 \r \h </w:instrText>
      </w:r>
      <w:r>
        <w:fldChar w:fldCharType="separate"/>
      </w:r>
      <w:r>
        <w:t>3.3.3.1</w:t>
      </w:r>
      <w:r>
        <w:fldChar w:fldCharType="end"/>
      </w:r>
      <w:r>
        <w:t xml:space="preserve"> </w:t>
      </w:r>
    </w:p>
    <w:p w14:paraId="76030D61" w14:textId="77777777">
      <w:pPr>
        <w:pStyle w:val="Lista"/>
      </w:pPr>
      <w:r>
        <w:t xml:space="preserve">typically, the value of </w:t>
      </w:r>
      <w:r>
        <w:rPr>
          <w:rStyle w:val="Codeattribute"/>
        </w:rPr>
        <w:t>@met</w:t>
      </w:r>
      <w:r>
        <w:t xml:space="preserve"> shall be one of the metre names listed in our authority file</w:t>
      </w:r>
    </w:p>
    <w:p w14:paraId="6E253075" w14:textId="77777777">
      <w:pPr>
        <w:pStyle w:val="Lista2"/>
      </w:pPr>
      <w:r>
        <w:t>if you come across a metre to which you can put a name, but that name is not in the authority file,</w:t>
      </w:r>
    </w:p>
    <w:p w14:paraId="23C0D9D6" w14:textId="77777777">
      <w:pPr>
        <w:pStyle w:val="Lista3"/>
      </w:pPr>
      <w:r>
        <w:t>use the name as a value</w:t>
      </w:r>
    </w:p>
    <w:p w14:paraId="3871BEC9" w14:textId="77777777">
      <w:pPr>
        <w:pStyle w:val="Lista3"/>
      </w:pPr>
      <w:r>
        <w:t>add the name to the authority file, following the instructions in the file itself</w:t>
      </w:r>
    </w:p>
    <w:p w14:paraId="7EB0E8E7" w14:textId="77777777">
      <w:pPr>
        <w:pStyle w:val="Lista2"/>
      </w:pPr>
      <w:r>
        <w:t>if the authority file lists more than one name for a template, choose the name most appropriate to the language and/or region of your inscription</w:t>
      </w:r>
    </w:p>
    <w:p w14:paraId="63E3D57C" w14:textId="77777777">
      <w:pPr>
        <w:pStyle w:val="Lista2"/>
      </w:pPr>
      <w:r>
        <w:t>special values, some of them applicable only to stanzas and some only to lines, are noted in the following subsections</w:t>
      </w:r>
    </w:p>
    <w:p w14:paraId="3681E1B8" w14:textId="77777777">
      <w:pPr>
        <w:pStyle w:val="Cmsor3"/>
      </w:pPr>
      <w:bookmarkStart w:id="129" w:name="_Ref181701741"/>
      <w:bookmarkStart w:id="130" w:name="_Toc243900256"/>
      <w:bookmarkStart w:id="131" w:name="_Ref181630354"/>
      <w:r>
        <w:t xml:space="preserve">Encoding an actual prosodic realisation with </w:t>
      </w:r>
      <w:r>
        <w:rPr>
          <w:rStyle w:val="Codeattribute"/>
        </w:rPr>
        <w:t>@real</w:t>
      </w:r>
      <w:bookmarkEnd w:id="129"/>
      <w:bookmarkEnd w:id="130"/>
    </w:p>
    <w:p w14:paraId="2FBD2A5C" w14:textId="77777777">
      <w:pPr>
        <w:pStyle w:val="Lista"/>
        <w:rPr>
          <w:rStyle w:val="Codeattribute"/>
          <w:rFonts w:ascii="Gentium Plus" w:hAnsi="Gentium Plus" w:cs="Arial Unicode MS"/>
          <w:noProof w:val="0"/>
          <w:color w:val="auto"/>
          <w:shd w:val="clear" w:color="auto" w:fill="auto"/>
        </w:rPr>
      </w:pPr>
      <w:r>
        <w:t xml:space="preserve">when the prosodic realisation of a segment deviates from what is expected on the basis of a metrical template encoded with </w:t>
      </w:r>
      <w:r>
        <w:rPr>
          <w:rStyle w:val="Codeattribute"/>
        </w:rPr>
        <w:t>@met</w:t>
      </w:r>
      <w:r>
        <w:t xml:space="preserve">, the actual prosody of the text can be encoded in the attribute </w:t>
      </w:r>
      <w:r>
        <w:rPr>
          <w:rStyle w:val="Codeattribute"/>
        </w:rPr>
        <w:t>@real</w:t>
      </w:r>
    </w:p>
    <w:p w14:paraId="070ECF16" w14:textId="77777777">
      <w:pPr>
        <w:pStyle w:val="Lista"/>
      </w:pPr>
      <w:r>
        <w:t xml:space="preserve">in DHARMA practice, </w:t>
      </w:r>
      <w:r>
        <w:rPr>
          <w:rStyle w:val="Codeattribute"/>
        </w:rPr>
        <w:t>@real</w:t>
      </w:r>
      <w:r>
        <w:t xml:space="preserve"> is only used on </w:t>
      </w:r>
      <w:r>
        <w:rPr>
          <w:rStyle w:val="Code"/>
        </w:rPr>
        <w:t>&lt;l&gt;</w:t>
      </w:r>
      <w:r>
        <w:t xml:space="preserve"> elements, and there only in the specific cases under §</w:t>
      </w:r>
      <w:r>
        <w:fldChar w:fldCharType="begin"/>
      </w:r>
      <w:r>
        <w:instrText xml:space="preserve"> REF _Ref225325358 \r \h </w:instrText>
      </w:r>
      <w:r>
        <w:fldChar w:fldCharType="separate"/>
      </w:r>
      <w:r>
        <w:t>3.3.4</w:t>
      </w:r>
      <w:r>
        <w:fldChar w:fldCharType="end"/>
      </w:r>
      <w:r>
        <w:t xml:space="preserve"> that call for this attribute</w:t>
      </w:r>
    </w:p>
    <w:p w14:paraId="5E2B334A" w14:textId="77777777">
      <w:pPr>
        <w:pStyle w:val="Lista"/>
      </w:pPr>
      <w:r>
        <w:t>the value of this attribute must be the formula for the specific prosody of the text</w:t>
      </w:r>
    </w:p>
    <w:p w14:paraId="3A5B95D8" w14:textId="1763808D">
      <w:pPr>
        <w:pStyle w:val="Lista2"/>
      </w:pPr>
      <w:r>
        <w:t>the formula must be recorded in ASCII notation</w:t>
      </w:r>
    </w:p>
    <w:p w14:paraId="669051E3" w14:textId="7540CBA5">
      <w:pPr>
        <w:pStyle w:val="Lista3"/>
      </w:pPr>
      <w:r>
        <w:t>using + for long syllables and - for short syllables (for further details, see VG §1.4)</w:t>
      </w:r>
    </w:p>
    <w:p w14:paraId="49A26A2D" w14:textId="77777777">
      <w:pPr>
        <w:pStyle w:val="Lista4"/>
      </w:pPr>
      <w:r>
        <w:t>since we are concerned with actual realisation here, the = sign for “syllable of indeterminate length” may only be used when the length of a syllable cannot be determined due to legibility issues, but shall not be used for line-final syllables, which are usually understood to be long in prosodic templates, but whose actual length must in this case be recorded</w:t>
      </w:r>
    </w:p>
    <w:p w14:paraId="76D00BB9" w14:textId="77777777">
      <w:pPr>
        <w:pStyle w:val="Lista2"/>
      </w:pPr>
      <w:r>
        <w:t>if the text contains editorial correction (§</w:t>
      </w:r>
      <w:r>
        <w:fldChar w:fldCharType="begin"/>
      </w:r>
      <w:r>
        <w:instrText xml:space="preserve"> REF _Ref232089210 \r \h </w:instrText>
      </w:r>
      <w:r>
        <w:fldChar w:fldCharType="separate"/>
      </w:r>
      <w:r>
        <w:t>7.7.4</w:t>
      </w:r>
      <w:r>
        <w:fldChar w:fldCharType="end"/>
      </w:r>
      <w:r>
        <w:t xml:space="preserve">), then </w:t>
      </w:r>
      <w:r>
        <w:rPr>
          <w:rStyle w:val="Codeattribute"/>
        </w:rPr>
        <w:t>@real</w:t>
      </w:r>
      <w:r>
        <w:t xml:space="preserve"> must represent the prosody of the corrected text (assumed to be the intent of the verse’s composer) and not the pre-correction text (assumed to result from scribal error)</w:t>
      </w:r>
    </w:p>
    <w:p w14:paraId="265EAE12" w14:textId="77777777">
      <w:pPr>
        <w:pStyle w:val="Cmsor3"/>
      </w:pPr>
      <w:bookmarkStart w:id="132" w:name="_Toc243900257"/>
      <w:r>
        <w:t>Metres not associated with a clear name</w:t>
      </w:r>
      <w:bookmarkEnd w:id="132"/>
    </w:p>
    <w:p w14:paraId="1948B7BE" w14:textId="77777777">
      <w:pPr>
        <w:pStyle w:val="Cmsor4"/>
      </w:pPr>
      <w:bookmarkStart w:id="133" w:name="_Ref224726921"/>
      <w:bookmarkStart w:id="134" w:name="_Ref225324441"/>
      <w:bookmarkStart w:id="135" w:name="_Ref225325000"/>
      <w:r>
        <w:t>Nameless metres</w:t>
      </w:r>
      <w:bookmarkEnd w:id="133"/>
    </w:p>
    <w:p w14:paraId="15BDA747" w14:textId="77777777">
      <w:pPr>
        <w:pStyle w:val="Lista"/>
      </w:pPr>
      <w:r>
        <w:t>if a stanza follows a set metrical template, but you cannot put a name to the metre, then</w:t>
      </w:r>
    </w:p>
    <w:p w14:paraId="27C70B90" w14:textId="5E33AF0C">
      <w:pPr>
        <w:pStyle w:val="Lista2"/>
      </w:pPr>
      <w:r>
        <w:lastRenderedPageBreak/>
        <w:t xml:space="preserve">establish the prosodic template and record it in ASCII notation </w:t>
      </w:r>
      <w:r>
        <w:rPr>
          <w:noProof/>
        </w:rPr>
        <w:t>(</w:t>
      </w:r>
      <w:r>
        <w:t xml:space="preserve">q.v. VG §1.4) as the value of </w:t>
      </w:r>
      <w:r>
        <w:rPr>
          <w:rStyle w:val="Codeattribute"/>
        </w:rPr>
        <w:t>@met</w:t>
      </w:r>
      <w:r>
        <w:t xml:space="preserve">, as in </w:t>
      </w:r>
      <w:r>
        <w:fldChar w:fldCharType="begin"/>
      </w:r>
      <w:r>
        <w:instrText xml:space="preserve"> REF _Ref181699675 \h </w:instrText>
      </w:r>
      <w:r>
        <w:fldChar w:fldCharType="separate"/>
      </w:r>
      <w:r>
        <w:t xml:space="preserve">Exhibit </w:t>
      </w:r>
      <w:r>
        <w:rPr>
          <w:noProof/>
        </w:rPr>
        <w:t>3.3</w:t>
      </w:r>
      <w:r>
        <w:t>.</w:t>
      </w:r>
      <w:r>
        <w:rPr>
          <w:noProof/>
        </w:rPr>
        <w:t>A</w:t>
      </w:r>
      <w:r>
        <w:fldChar w:fldCharType="end"/>
      </w:r>
    </w:p>
    <w:p w14:paraId="1A1352B4" w14:textId="77777777">
      <w:pPr>
        <w:pStyle w:val="Lista"/>
      </w:pPr>
      <w:r>
        <w:t>if conformance to a syllabic template is not absolute, at your discretion</w:t>
      </w:r>
    </w:p>
    <w:p w14:paraId="7258907D" w14:textId="77777777">
      <w:pPr>
        <w:pStyle w:val="Lista2"/>
      </w:pPr>
      <w:r>
        <w:t>establish the template so that it accounts for all of the observed variation (with = for indeterminate syllables and numbers for moraic feet)</w:t>
      </w:r>
    </w:p>
    <w:p w14:paraId="4AAC0817" w14:textId="77777777">
      <w:pPr>
        <w:pStyle w:val="Lista2"/>
      </w:pPr>
      <w:r>
        <w:t>establish the template (with or without indeterminate syllables and moraic feet) so that it accounts for what you deem to be the standard form of this metre, and encode the metre of deviant lines as per §</w:t>
      </w:r>
      <w:r>
        <w:fldChar w:fldCharType="begin"/>
      </w:r>
      <w:r>
        <w:instrText xml:space="preserve"> REF _Ref224726481 \r \h </w:instrText>
      </w:r>
      <w:r>
        <w:fldChar w:fldCharType="separate"/>
      </w:r>
      <w:r>
        <w:t>3.3.4.2</w:t>
      </w:r>
      <w:r>
        <w:fldChar w:fldCharType="end"/>
      </w:r>
      <w:r>
        <w:t xml:space="preserve"> </w:t>
      </w:r>
    </w:p>
    <w:p w14:paraId="44BF3DC9" w14:textId="77777777">
      <w:pPr>
        <w:pStyle w:val="Lista"/>
      </w:pPr>
      <w:r>
        <w:t>in the unlikely situation where the metre of a stanza is mixed (§</w:t>
      </w:r>
      <w:r>
        <w:fldChar w:fldCharType="begin"/>
      </w:r>
      <w:r>
        <w:instrText xml:space="preserve"> REF _Ref224912448 \r \h </w:instrText>
      </w:r>
      <w:r>
        <w:fldChar w:fldCharType="separate"/>
      </w:r>
      <w:r>
        <w:t>3.3.3.5</w:t>
      </w:r>
      <w:r>
        <w:fldChar w:fldCharType="end"/>
      </w:r>
      <w:r>
        <w:t xml:space="preserve">) and one or more of its lines are in a metre without a known name, this encoding may also be used in </w:t>
      </w:r>
      <w:r>
        <w:rPr>
          <w:rStyle w:val="Codeattribute"/>
        </w:rPr>
        <w:t>@met</w:t>
      </w:r>
      <w:r>
        <w:t xml:space="preserve"> on individual lines</w:t>
      </w:r>
    </w:p>
    <w:tbl>
      <w:tblPr>
        <w:tblStyle w:val="CodeSampleTable"/>
        <w:tblW w:w="5000" w:type="pct"/>
        <w:tblLook w:val="04A0" w:firstRow="1" w:lastRow="0" w:firstColumn="1" w:lastColumn="0" w:noHBand="0" w:noVBand="1"/>
      </w:tblPr>
      <w:tblGrid>
        <w:gridCol w:w="9628"/>
      </w:tblGrid>
      <w:tr w14:paraId="0800642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7B22347" w14:textId="70C940B6">
            <w:pPr>
              <w:pStyle w:val="Kpalrs"/>
            </w:pPr>
            <w:bookmarkStart w:id="136" w:name="_Ref181699675"/>
            <w:bookmarkStart w:id="137" w:name="_Ref181699674"/>
            <w:r>
              <w:t xml:space="preserve">Exhibit </w:t>
            </w:r>
            <w:fldSimple w:instr=" STYLEREF 2 \s ">
              <w:r>
                <w:rPr>
                  <w:noProof/>
                </w:rPr>
                <w:t>3.3</w:t>
              </w:r>
            </w:fldSimple>
            <w:r>
              <w:t>.</w:t>
            </w:r>
            <w:fldSimple w:instr=" SEQ Exhibit \* ALPHABETIC \s 2 ">
              <w:r>
                <w:rPr>
                  <w:noProof/>
                </w:rPr>
                <w:t>A</w:t>
              </w:r>
            </w:fldSimple>
            <w:bookmarkEnd w:id="136"/>
            <w:r>
              <w:t>: prosodic template encoded with ASCII notation</w:t>
            </w:r>
            <w:bookmarkEnd w:id="137"/>
          </w:p>
        </w:tc>
      </w:tr>
      <w:tr w14:paraId="35197E19" w14:textId="77777777">
        <w:tc>
          <w:tcPr>
            <w:tcW w:w="5000" w:type="pct"/>
          </w:tcPr>
          <w:p w14:paraId="120E6A9C" w14:textId="77777777">
            <w:pPr>
              <w:pStyle w:val="CodeParagraph"/>
              <w:keepNext/>
              <w:rPr>
                <w:rStyle w:val="Code"/>
              </w:rPr>
            </w:pPr>
            <w:r>
              <w:rPr>
                <w:rStyle w:val="Code"/>
              </w:rPr>
              <w:t xml:space="preserve">&lt;lg </w:t>
            </w:r>
            <w:r>
              <w:rPr>
                <w:rStyle w:val="Codeattribute"/>
              </w:rPr>
              <w:t>n=</w:t>
            </w:r>
            <w:r>
              <w:rPr>
                <w:rStyle w:val="Codevalue"/>
              </w:rPr>
              <w:t>"6"</w:t>
            </w:r>
            <w:r>
              <w:rPr>
                <w:rStyle w:val="Code"/>
              </w:rPr>
              <w:t xml:space="preserve"> </w:t>
            </w:r>
            <w:r>
              <w:rPr>
                <w:rStyle w:val="Codeattribute"/>
              </w:rPr>
              <w:t>met=</w:t>
            </w:r>
            <w:r>
              <w:rPr>
                <w:rStyle w:val="Codevalue"/>
              </w:rPr>
              <w:t>"+---+---+---+---+---+---+"</w:t>
            </w:r>
            <w:r>
              <w:rPr>
                <w:rStyle w:val="Code"/>
              </w:rPr>
              <w:t>&gt;</w:t>
            </w:r>
          </w:p>
          <w:p w14:paraId="4E1C989F" w14:textId="77777777">
            <w:pPr>
              <w:pStyle w:val="CodeParagraph"/>
              <w:keepNext/>
              <w:rPr>
                <w:rStyle w:val="Code"/>
              </w:rPr>
            </w:pPr>
            <w:r>
              <w:rPr>
                <w:rStyle w:val="Code"/>
              </w:rPr>
              <w:t xml:space="preserve">  &lt;l </w:t>
            </w:r>
            <w:r>
              <w:rPr>
                <w:rStyle w:val="Codeattribute"/>
              </w:rPr>
              <w:t>n=</w:t>
            </w:r>
            <w:r>
              <w:rPr>
                <w:rStyle w:val="Codevalue"/>
              </w:rPr>
              <w:t>"a"</w:t>
            </w:r>
            <w:r>
              <w:rPr>
                <w:rStyle w:val="Code"/>
              </w:rPr>
              <w:t>&gt;</w:t>
            </w:r>
            <w:r>
              <w:rPr>
                <w:rStyle w:val="Codetext"/>
              </w:rPr>
              <w:t>satya-vacano yama-suro na sa surādhipa-bhayād bhavati satya-vacanaḥ</w:t>
            </w:r>
            <w:r>
              <w:rPr>
                <w:rStyle w:val="Code"/>
              </w:rPr>
              <w:t>&lt;/l&gt;</w:t>
            </w:r>
          </w:p>
          <w:p w14:paraId="3A17DD36"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śauryya-guṇavān mr̥gapatir nna sa viveka-matito bhavati śauryya-guṇavāN</w:t>
            </w:r>
            <w:r>
              <w:rPr>
                <w:rStyle w:val="Code"/>
              </w:rPr>
              <w:t>&lt;/l&gt;</w:t>
            </w:r>
          </w:p>
          <w:p w14:paraId="408E251A" w14:textId="77777777">
            <w:pPr>
              <w:pStyle w:val="CodeParagraph"/>
              <w:keepNext/>
              <w:rPr>
                <w:rStyle w:val="Code"/>
              </w:rPr>
            </w:pPr>
            <w:r>
              <w:rPr>
                <w:rStyle w:val="Code"/>
              </w:rPr>
              <w:t xml:space="preserve">  &lt;l </w:t>
            </w:r>
            <w:r>
              <w:rPr>
                <w:rStyle w:val="Codeattribute"/>
              </w:rPr>
              <w:t>n=</w:t>
            </w:r>
            <w:r>
              <w:rPr>
                <w:rStyle w:val="Codevalue"/>
              </w:rPr>
              <w:t>"c"</w:t>
            </w:r>
            <w:r>
              <w:rPr>
                <w:rStyle w:val="Code"/>
              </w:rPr>
              <w:t>&gt;</w:t>
            </w:r>
            <w:r>
              <w:rPr>
                <w:rStyle w:val="Codetext"/>
              </w:rPr>
              <w:t>dāna-vibhavo ravi-suto na sa pati-sva-balato bhavati dāna-vibhavaḥ</w:t>
            </w:r>
            <w:r>
              <w:rPr>
                <w:rStyle w:val="Code"/>
              </w:rPr>
              <w:t>&lt;/l&gt;</w:t>
            </w:r>
          </w:p>
          <w:p w14:paraId="28323109" w14:textId="77777777">
            <w:pPr>
              <w:pStyle w:val="CodeParagraph"/>
              <w:keepNext/>
            </w:pPr>
            <w:r>
              <w:rPr>
                <w:rStyle w:val="Code"/>
              </w:rPr>
              <w:t xml:space="preserve">  &lt;l </w:t>
            </w:r>
            <w:r>
              <w:rPr>
                <w:rStyle w:val="Codeattribute"/>
              </w:rPr>
              <w:t>n=</w:t>
            </w:r>
            <w:r>
              <w:rPr>
                <w:rStyle w:val="Codevalue"/>
              </w:rPr>
              <w:t>"d"</w:t>
            </w:r>
            <w:r>
              <w:rPr>
                <w:rStyle w:val="Code"/>
              </w:rPr>
              <w:t>&gt;</w:t>
            </w:r>
            <w:r>
              <w:rPr>
                <w:rStyle w:val="Codetext"/>
              </w:rPr>
              <w:t>satya-vara-śauryya-para-dāna-vibhavas tu nr̥pakāma-nr̥patiḥ prakr̥titaḥ</w:t>
            </w:r>
            <w:r>
              <w:rPr>
                <w:rStyle w:val="Code"/>
              </w:rPr>
              <w:t>&lt;/l&gt;</w:t>
            </w:r>
            <w:r>
              <w:t xml:space="preserve"> </w:t>
            </w:r>
          </w:p>
          <w:p w14:paraId="288FF0E6" w14:textId="77777777">
            <w:pPr>
              <w:pStyle w:val="CodeParagraph"/>
              <w:keepNext/>
              <w:rPr>
                <w:rFonts w:ascii="Consolas" w:hAnsi="Consolas" w:cs="Consolas"/>
                <w:noProof/>
                <w:color w:val="002060"/>
                <w:shd w:val="clear" w:color="auto" w:fill="F2F2F2" w:themeFill="background1" w:themeFillShade="F2"/>
              </w:rPr>
            </w:pPr>
            <w:r>
              <w:rPr>
                <w:rStyle w:val="Code"/>
              </w:rPr>
              <w:t>&lt;/lg&gt;</w:t>
            </w:r>
          </w:p>
        </w:tc>
      </w:tr>
      <w:tr w14:paraId="1DE4E1A7" w14:textId="77777777">
        <w:tc>
          <w:tcPr>
            <w:tcW w:w="5000" w:type="pct"/>
          </w:tcPr>
          <w:p w14:paraId="2E07570E" w14:textId="77777777">
            <w:pPr>
              <w:pStyle w:val="TableNote"/>
            </w:pPr>
            <w:r>
              <w:t>no conventional name could be associated with the consistent prosodic pattern followed in this stanza</w:t>
            </w:r>
          </w:p>
          <w:p w14:paraId="6AA382FC" w14:textId="77777777">
            <w:pPr>
              <w:pStyle w:val="TableNote"/>
            </w:pPr>
            <w:r>
              <w:t xml:space="preserve">the </w:t>
            </w:r>
            <w:r>
              <w:rPr>
                <w:rStyle w:val="Codeattribute"/>
              </w:rPr>
              <w:t>@met</w:t>
            </w:r>
            <w:r>
              <w:t xml:space="preserve"> for the stanza is therefore recorded in prosodic notation</w:t>
            </w:r>
          </w:p>
        </w:tc>
      </w:tr>
    </w:tbl>
    <w:p w14:paraId="70B190EB" w14:textId="77777777">
      <w:pPr>
        <w:pStyle w:val="Cmsor4"/>
      </w:pPr>
      <w:r>
        <w:t>Uncertain metre identification</w:t>
      </w:r>
    </w:p>
    <w:p w14:paraId="67116BA0" w14:textId="77777777">
      <w:pPr>
        <w:pStyle w:val="Lista"/>
      </w:pPr>
      <w:r>
        <w:t xml:space="preserve">if you can only establish a stanza’s metre tentatively because the text is damaged or prosodically </w:t>
      </w:r>
      <w:r>
        <w:rPr>
          <w:noProof/>
        </w:rPr>
        <w:t xml:space="preserve">incorrect, as </w:t>
      </w:r>
      <w:r>
        <w:t xml:space="preserve">in </w:t>
      </w:r>
      <w:r>
        <w:fldChar w:fldCharType="begin"/>
      </w:r>
      <w:r>
        <w:instrText xml:space="preserve"> REF _Ref181707151 \h </w:instrText>
      </w:r>
      <w:r>
        <w:fldChar w:fldCharType="separate"/>
      </w:r>
      <w:r>
        <w:t xml:space="preserve">Exhibit </w:t>
      </w:r>
      <w:r>
        <w:rPr>
          <w:noProof/>
        </w:rPr>
        <w:t>3.3</w:t>
      </w:r>
      <w:r>
        <w:t>.</w:t>
      </w:r>
      <w:r>
        <w:rPr>
          <w:noProof/>
        </w:rPr>
        <w:t>B</w:t>
      </w:r>
      <w:r>
        <w:fldChar w:fldCharType="end"/>
      </w:r>
      <w:r>
        <w:rPr>
          <w:noProof/>
        </w:rPr>
        <w:t>, then</w:t>
      </w:r>
    </w:p>
    <w:p w14:paraId="225AB477" w14:textId="77777777">
      <w:pPr>
        <w:pStyle w:val="Lista2"/>
      </w:pPr>
      <w:r>
        <w:t xml:space="preserve">add the element </w:t>
      </w:r>
      <w:r>
        <w:rPr>
          <w:rStyle w:val="Code"/>
        </w:rPr>
        <w:t xml:space="preserve">&lt;certainty </w:t>
      </w:r>
      <w:r>
        <w:rPr>
          <w:rStyle w:val="Codeattribute"/>
        </w:rPr>
        <w:t>match</w:t>
      </w:r>
      <w:r>
        <w:rPr>
          <w:rStyle w:val="Code"/>
        </w:rPr>
        <w:t>=</w:t>
      </w:r>
      <w:r>
        <w:rPr>
          <w:rStyle w:val="Codevalue"/>
        </w:rPr>
        <w:t xml:space="preserve">"../@met" </w:t>
      </w:r>
      <w:r>
        <w:rPr>
          <w:rStyle w:val="Codeattribute"/>
        </w:rPr>
        <w:t>locus</w:t>
      </w:r>
      <w:r>
        <w:rPr>
          <w:rStyle w:val="Code"/>
        </w:rPr>
        <w:t>=</w:t>
      </w:r>
      <w:r>
        <w:rPr>
          <w:rStyle w:val="Codevalue"/>
        </w:rPr>
        <w:t>"value"</w:t>
      </w:r>
      <w:r>
        <w:rPr>
          <w:rStyle w:val="Code"/>
        </w:rPr>
        <w:t>/&gt;</w:t>
      </w:r>
      <w:r>
        <w:t xml:space="preserve"> directly after the opening </w:t>
      </w:r>
      <w:r>
        <w:rPr>
          <w:rStyle w:val="Code"/>
        </w:rPr>
        <w:t>&lt;lg&gt;</w:t>
      </w:r>
      <w:r>
        <w:t xml:space="preserve"> tag </w:t>
      </w:r>
      <w:r>
        <w:rPr>
          <w:noProof/>
        </w:rPr>
        <w:t>(</w:t>
      </w:r>
      <w:r>
        <w:t xml:space="preserve">before the first </w:t>
      </w:r>
      <w:r>
        <w:rPr>
          <w:rStyle w:val="Code"/>
        </w:rPr>
        <w:t>&lt;l&gt;</w:t>
      </w:r>
      <w:r>
        <w:t xml:space="preserve"> element), where</w:t>
      </w:r>
    </w:p>
    <w:p w14:paraId="0CC9FCD2" w14:textId="77777777">
      <w:pPr>
        <w:pStyle w:val="Lista3"/>
      </w:pPr>
      <w:r>
        <w:rPr>
          <w:rStyle w:val="Codeattribute"/>
        </w:rPr>
        <w:t>@match</w:t>
      </w:r>
      <w:r>
        <w:rPr>
          <w:rStyle w:val="Code"/>
        </w:rPr>
        <w:t>=</w:t>
      </w:r>
      <w:r>
        <w:rPr>
          <w:rStyle w:val="Codevalue"/>
        </w:rPr>
        <w:t>"../@met"</w:t>
      </w:r>
      <w:r>
        <w:t xml:space="preserve"> indicates that you are encoding uncertainty</w:t>
      </w:r>
      <w:r>
        <w:rPr>
          <w:rStyle w:val="Lbjegyzet-hivatkozs"/>
        </w:rPr>
        <w:footnoteReference w:id="11"/>
      </w:r>
      <w:r>
        <w:t xml:space="preserve"> regarding the </w:t>
      </w:r>
      <w:r>
        <w:rPr>
          <w:rStyle w:val="Codeattribute"/>
        </w:rPr>
        <w:t>@met</w:t>
      </w:r>
      <w:r>
        <w:t xml:space="preserve"> attribute of the parent element </w:t>
      </w:r>
      <w:r>
        <w:rPr>
          <w:noProof/>
        </w:rPr>
        <w:t>(</w:t>
      </w:r>
      <w:r>
        <w:t xml:space="preserve">i.e. </w:t>
      </w:r>
      <w:r>
        <w:rPr>
          <w:rStyle w:val="Code"/>
        </w:rPr>
        <w:t>&lt;lg&gt;</w:t>
      </w:r>
      <w:r>
        <w:t>), and</w:t>
      </w:r>
    </w:p>
    <w:p w14:paraId="3BF4B19F" w14:textId="77777777">
      <w:pPr>
        <w:pStyle w:val="Lista3"/>
      </w:pPr>
      <w:r>
        <w:rPr>
          <w:rStyle w:val="Codeattribute"/>
        </w:rPr>
        <w:t>@locus</w:t>
      </w:r>
      <w:r>
        <w:rPr>
          <w:rStyle w:val="Code"/>
        </w:rPr>
        <w:t>=</w:t>
      </w:r>
      <w:r>
        <w:rPr>
          <w:rStyle w:val="Codevalue"/>
        </w:rPr>
        <w:t>"value"</w:t>
      </w:r>
      <w:r>
        <w:t xml:space="preserve"> indicates that the uncertainty concerns the value of this attribute </w:t>
      </w:r>
      <w:r>
        <w:rPr>
          <w:noProof/>
        </w:rPr>
        <w:t>(</w:t>
      </w:r>
      <w:r>
        <w:t>i.e. the identification of the metre)</w:t>
      </w:r>
    </w:p>
    <w:tbl>
      <w:tblPr>
        <w:tblStyle w:val="CodeSampleTable"/>
        <w:tblW w:w="5000" w:type="pct"/>
        <w:tblLook w:val="04A0" w:firstRow="1" w:lastRow="0" w:firstColumn="1" w:lastColumn="0" w:noHBand="0" w:noVBand="1"/>
      </w:tblPr>
      <w:tblGrid>
        <w:gridCol w:w="9628"/>
      </w:tblGrid>
      <w:tr w14:paraId="31529EB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54EF67B" w14:textId="77777777">
            <w:pPr>
              <w:pStyle w:val="Kpalrs"/>
              <w:keepLines/>
            </w:pPr>
            <w:bookmarkStart w:id="138" w:name="_Ref181707151"/>
            <w:bookmarkStart w:id="139" w:name="_Ref181707147"/>
            <w:r>
              <w:t xml:space="preserve">Exhibit </w:t>
            </w:r>
            <w:fldSimple w:instr=" STYLEREF 2 \s ">
              <w:r>
                <w:rPr>
                  <w:noProof/>
                </w:rPr>
                <w:t>3.3</w:t>
              </w:r>
            </w:fldSimple>
            <w:r>
              <w:t>.</w:t>
            </w:r>
            <w:fldSimple w:instr=" SEQ Exhibit \* ALPHABETIC \s 2 ">
              <w:r>
                <w:rPr>
                  <w:noProof/>
                </w:rPr>
                <w:t>B</w:t>
              </w:r>
            </w:fldSimple>
            <w:bookmarkEnd w:id="138"/>
            <w:r>
              <w:t>: tentative metre identification</w:t>
            </w:r>
            <w:bookmarkEnd w:id="139"/>
          </w:p>
        </w:tc>
      </w:tr>
      <w:tr w14:paraId="04B358CB" w14:textId="77777777">
        <w:tc>
          <w:tcPr>
            <w:tcW w:w="5000" w:type="pct"/>
          </w:tcPr>
          <w:p w14:paraId="49A041CD" w14:textId="77777777">
            <w:pPr>
              <w:pStyle w:val="CodeParagraph"/>
              <w:keepNext/>
              <w:keepLines/>
              <w:rPr>
                <w:rStyle w:val="Code"/>
              </w:rPr>
            </w:pPr>
            <w:r>
              <w:rPr>
                <w:rStyle w:val="Code"/>
              </w:rPr>
              <w:t xml:space="preserve">&lt;lg </w:t>
            </w:r>
            <w:r>
              <w:rPr>
                <w:rStyle w:val="Codeattribute"/>
              </w:rPr>
              <w:t>n=</w:t>
            </w:r>
            <w:r>
              <w:rPr>
                <w:rStyle w:val="Codevalue"/>
              </w:rPr>
              <w:t>"26"</w:t>
            </w:r>
            <w:r>
              <w:rPr>
                <w:rStyle w:val="Code"/>
              </w:rPr>
              <w:t xml:space="preserve"> </w:t>
            </w:r>
            <w:r>
              <w:rPr>
                <w:rStyle w:val="Codeattribute"/>
              </w:rPr>
              <w:t>met=</w:t>
            </w:r>
            <w:r>
              <w:rPr>
                <w:rStyle w:val="Codevalue"/>
              </w:rPr>
              <w:t>"gīti"</w:t>
            </w:r>
            <w:r>
              <w:rPr>
                <w:rStyle w:val="Code"/>
              </w:rPr>
              <w:t xml:space="preserve">&gt;&lt;certainty </w:t>
            </w:r>
            <w:r>
              <w:rPr>
                <w:rStyle w:val="Codeattribute"/>
              </w:rPr>
              <w:t>match=</w:t>
            </w:r>
            <w:r>
              <w:rPr>
                <w:rStyle w:val="Codevalue"/>
              </w:rPr>
              <w:t>"../@met" locus="value"</w:t>
            </w:r>
            <w:r>
              <w:rPr>
                <w:rStyle w:val="Code"/>
              </w:rPr>
              <w:t>/&gt;</w:t>
            </w:r>
          </w:p>
          <w:p w14:paraId="24093575" w14:textId="77777777">
            <w:pPr>
              <w:pStyle w:val="CodeParagraph"/>
              <w:keepNext/>
              <w:keepLines/>
              <w:rPr>
                <w:rStyle w:val="Code"/>
              </w:rPr>
            </w:pPr>
            <w:r>
              <w:rPr>
                <w:rStyle w:val="Code"/>
              </w:rPr>
              <w:t xml:space="preserve">  &lt;l </w:t>
            </w:r>
            <w:r>
              <w:rPr>
                <w:rStyle w:val="Codeattribute"/>
              </w:rPr>
              <w:t>n=</w:t>
            </w:r>
            <w:r>
              <w:rPr>
                <w:rStyle w:val="Codevalue"/>
              </w:rPr>
              <w:t>"ab"</w:t>
            </w:r>
            <w:r>
              <w:rPr>
                <w:rStyle w:val="Code"/>
              </w:rPr>
              <w:t>&gt;</w:t>
            </w:r>
            <w:r>
              <w:rPr>
                <w:rStyle w:val="Codetext"/>
              </w:rPr>
              <w:t xml:space="preserve">Atha vennamayya-nāmnas tasya </w:t>
            </w:r>
            <w:r>
              <w:rPr>
                <w:rStyle w:val="Code"/>
              </w:rPr>
              <w:t xml:space="preserve">&lt;seg </w:t>
            </w:r>
            <w:r>
              <w:rPr>
                <w:rStyle w:val="Codeattribute"/>
              </w:rPr>
              <w:t>met=</w:t>
            </w:r>
            <w:r>
              <w:rPr>
                <w:rStyle w:val="Codevalue"/>
              </w:rPr>
              <w:t>"-"</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"1"</w:t>
            </w:r>
            <w:r>
              <w:rPr>
                <w:rStyle w:val="Code"/>
              </w:rPr>
              <w:t xml:space="preserve"> </w:t>
            </w:r>
            <w:r>
              <w:rPr>
                <w:rStyle w:val="Codeattribute"/>
              </w:rPr>
              <w:t>unit=</w:t>
            </w:r>
            <w:r>
              <w:rPr>
                <w:rStyle w:val="Codevalue"/>
              </w:rPr>
              <w:t>"character"</w:t>
            </w:r>
            <w:r>
              <w:rPr>
                <w:rStyle w:val="Code"/>
              </w:rPr>
              <w:t>/&gt;&lt;/seg&gt;</w:t>
            </w:r>
            <w:r>
              <w:rPr>
                <w:rStyle w:val="Codetext"/>
              </w:rPr>
              <w:t xml:space="preserve">sā </w:t>
            </w:r>
            <w:r>
              <w:rPr>
                <w:rStyle w:val="Code"/>
              </w:rPr>
              <w:t xml:space="preserve">&lt;gap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/&gt;&lt;/l&gt;</w:t>
            </w:r>
          </w:p>
          <w:p w14:paraId="10549722" w14:textId="77777777">
            <w:pPr>
              <w:pStyle w:val="CodeParagraph"/>
              <w:keepNext/>
              <w:keepLines/>
              <w:rPr>
                <w:rStyle w:val="Code"/>
              </w:rPr>
            </w:pPr>
            <w:r>
              <w:rPr>
                <w:rStyle w:val="Code"/>
              </w:rPr>
              <w:t xml:space="preserve">  &lt;l </w:t>
            </w:r>
            <w:r>
              <w:rPr>
                <w:rStyle w:val="Codeattribute"/>
              </w:rPr>
              <w:t>n=</w:t>
            </w:r>
            <w:r>
              <w:rPr>
                <w:rStyle w:val="Codevalue"/>
              </w:rPr>
              <w:t>"cd"</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"2"</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w:t>
            </w:r>
            <w:r>
              <w:rPr>
                <w:rStyle w:val="Codetext"/>
              </w:rPr>
              <w:t>vir vvirājadevana Ity ajani dvija-kulottamas sūnuḥ</w:t>
            </w:r>
            <w:r>
              <w:rPr>
                <w:rStyle w:val="Code"/>
              </w:rPr>
              <w:t>&lt;/l&gt;</w:t>
            </w:r>
          </w:p>
          <w:p w14:paraId="1836ADB9" w14:textId="77777777">
            <w:pPr>
              <w:pStyle w:val="CodeParagraph"/>
              <w:keepNext/>
              <w:keepLines/>
              <w:rPr>
                <w:rFonts w:ascii="Consolas" w:hAnsi="Consolas" w:cs="Consolas"/>
                <w:noProof/>
                <w:color w:val="002060"/>
                <w:shd w:val="clear" w:color="auto" w:fill="F2F2F2" w:themeFill="background1" w:themeFillShade="F2"/>
              </w:rPr>
            </w:pPr>
            <w:r>
              <w:rPr>
                <w:rStyle w:val="Code"/>
              </w:rPr>
              <w:t>&lt;/lg&gt;</w:t>
            </w:r>
          </w:p>
        </w:tc>
      </w:tr>
      <w:tr w14:paraId="275022AA" w14:textId="77777777">
        <w:tc>
          <w:tcPr>
            <w:tcW w:w="5000" w:type="pct"/>
          </w:tcPr>
          <w:p w14:paraId="6F621B44" w14:textId="77777777">
            <w:pPr>
              <w:pStyle w:val="TableNote"/>
            </w:pPr>
            <w:r>
              <w:t xml:space="preserve">due to the extent of lacunae in this stanza, it can only tentatively be identified as a </w:t>
            </w:r>
            <w:r>
              <w:rPr>
                <w:rStyle w:val="Foreign"/>
              </w:rPr>
              <w:t>gīti</w:t>
            </w:r>
          </w:p>
          <w:p w14:paraId="21BCF066" w14:textId="77777777">
            <w:pPr>
              <w:pStyle w:val="TableNote"/>
            </w:pPr>
            <w:r>
              <w:t xml:space="preserve">the uncertainty of this identification is indicated with the </w:t>
            </w:r>
            <w:r>
              <w:rPr>
                <w:rStyle w:val="Code"/>
              </w:rPr>
              <w:t>&lt;certainty&gt;</w:t>
            </w:r>
            <w:r>
              <w:t xml:space="preserve"> element</w:t>
            </w:r>
          </w:p>
          <w:p w14:paraId="685F33B9" w14:textId="77777777">
            <w:pPr>
              <w:pStyle w:val="TableNote"/>
            </w:pPr>
            <w:r>
              <w:t>for the encoding of lost text with known prosody see §</w:t>
            </w:r>
            <w:r>
              <w:fldChar w:fldCharType="begin"/>
            </w:r>
            <w:r>
              <w:instrText xml:space="preserve"> REF _Ref228275301 \r \h </w:instrText>
            </w:r>
            <w:r>
              <w:fldChar w:fldCharType="separate"/>
            </w:r>
            <w:r>
              <w:t>6.5.2.3</w:t>
            </w:r>
            <w:r>
              <w:fldChar w:fldCharType="end"/>
            </w:r>
          </w:p>
        </w:tc>
      </w:tr>
    </w:tbl>
    <w:p w14:paraId="484EA129" w14:textId="77777777">
      <w:pPr>
        <w:pStyle w:val="Cmsor4"/>
      </w:pPr>
      <w:r>
        <w:t>Unidentifiable metre</w:t>
      </w:r>
    </w:p>
    <w:p w14:paraId="0B896DBA" w14:textId="77777777">
      <w:pPr>
        <w:pStyle w:val="Lista"/>
      </w:pPr>
      <w:r>
        <w:t>if a part of your text seems with reasonable certainty to be in verse, but it is too heavily damaged to identify the metre even tentatively, then</w:t>
      </w:r>
    </w:p>
    <w:p w14:paraId="32432527" w14:textId="77777777">
      <w:pPr>
        <w:pStyle w:val="Lista2"/>
      </w:pPr>
      <w:r>
        <w:t xml:space="preserve">tag it as </w:t>
      </w:r>
      <w:r>
        <w:rPr>
          <w:rStyle w:val="Codeattribute"/>
        </w:rPr>
        <w:t>@met</w:t>
      </w:r>
      <w:r>
        <w:rPr>
          <w:rStyle w:val="Code"/>
        </w:rPr>
        <w:t>=</w:t>
      </w:r>
      <w:r>
        <w:rPr>
          <w:rStyle w:val="Codevalue"/>
        </w:rPr>
        <w:t>"uncertain"</w:t>
      </w:r>
    </w:p>
    <w:p w14:paraId="54F525EE" w14:textId="77777777">
      <w:pPr>
        <w:pStyle w:val="Lista"/>
      </w:pPr>
      <w:r>
        <w:t xml:space="preserve">conversely, for heavily lacunose verse where the stanza structure itself cannot be established with any certainty, consider wrapping the text in an </w:t>
      </w:r>
      <w:r>
        <w:rPr>
          <w:rStyle w:val="Code"/>
        </w:rPr>
        <w:t>&lt;ab&gt;</w:t>
      </w:r>
      <w:r>
        <w:t xml:space="preserve"> element </w:t>
      </w:r>
      <w:r>
        <w:rPr>
          <w:noProof/>
        </w:rPr>
        <w:t>(</w:t>
      </w:r>
      <w:r>
        <w:t>§</w:t>
      </w:r>
      <w:r>
        <w:fldChar w:fldCharType="begin"/>
      </w:r>
      <w:r>
        <w:instrText xml:space="preserve"> REF _Ref43981028 \r \h  \* MERGEFORMAT </w:instrText>
      </w:r>
      <w:r>
        <w:fldChar w:fldCharType="separate"/>
      </w:r>
      <w:r>
        <w:t>3.2.1.2</w:t>
      </w:r>
      <w:r>
        <w:fldChar w:fldCharType="end"/>
      </w:r>
      <w:r>
        <w:t>) instead of marking it up as verse</w:t>
      </w:r>
    </w:p>
    <w:p w14:paraId="5BBCF05A" w14:textId="77777777">
      <w:pPr>
        <w:pStyle w:val="Cmsor4"/>
      </w:pPr>
      <w:bookmarkStart w:id="140" w:name="_Ref224727363"/>
      <w:r>
        <w:lastRenderedPageBreak/>
        <w:t>Free metre</w:t>
      </w:r>
      <w:bookmarkEnd w:id="140"/>
    </w:p>
    <w:p w14:paraId="7A5DA52D" w14:textId="77777777">
      <w:pPr>
        <w:pStyle w:val="Lista"/>
        <w:rPr>
          <w:lang w:eastAsia="en-US" w:bidi="ar-SA"/>
        </w:rPr>
      </w:pPr>
      <w:r>
        <w:rPr>
          <w:lang w:eastAsia="en-US" w:bidi="ar-SA"/>
        </w:rPr>
        <w:t>for text evidently structured as verse (as indicated by any combination of rhyme and assonance structures, metrical cadences or spatial arrangement) but without a consistent prosodic pattern,</w:t>
      </w:r>
    </w:p>
    <w:p w14:paraId="7596B28B" w14:textId="77777777">
      <w:pPr>
        <w:pStyle w:val="Lista2"/>
      </w:pPr>
      <w:r>
        <w:t xml:space="preserve">use </w:t>
      </w:r>
      <w:r>
        <w:rPr>
          <w:rStyle w:val="Codeattribute"/>
        </w:rPr>
        <w:t>@met</w:t>
      </w:r>
      <w:r>
        <w:rPr>
          <w:rStyle w:val="Code"/>
        </w:rPr>
        <w:t>=</w:t>
      </w:r>
      <w:r>
        <w:rPr>
          <w:rStyle w:val="Codevalue"/>
        </w:rPr>
        <w:t>"free"</w:t>
      </w:r>
      <w:r>
        <w:t xml:space="preserve"> on the stanza</w:t>
      </w:r>
    </w:p>
    <w:p w14:paraId="314C80CC" w14:textId="77777777">
      <w:pPr>
        <w:pStyle w:val="Lista2"/>
      </w:pPr>
      <w:r>
        <w:t xml:space="preserve">optionally add </w:t>
      </w:r>
      <w:r>
        <w:rPr>
          <w:rStyle w:val="Codeattribute"/>
        </w:rPr>
        <w:t>@real</w:t>
      </w:r>
      <w:r>
        <w:t xml:space="preserve"> to all of the lines</w:t>
      </w:r>
    </w:p>
    <w:p w14:paraId="5EF5E727" w14:textId="77777777">
      <w:pPr>
        <w:pStyle w:val="Lista2"/>
      </w:pPr>
      <w:r>
        <w:t>the lines of free verse shall normally be numbered with Arabic numbers (§</w:t>
      </w:r>
      <w:r>
        <w:fldChar w:fldCharType="begin"/>
      </w:r>
      <w:r>
        <w:instrText xml:space="preserve"> REF _Ref181706499 \r \h </w:instrText>
      </w:r>
      <w:r>
        <w:fldChar w:fldCharType="separate"/>
      </w:r>
      <w:r>
        <w:t>3.2.2.2</w:t>
      </w:r>
      <w:r>
        <w:fldChar w:fldCharType="end"/>
      </w:r>
      <w:r>
        <w:t>)</w:t>
      </w:r>
    </w:p>
    <w:p w14:paraId="1AB1A33B" w14:textId="77777777">
      <w:pPr>
        <w:pStyle w:val="Cmsor4"/>
      </w:pPr>
      <w:bookmarkStart w:id="141" w:name="_Ref224725813"/>
      <w:bookmarkStart w:id="142" w:name="_Ref224912448"/>
      <w:bookmarkStart w:id="143" w:name="_Ref181609517"/>
      <w:r>
        <w:t>Mixed metre</w:t>
      </w:r>
      <w:bookmarkEnd w:id="141"/>
      <w:bookmarkEnd w:id="142"/>
    </w:p>
    <w:p w14:paraId="2BCFBCAA" w14:textId="77777777">
      <w:pPr>
        <w:pStyle w:val="Lista"/>
      </w:pPr>
      <w:r>
        <w:t xml:space="preserve">if one or more lines of a stanza follow a different legitimate metrical template than the others, as in </w:t>
      </w:r>
      <w:r>
        <w:fldChar w:fldCharType="begin"/>
      </w:r>
      <w:r>
        <w:instrText xml:space="preserve"> REF _Ref44077218 \h </w:instrText>
      </w:r>
      <w:r>
        <w:fldChar w:fldCharType="separate"/>
      </w:r>
      <w:r>
        <w:t xml:space="preserve">Exhibit </w:t>
      </w:r>
      <w:r>
        <w:rPr>
          <w:noProof/>
        </w:rPr>
        <w:t>3.3</w:t>
      </w:r>
      <w:r>
        <w:t>.</w:t>
      </w:r>
      <w:r>
        <w:rPr>
          <w:noProof/>
        </w:rPr>
        <w:t>C</w:t>
      </w:r>
      <w:r>
        <w:fldChar w:fldCharType="end"/>
      </w:r>
      <w:r>
        <w:t>, then</w:t>
      </w:r>
    </w:p>
    <w:p w14:paraId="5B85A25E" w14:textId="77777777">
      <w:pPr>
        <w:pStyle w:val="Lista2"/>
      </w:pPr>
      <w:r>
        <w:t xml:space="preserve">use </w:t>
      </w:r>
      <w:r>
        <w:rPr>
          <w:rStyle w:val="Codeattribute"/>
        </w:rPr>
        <w:t>@met</w:t>
      </w:r>
      <w:r>
        <w:rPr>
          <w:rStyle w:val="Code"/>
        </w:rPr>
        <w:t>=</w:t>
      </w:r>
      <w:r>
        <w:rPr>
          <w:rStyle w:val="Codevalue"/>
        </w:rPr>
        <w:t>"mixed"</w:t>
      </w:r>
      <w:r>
        <w:t xml:space="preserve"> on the stanza</w:t>
      </w:r>
    </w:p>
    <w:p w14:paraId="30B2DD78" w14:textId="77777777">
      <w:pPr>
        <w:pStyle w:val="Lista2"/>
        <w:rPr>
          <w:rStyle w:val="Codeattribute"/>
          <w:rFonts w:ascii="Gentium" w:hAnsi="Gentium" w:cs="Tiro Devanagari Sanskrit"/>
          <w:noProof w:val="0"/>
          <w:color w:val="auto"/>
          <w:shd w:val="clear" w:color="auto" w:fill="auto"/>
        </w:rPr>
      </w:pPr>
      <w:r>
        <w:t xml:space="preserve">encode the prosodic template separately for each line of the stanza with </w:t>
      </w:r>
      <w:r>
        <w:rPr>
          <w:rStyle w:val="Codeattribute"/>
        </w:rPr>
        <w:t>@met</w:t>
      </w:r>
      <w:r>
        <w:t xml:space="preserve"> </w:t>
      </w:r>
    </w:p>
    <w:p w14:paraId="58E71EF5" w14:textId="77777777">
      <w:pPr>
        <w:pStyle w:val="Lista3"/>
      </w:pPr>
      <w:r>
        <w:t xml:space="preserve">if necessary, this can be combined with </w:t>
      </w:r>
      <w:r>
        <w:rPr>
          <w:rStyle w:val="Codeattribute"/>
        </w:rPr>
        <w:t>@real</w:t>
      </w:r>
      <w:r>
        <w:t xml:space="preserve"> for lines that were probably intended to match a legitimate template but do not (§</w:t>
      </w:r>
      <w:r>
        <w:fldChar w:fldCharType="begin"/>
      </w:r>
      <w:r>
        <w:instrText xml:space="preserve"> REF _Ref224726906 \r \h </w:instrText>
      </w:r>
      <w:r>
        <w:fldChar w:fldCharType="separate"/>
      </w:r>
      <w:r>
        <w:t>3.3.4.2</w:t>
      </w:r>
      <w:r>
        <w:fldChar w:fldCharType="end"/>
      </w:r>
      <w:r>
        <w:t>)</w:t>
      </w:r>
    </w:p>
    <w:p w14:paraId="359B7917" w14:textId="77777777">
      <w:pPr>
        <w:pStyle w:val="Lista"/>
      </w:pPr>
      <w:r>
        <w:t>note that some metres permit (or require) different prosodic templates for the odd and even lines of a stanza, or for any quarter of a quatrain</w:t>
      </w:r>
    </w:p>
    <w:p w14:paraId="28814A43" w14:textId="77777777">
      <w:pPr>
        <w:pStyle w:val="Lista2"/>
      </w:pPr>
      <w:r>
        <w:t xml:space="preserve">if such a metre has a conventional name recognised in our authority file (e.g. </w:t>
      </w:r>
      <w:r>
        <w:rPr>
          <w:rStyle w:val="Foreign"/>
        </w:rPr>
        <w:t>upajāti</w:t>
      </w:r>
      <w:r>
        <w:t xml:space="preserve">), then it is not a “mixed” metre, so simply encode the name of the metre on the </w:t>
      </w:r>
      <w:r>
        <w:rPr>
          <w:rStyle w:val="Codeattribute"/>
        </w:rPr>
        <w:t>@met</w:t>
      </w:r>
      <w:r>
        <w:t xml:space="preserve"> of the stanza</w:t>
      </w:r>
    </w:p>
    <w:p w14:paraId="030ABD31" w14:textId="77777777">
      <w:pPr>
        <w:pStyle w:val="Lista2"/>
      </w:pPr>
      <w:r>
        <w:t xml:space="preserve">whereas </w:t>
      </w:r>
      <w:r>
        <w:rPr>
          <w:rStyle w:val="Codeattribute"/>
        </w:rPr>
        <w:t>@met</w:t>
      </w:r>
      <w:r>
        <w:rPr>
          <w:rStyle w:val="Code"/>
        </w:rPr>
        <w:t>=</w:t>
      </w:r>
      <w:r>
        <w:rPr>
          <w:rStyle w:val="Codevalue"/>
        </w:rPr>
        <w:t>"mixed"</w:t>
      </w:r>
      <w:r>
        <w:t xml:space="preserve"> must be limited to the rare cases for which a stanza-level metre name cannot be identified</w:t>
      </w:r>
    </w:p>
    <w:tbl>
      <w:tblPr>
        <w:tblStyle w:val="CodeSampleTable"/>
        <w:tblW w:w="5000" w:type="pct"/>
        <w:tblLook w:val="04A0" w:firstRow="1" w:lastRow="0" w:firstColumn="1" w:lastColumn="0" w:noHBand="0" w:noVBand="1"/>
      </w:tblPr>
      <w:tblGrid>
        <w:gridCol w:w="9628"/>
      </w:tblGrid>
      <w:tr w14:paraId="3EEA7A1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E08B3E7" w14:textId="77777777">
            <w:pPr>
              <w:pStyle w:val="Kpalrs"/>
            </w:pPr>
            <w:bookmarkStart w:id="144" w:name="_Ref44077218"/>
            <w:r>
              <w:t xml:space="preserve">Exhibit </w:t>
            </w:r>
            <w:fldSimple w:instr=" STYLEREF 2 \s ">
              <w:r>
                <w:rPr>
                  <w:noProof/>
                </w:rPr>
                <w:t>3.3</w:t>
              </w:r>
            </w:fldSimple>
            <w:r>
              <w:t>.</w:t>
            </w:r>
            <w:fldSimple w:instr=" SEQ Exhibit \* ALPHABETIC \s 2 ">
              <w:r>
                <w:rPr>
                  <w:noProof/>
                </w:rPr>
                <w:t>C</w:t>
              </w:r>
            </w:fldSimple>
            <w:bookmarkEnd w:id="144"/>
            <w:r>
              <w:t>: line with a prosodic template other than the rest of the stanza</w:t>
            </w:r>
          </w:p>
        </w:tc>
      </w:tr>
      <w:tr w14:paraId="3F60FF82" w14:textId="77777777">
        <w:tc>
          <w:tcPr>
            <w:tcW w:w="5000" w:type="pct"/>
          </w:tcPr>
          <w:p w14:paraId="445B892B" w14:textId="77777777">
            <w:pPr>
              <w:pStyle w:val="CodeParagraph"/>
              <w:keepNext/>
              <w:rPr>
                <w:rStyle w:val="Code"/>
              </w:rPr>
            </w:pPr>
            <w:r>
              <w:rPr>
                <w:rStyle w:val="Code"/>
              </w:rPr>
              <w:t xml:space="preserve">&lt;lg </w:t>
            </w:r>
            <w:r>
              <w:rPr>
                <w:rStyle w:val="Codeattribute"/>
              </w:rPr>
              <w:t>n=</w:t>
            </w:r>
            <w:r>
              <w:rPr>
                <w:rStyle w:val="Codevalue"/>
              </w:rPr>
              <w:t>"9"</w:t>
            </w:r>
            <w:r>
              <w:rPr>
                <w:rStyle w:val="Code"/>
              </w:rPr>
              <w:t xml:space="preserve"> </w:t>
            </w:r>
            <w:r>
              <w:rPr>
                <w:rStyle w:val="Codeattribute"/>
              </w:rPr>
              <w:t>met=</w:t>
            </w:r>
            <w:r>
              <w:rPr>
                <w:rStyle w:val="Codevalue"/>
              </w:rPr>
              <w:t>"mixed"</w:t>
            </w:r>
            <w:r>
              <w:rPr>
                <w:rStyle w:val="Code"/>
              </w:rPr>
              <w:t>&gt;</w:t>
            </w:r>
          </w:p>
          <w:p w14:paraId="06AA2046"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 </w:t>
            </w:r>
            <w:r>
              <w:rPr>
                <w:rStyle w:val="Codeattribute"/>
              </w:rPr>
              <w:t>met=</w:t>
            </w:r>
            <w:r>
              <w:rPr>
                <w:rStyle w:val="Codevalue"/>
              </w:rPr>
              <w:t>"vaṁśastha"</w:t>
            </w:r>
            <w:r>
              <w:rPr>
                <w:rStyle w:val="Code"/>
              </w:rPr>
              <w:t>&gt;</w:t>
            </w:r>
            <w:r>
              <w:rPr>
                <w:rStyle w:val="Codetext"/>
              </w:rPr>
              <w:t>yaśo-vikāśāya vikāśitā diśo</w:t>
            </w:r>
            <w:r>
              <w:rPr>
                <w:rStyle w:val="Code"/>
              </w:rPr>
              <w:t>&lt;/l&gt;</w:t>
            </w:r>
          </w:p>
          <w:p w14:paraId="47A4D540" w14:textId="77777777">
            <w:pPr>
              <w:pStyle w:val="CodeParagraph"/>
              <w:keepNext/>
              <w:rPr>
                <w:rStyle w:val="Code"/>
              </w:rPr>
            </w:pPr>
            <w:r>
              <w:rPr>
                <w:rStyle w:val="Code"/>
              </w:rPr>
              <w:t xml:space="preserve">  &lt;l </w:t>
            </w:r>
            <w:r>
              <w:rPr>
                <w:rStyle w:val="Codeattribute"/>
              </w:rPr>
              <w:t>n=</w:t>
            </w:r>
            <w:r>
              <w:rPr>
                <w:rStyle w:val="Codevalue"/>
              </w:rPr>
              <w:t>"b"</w:t>
            </w:r>
            <w:r>
              <w:rPr>
                <w:rStyle w:val="Code"/>
              </w:rPr>
              <w:t xml:space="preserve"> </w:t>
            </w:r>
            <w:r>
              <w:rPr>
                <w:rStyle w:val="Codeattribute"/>
              </w:rPr>
              <w:t>met=</w:t>
            </w:r>
            <w:r>
              <w:rPr>
                <w:rStyle w:val="Codevalue"/>
              </w:rPr>
              <w:t>"upendravajrā"</w:t>
            </w:r>
            <w:r>
              <w:rPr>
                <w:rStyle w:val="Code"/>
              </w:rPr>
              <w:t>&gt;</w:t>
            </w:r>
            <w:r>
              <w:rPr>
                <w:rStyle w:val="Codetext"/>
              </w:rPr>
              <w:t>daśāpi viśvasya pitāmahena</w:t>
            </w:r>
            <w:r>
              <w:rPr>
                <w:rStyle w:val="Code"/>
              </w:rPr>
              <w:t>&lt;/l&gt;</w:t>
            </w:r>
          </w:p>
          <w:p w14:paraId="1995DE74" w14:textId="77777777">
            <w:pPr>
              <w:pStyle w:val="CodeParagraph"/>
              <w:keepNext/>
              <w:rPr>
                <w:rStyle w:val="Code"/>
              </w:rPr>
            </w:pPr>
            <w:r>
              <w:rPr>
                <w:rStyle w:val="Code"/>
              </w:rPr>
              <w:t xml:space="preserve">  &lt;l </w:t>
            </w:r>
            <w:r>
              <w:rPr>
                <w:rStyle w:val="Codeattribute"/>
              </w:rPr>
              <w:t>n=</w:t>
            </w:r>
            <w:r>
              <w:rPr>
                <w:rStyle w:val="Codevalue"/>
              </w:rPr>
              <w:t>"c"</w:t>
            </w:r>
            <w:r>
              <w:rPr>
                <w:rStyle w:val="Code"/>
              </w:rPr>
              <w:t xml:space="preserve"> </w:t>
            </w:r>
            <w:r>
              <w:rPr>
                <w:rStyle w:val="Codeattribute"/>
              </w:rPr>
              <w:t>met=</w:t>
            </w:r>
            <w:r>
              <w:rPr>
                <w:rStyle w:val="Codevalue"/>
              </w:rPr>
              <w:t>"upendravajrā"</w:t>
            </w:r>
            <w:r>
              <w:rPr>
                <w:rStyle w:val="Code"/>
              </w:rPr>
              <w:t>&gt;</w:t>
            </w:r>
            <w:r>
              <w:rPr>
                <w:rStyle w:val="Codetext"/>
              </w:rPr>
              <w:t>śriyan nidhāyorasi yasya viṣṇuḥ</w:t>
            </w:r>
            <w:r>
              <w:rPr>
                <w:rStyle w:val="Code"/>
              </w:rPr>
              <w:t>&lt;/l&gt;</w:t>
            </w:r>
          </w:p>
          <w:p w14:paraId="2583D8B1" w14:textId="77777777">
            <w:pPr>
              <w:pStyle w:val="CodeParagraph"/>
              <w:keepNext/>
            </w:pPr>
            <w:r>
              <w:rPr>
                <w:rStyle w:val="Code"/>
              </w:rPr>
              <w:t xml:space="preserve">  &lt;l </w:t>
            </w:r>
            <w:r>
              <w:rPr>
                <w:rStyle w:val="Codeattribute"/>
              </w:rPr>
              <w:t>n=</w:t>
            </w:r>
            <w:r>
              <w:rPr>
                <w:rStyle w:val="Codevalue"/>
              </w:rPr>
              <w:t>"d"</w:t>
            </w:r>
            <w:r>
              <w:rPr>
                <w:rStyle w:val="Code"/>
              </w:rPr>
              <w:t xml:space="preserve"> </w:t>
            </w:r>
            <w:r>
              <w:rPr>
                <w:rStyle w:val="Codeattribute"/>
              </w:rPr>
              <w:t>met=</w:t>
            </w:r>
            <w:r>
              <w:rPr>
                <w:rStyle w:val="Codevalue"/>
              </w:rPr>
              <w:t>"upendravajrā"</w:t>
            </w:r>
            <w:r>
              <w:rPr>
                <w:rStyle w:val="Code"/>
              </w:rPr>
              <w:t>&gt;</w:t>
            </w:r>
            <w:r>
              <w:rPr>
                <w:rStyle w:val="Codetext"/>
              </w:rPr>
              <w:t>sva-mūrttitāṁ svaṁ ca tapāṁsi tepe</w:t>
            </w:r>
            <w:r>
              <w:rPr>
                <w:rStyle w:val="Code"/>
              </w:rPr>
              <w:t>&lt;/l&gt;</w:t>
            </w:r>
            <w:r>
              <w:t xml:space="preserve"> </w:t>
            </w:r>
          </w:p>
          <w:p w14:paraId="4E1CBBE4" w14:textId="77777777">
            <w:pPr>
              <w:pStyle w:val="CodeParagraph"/>
              <w:keepNext/>
              <w:rPr>
                <w:rFonts w:ascii="Consolas" w:hAnsi="Consolas" w:cs="Consolas"/>
                <w:noProof/>
                <w:color w:val="002060"/>
                <w:shd w:val="clear" w:color="auto" w:fill="F2F2F2" w:themeFill="background1" w:themeFillShade="F2"/>
              </w:rPr>
            </w:pPr>
            <w:r>
              <w:rPr>
                <w:rStyle w:val="Code"/>
              </w:rPr>
              <w:t>&lt;/lg&gt;</w:t>
            </w:r>
          </w:p>
        </w:tc>
      </w:tr>
      <w:tr w14:paraId="347A15FA" w14:textId="77777777">
        <w:tc>
          <w:tcPr>
            <w:tcW w:w="5000" w:type="pct"/>
          </w:tcPr>
          <w:p w14:paraId="0736E45D" w14:textId="77777777">
            <w:pPr>
              <w:pStyle w:val="TableNote"/>
            </w:pPr>
            <w:r>
              <w:t xml:space="preserve">the first </w:t>
            </w:r>
            <w:r>
              <w:rPr>
                <w:rStyle w:val="Foreign"/>
              </w:rPr>
              <w:t>pāda</w:t>
            </w:r>
            <w:r>
              <w:t xml:space="preserve"> follows the </w:t>
            </w:r>
            <w:r>
              <w:rPr>
                <w:rStyle w:val="Foreign"/>
              </w:rPr>
              <w:t>vaṁśastha</w:t>
            </w:r>
            <w:r>
              <w:t xml:space="preserve"> template, while the rest of the lines conform to </w:t>
            </w:r>
            <w:r>
              <w:rPr>
                <w:rStyle w:val="Foreign"/>
              </w:rPr>
              <w:t>upendravajrā</w:t>
            </w:r>
          </w:p>
          <w:p w14:paraId="5FE377DC" w14:textId="77777777">
            <w:pPr>
              <w:pStyle w:val="TableNote"/>
            </w:pPr>
            <w:r>
              <w:t xml:space="preserve">the metre for the stanza is encoded as mixed, and </w:t>
            </w:r>
            <w:r>
              <w:rPr>
                <w:rStyle w:val="Codeattribute"/>
              </w:rPr>
              <w:t>@met</w:t>
            </w:r>
            <w:r>
              <w:t>, with a pattern name as its value, is added to each line</w:t>
            </w:r>
          </w:p>
        </w:tc>
      </w:tr>
    </w:tbl>
    <w:p w14:paraId="4AA9F69B" w14:textId="77777777">
      <w:pPr>
        <w:pStyle w:val="Cmsor3"/>
      </w:pPr>
      <w:bookmarkStart w:id="145" w:name="_Ref225325358"/>
      <w:bookmarkStart w:id="146" w:name="_Toc243900258"/>
      <w:bookmarkEnd w:id="143"/>
      <w:r>
        <w:t>Metrical complications</w:t>
      </w:r>
      <w:bookmarkEnd w:id="134"/>
      <w:bookmarkEnd w:id="135"/>
      <w:bookmarkEnd w:id="145"/>
      <w:bookmarkEnd w:id="146"/>
    </w:p>
    <w:p w14:paraId="75666987" w14:textId="77777777">
      <w:pPr>
        <w:pStyle w:val="Cmsor4"/>
      </w:pPr>
      <w:bookmarkStart w:id="147" w:name="_Ref224725166"/>
      <w:bookmarkStart w:id="148" w:name="_Ref224725159"/>
      <w:bookmarkStart w:id="149" w:name="_Ref43980303"/>
      <w:bookmarkEnd w:id="87"/>
      <w:bookmarkEnd w:id="88"/>
      <w:bookmarkEnd w:id="131"/>
      <w:r>
        <w:t>Legitimate metrical variation</w:t>
      </w:r>
      <w:bookmarkEnd w:id="147"/>
    </w:p>
    <w:p w14:paraId="74EB5C59" w14:textId="799BF16A">
      <w:pPr>
        <w:pStyle w:val="Lista"/>
      </w:pPr>
      <w:r>
        <w:t xml:space="preserve">when a line conforms to a legitimate variation on a basic stanza template, as in </w:t>
      </w:r>
      <w:r>
        <w:rPr>
          <w:rStyle w:val="Foreign"/>
        </w:rPr>
        <w:t>vipulā anuṣṭubh</w:t>
      </w:r>
      <w:r>
        <w:t xml:space="preserve"> (VG §2.2.1), it is optional but recommended that you encode this as in </w:t>
      </w:r>
      <w:r>
        <w:fldChar w:fldCharType="begin"/>
      </w:r>
      <w:r>
        <w:instrText xml:space="preserve"> REF _Ref181707200 \h </w:instrText>
      </w:r>
      <w:r>
        <w:fldChar w:fldCharType="separate"/>
      </w:r>
      <w:r>
        <w:t xml:space="preserve">Exhibit </w:t>
      </w:r>
      <w:r>
        <w:rPr>
          <w:noProof/>
        </w:rPr>
        <w:t>3.3</w:t>
      </w:r>
      <w:r>
        <w:t>.</w:t>
      </w:r>
      <w:r>
        <w:rPr>
          <w:noProof/>
        </w:rPr>
        <w:t>D</w:t>
      </w:r>
      <w:r>
        <w:fldChar w:fldCharType="end"/>
      </w:r>
      <w:r>
        <w:t>, namely:</w:t>
      </w:r>
    </w:p>
    <w:p w14:paraId="0442A95D" w14:textId="77777777">
      <w:pPr>
        <w:pStyle w:val="Lista2"/>
      </w:pPr>
      <w:r>
        <w:t xml:space="preserve">add </w:t>
      </w:r>
      <w:r>
        <w:rPr>
          <w:rStyle w:val="Codeattribute"/>
        </w:rPr>
        <w:t>@met</w:t>
      </w:r>
      <w:r>
        <w:t xml:space="preserve"> to the line concerned, for its value using the name of the </w:t>
      </w:r>
      <w:r>
        <w:rPr>
          <w:rStyle w:val="Foreign"/>
        </w:rPr>
        <w:t>vipulā</w:t>
      </w:r>
      <w:r>
        <w:t xml:space="preserve"> variant as listed in the authority file</w:t>
      </w:r>
    </w:p>
    <w:p w14:paraId="0C67FEF9" w14:textId="77777777">
      <w:pPr>
        <w:pStyle w:val="Lista2"/>
      </w:pPr>
      <w:r>
        <w:t xml:space="preserve">preferably also add </w:t>
      </w:r>
      <w:r>
        <w:rPr>
          <w:rStyle w:val="Codeattribute"/>
        </w:rPr>
        <w:t>@real</w:t>
      </w:r>
      <w:r>
        <w:t xml:space="preserve"> to the </w:t>
      </w:r>
      <w:r>
        <w:rPr>
          <w:rStyle w:val="Code"/>
        </w:rPr>
        <w:t>&lt;l&gt;</w:t>
      </w:r>
      <w:r>
        <w:t xml:space="preserve"> element concerned to record the accurate prosodic realisation of each syllable of the line</w:t>
      </w:r>
    </w:p>
    <w:p w14:paraId="0CAD540D" w14:textId="77777777">
      <w:pPr>
        <w:pStyle w:val="Lista2"/>
      </w:pPr>
      <w:r>
        <w:t xml:space="preserve">further illustrations of </w:t>
      </w:r>
      <w:r>
        <w:rPr>
          <w:rStyle w:val="Foreign"/>
        </w:rPr>
        <w:t>vipulā anuṣṭubh</w:t>
      </w:r>
      <w:r>
        <w:t xml:space="preserve"> (with other complications) are found in </w:t>
      </w:r>
      <w:r>
        <w:fldChar w:fldCharType="begin"/>
      </w:r>
      <w:r>
        <w:instrText xml:space="preserve"> REF _Ref181628185 \h </w:instrText>
      </w:r>
      <w:r>
        <w:fldChar w:fldCharType="separate"/>
      </w:r>
      <w:r>
        <w:t xml:space="preserve">Exhibit </w:t>
      </w:r>
      <w:r>
        <w:rPr>
          <w:noProof/>
        </w:rPr>
        <w:t>3.2</w:t>
      </w:r>
      <w:r>
        <w:t>.</w:t>
      </w:r>
      <w:r>
        <w:rPr>
          <w:noProof/>
        </w:rPr>
        <w:t>J</w:t>
      </w:r>
      <w:r>
        <w:fldChar w:fldCharType="end"/>
      </w:r>
      <w:r>
        <w:t xml:space="preserve"> and </w:t>
      </w:r>
      <w:r>
        <w:rPr>
          <w:lang w:eastAsia="en-US" w:bidi="ar-SA"/>
        </w:rPr>
        <w:fldChar w:fldCharType="begin"/>
      </w:r>
      <w:r>
        <w:rPr>
          <w:lang w:eastAsia="en-US" w:bidi="ar-SA"/>
        </w:rPr>
        <w:instrText xml:space="preserve"> REF _Ref181627544 \h </w:instrText>
      </w:r>
      <w:r>
        <w:rPr>
          <w:lang w:eastAsia="en-US" w:bidi="ar-SA"/>
        </w:rPr>
      </w:r>
      <w:r>
        <w:rPr>
          <w:lang w:eastAsia="en-US" w:bidi="ar-SA"/>
        </w:rPr>
        <w:fldChar w:fldCharType="separate"/>
      </w:r>
      <w:r>
        <w:t xml:space="preserve">Exhibit </w:t>
      </w:r>
      <w:r>
        <w:rPr>
          <w:noProof/>
        </w:rPr>
        <w:t>3.2</w:t>
      </w:r>
      <w:r>
        <w:t>.</w:t>
      </w:r>
      <w:r>
        <w:rPr>
          <w:noProof/>
        </w:rPr>
        <w:t>M</w:t>
      </w:r>
      <w:r>
        <w:rPr>
          <w:lang w:eastAsia="en-US" w:bidi="ar-SA"/>
        </w:rPr>
        <w:fldChar w:fldCharType="end"/>
      </w:r>
    </w:p>
    <w:p w14:paraId="707E3609" w14:textId="5891B414">
      <w:pPr>
        <w:pStyle w:val="Lista2"/>
      </w:pPr>
      <w:bookmarkStart w:id="150" w:name="_Ref181610917"/>
      <w:r>
        <w:t xml:space="preserve">note that the </w:t>
      </w:r>
      <w:r>
        <w:rPr>
          <w:rStyle w:val="Foreign"/>
        </w:rPr>
        <w:t>vipulā āryā</w:t>
      </w:r>
      <w:r>
        <w:t xml:space="preserve"> (VG §2.3.1) is not recognised as a distinct metre in our authority file, but may be optionally encoded with an unobserved caesura as per §</w:t>
      </w:r>
      <w:r>
        <w:fldChar w:fldCharType="begin"/>
      </w:r>
      <w:r>
        <w:instrText xml:space="preserve"> REF _Ref224730076 \r \h </w:instrText>
      </w:r>
      <w:r>
        <w:fldChar w:fldCharType="separate"/>
      </w:r>
      <w:r>
        <w:t>3.3.4.3</w:t>
      </w:r>
      <w:r>
        <w:fldChar w:fldCharType="end"/>
      </w:r>
      <w:r>
        <w:t xml:space="preserve"> and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p>
    <w:p w14:paraId="34EBE3C4" w14:textId="56866DC7">
      <w:pPr>
        <w:pStyle w:val="Lista"/>
      </w:pPr>
      <w:r>
        <w:t>when the stanza template is only loosely constrained, as in pre-classical trimeter (VG §2.2.3)</w:t>
      </w:r>
    </w:p>
    <w:p w14:paraId="588DB0A4" w14:textId="77777777">
      <w:pPr>
        <w:pStyle w:val="Lista2"/>
      </w:pPr>
      <w:r>
        <w:t xml:space="preserve">optionally add </w:t>
      </w:r>
      <w:r>
        <w:rPr>
          <w:rStyle w:val="Codeattribute"/>
        </w:rPr>
        <w:t>@real</w:t>
      </w:r>
      <w:r>
        <w:t xml:space="preserve"> to all </w:t>
      </w:r>
      <w:r>
        <w:rPr>
          <w:rStyle w:val="Code"/>
        </w:rPr>
        <w:t>&lt;l&gt;</w:t>
      </w:r>
      <w:r>
        <w:t xml:space="preserve"> elements to record the accurate prosodic realisation</w:t>
      </w:r>
    </w:p>
    <w:p w14:paraId="4EBE66A2" w14:textId="1F8CCC67">
      <w:pPr>
        <w:pStyle w:val="Lista"/>
      </w:pPr>
      <w:r>
        <w:t xml:space="preserve">conformance to a recognised constraint on a lenient stanza template, as in </w:t>
      </w:r>
      <w:r>
        <w:rPr>
          <w:rStyle w:val="Foreign"/>
        </w:rPr>
        <w:t>capalā āryā</w:t>
      </w:r>
      <w:r>
        <w:t xml:space="preserve"> (VG §2.3.1) may be optionally marked up as follows</w:t>
      </w:r>
    </w:p>
    <w:p w14:paraId="797433A2" w14:textId="77777777">
      <w:pPr>
        <w:pStyle w:val="Lista2"/>
      </w:pPr>
      <w:r>
        <w:t xml:space="preserve">add </w:t>
      </w:r>
      <w:r>
        <w:rPr>
          <w:rStyle w:val="Codeattribute"/>
        </w:rPr>
        <w:t>@real</w:t>
      </w:r>
      <w:r>
        <w:t xml:space="preserve"> to the </w:t>
      </w:r>
      <w:r>
        <w:rPr>
          <w:rStyle w:val="Code"/>
        </w:rPr>
        <w:t>&lt;l&gt;</w:t>
      </w:r>
      <w:r>
        <w:t xml:space="preserve"> element concerned to describe its prosodic realisation accurately</w:t>
      </w:r>
    </w:p>
    <w:p w14:paraId="79EDC56F" w14:textId="77777777">
      <w:pPr>
        <w:pStyle w:val="Lista2"/>
      </w:pPr>
      <w:r>
        <w:t xml:space="preserve">because recognising </w:t>
      </w:r>
      <w:r>
        <w:rPr>
          <w:rStyle w:val="Foreign"/>
        </w:rPr>
        <w:t>capalā āryā</w:t>
      </w:r>
      <w:r>
        <w:t xml:space="preserve"> forms requires practice most of us lack, we have chosen not to distinguish them in our authority file, so </w:t>
      </w:r>
      <w:r>
        <w:rPr>
          <w:rStyle w:val="Codeattribute"/>
        </w:rPr>
        <w:t>@met</w:t>
      </w:r>
      <w:r>
        <w:t xml:space="preserve"> shall not be used on </w:t>
      </w:r>
      <w:r>
        <w:rPr>
          <w:rStyle w:val="Foreign"/>
        </w:rPr>
        <w:t>capalā</w:t>
      </w:r>
      <w:r>
        <w:t xml:space="preserve"> lines</w:t>
      </w:r>
    </w:p>
    <w:tbl>
      <w:tblPr>
        <w:tblStyle w:val="CodeSampleTable"/>
        <w:tblW w:w="5000" w:type="pct"/>
        <w:tblLook w:val="04A0" w:firstRow="1" w:lastRow="0" w:firstColumn="1" w:lastColumn="0" w:noHBand="0" w:noVBand="1"/>
      </w:tblPr>
      <w:tblGrid>
        <w:gridCol w:w="9628"/>
      </w:tblGrid>
      <w:tr w14:paraId="1B7C1A8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1BC2FA2" w14:textId="77777777">
            <w:pPr>
              <w:pStyle w:val="Kpalrs"/>
            </w:pPr>
            <w:bookmarkStart w:id="151" w:name="_Ref181707200"/>
            <w:r>
              <w:lastRenderedPageBreak/>
              <w:t xml:space="preserve">Exhibit </w:t>
            </w:r>
            <w:fldSimple w:instr=" STYLEREF 2 \s ">
              <w:r>
                <w:rPr>
                  <w:noProof/>
                </w:rPr>
                <w:t>3.3</w:t>
              </w:r>
            </w:fldSimple>
            <w:r>
              <w:t>.</w:t>
            </w:r>
            <w:fldSimple w:instr=" SEQ Exhibit \* ALPHABETIC \s 2 ">
              <w:r>
                <w:rPr>
                  <w:noProof/>
                </w:rPr>
                <w:t>D</w:t>
              </w:r>
            </w:fldSimple>
            <w:bookmarkEnd w:id="151"/>
            <w:r>
              <w:t xml:space="preserve">: </w:t>
            </w:r>
            <w:r>
              <w:rPr>
                <w:rStyle w:val="Foreign"/>
              </w:rPr>
              <w:t>vipulā anuṣṭubh</w:t>
            </w:r>
          </w:p>
        </w:tc>
      </w:tr>
      <w:tr w14:paraId="6626D495" w14:textId="77777777">
        <w:tc>
          <w:tcPr>
            <w:tcW w:w="5000" w:type="pct"/>
          </w:tcPr>
          <w:p w14:paraId="03120A6E" w14:textId="77777777">
            <w:pPr>
              <w:pStyle w:val="CodeParagraph"/>
            </w:pPr>
            <w:r>
              <w:rPr>
                <w:rStyle w:val="Code"/>
              </w:rPr>
              <w:t xml:space="preserve">&lt;lg </w:t>
            </w:r>
            <w:r>
              <w:rPr>
                <w:rStyle w:val="Codeattribute"/>
              </w:rPr>
              <w:t>n</w:t>
            </w:r>
            <w:r>
              <w:rPr>
                <w:rStyle w:val="Code"/>
              </w:rPr>
              <w:t>=</w:t>
            </w:r>
            <w:r>
              <w:rPr>
                <w:rStyle w:val="Codevalue"/>
              </w:rPr>
              <w:t>"9"</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 xml:space="preserve">"a" </w:t>
            </w:r>
            <w:r>
              <w:rPr>
                <w:rStyle w:val="Codeattribute"/>
              </w:rPr>
              <w:t>met</w:t>
            </w:r>
            <w:r>
              <w:rPr>
                <w:rStyle w:val="Code"/>
              </w:rPr>
              <w:t>=</w:t>
            </w:r>
            <w:r>
              <w:rPr>
                <w:rStyle w:val="Codevalue"/>
              </w:rPr>
              <w:t>"na-vipulā"</w:t>
            </w:r>
            <w:r>
              <w:rPr>
                <w:rStyle w:val="Code"/>
              </w:rPr>
              <w:t xml:space="preserve"> </w:t>
            </w:r>
            <w:r>
              <w:rPr>
                <w:rStyle w:val="Codeattribute"/>
              </w:rPr>
              <w:t>real</w:t>
            </w:r>
            <w:r>
              <w:rPr>
                <w:rStyle w:val="Code"/>
              </w:rPr>
              <w:t>=</w:t>
            </w:r>
            <w:r>
              <w:rPr>
                <w:rStyle w:val="Codevalue"/>
              </w:rPr>
              <w:t>"+-++---+"</w:t>
            </w:r>
            <w:r>
              <w:rPr>
                <w:rStyle w:val="Code"/>
              </w:rPr>
              <w:t>&gt;</w:t>
            </w:r>
            <w:r>
              <w:rPr>
                <w:rStyle w:val="Codetext"/>
              </w:rPr>
              <w:t>śaurya-satya-vrata-dharo</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yaḥ prayāga-gato dhanī</w:t>
            </w:r>
            <w:r>
              <w:rPr>
                <w:rStyle w:val="Code"/>
              </w:rPr>
              <w:t>&lt;/l&gt;</w:t>
            </w:r>
            <w:r>
              <w:rPr>
                <w:rStyle w:val="Codetext"/>
              </w:rPr>
              <w:br/>
              <w:t xml:space="preserve">  ...</w:t>
            </w:r>
            <w:r>
              <w:rPr>
                <w:rStyle w:val="Codetext"/>
              </w:rPr>
              <w:br/>
            </w:r>
            <w:r>
              <w:rPr>
                <w:rStyle w:val="Code"/>
              </w:rPr>
              <w:t>&lt;/lg&gt;</w:t>
            </w:r>
          </w:p>
        </w:tc>
      </w:tr>
    </w:tbl>
    <w:p w14:paraId="7AB641ED" w14:textId="77777777">
      <w:pPr>
        <w:pStyle w:val="Cmsor4"/>
      </w:pPr>
      <w:bookmarkStart w:id="152" w:name="_Ref224726481"/>
      <w:bookmarkStart w:id="153" w:name="_Ref224726906"/>
      <w:bookmarkEnd w:id="150"/>
      <w:r>
        <w:t>Deviant verse lines</w:t>
      </w:r>
      <w:bookmarkEnd w:id="148"/>
      <w:bookmarkEnd w:id="152"/>
      <w:bookmarkEnd w:id="153"/>
    </w:p>
    <w:p w14:paraId="3D0C2439" w14:textId="77777777">
      <w:pPr>
        <w:pStyle w:val="Lista"/>
      </w:pPr>
      <w:r>
        <w:t xml:space="preserve">when a line deviates idiosyncratically from the metre of the rest of the stanza without conforming to a different recognised metre, it is optional but recommended that you add </w:t>
      </w:r>
      <w:r>
        <w:rPr>
          <w:rStyle w:val="Codeattribute"/>
        </w:rPr>
        <w:t>@real</w:t>
      </w:r>
      <w:r>
        <w:t xml:space="preserve"> to the line with unexpected metre</w:t>
      </w:r>
    </w:p>
    <w:p w14:paraId="15D673C1" w14:textId="77777777">
      <w:pPr>
        <w:pStyle w:val="Lista2"/>
      </w:pPr>
      <w:r>
        <w:t>this encoding is applicable regardless of whether the deviation is deemed to be a deliberate poetic device or a compositional mistake, including the following cases:</w:t>
      </w:r>
    </w:p>
    <w:p w14:paraId="5F236CCE" w14:textId="77777777">
      <w:pPr>
        <w:pStyle w:val="Lista3"/>
      </w:pPr>
      <w:r>
        <w:t xml:space="preserve">lines with anomalous metre, including hypermetrical and hypometrical lines, as in </w:t>
      </w:r>
      <w:r>
        <w:fldChar w:fldCharType="begin"/>
      </w:r>
      <w:r>
        <w:instrText xml:space="preserve"> REF _Ref44077220 \h </w:instrText>
      </w:r>
      <w:r>
        <w:fldChar w:fldCharType="separate"/>
      </w:r>
      <w:r>
        <w:t xml:space="preserve">Exhibit </w:t>
      </w:r>
      <w:r>
        <w:rPr>
          <w:noProof/>
        </w:rPr>
        <w:t>3.3</w:t>
      </w:r>
      <w:r>
        <w:t>.</w:t>
      </w:r>
      <w:r>
        <w:rPr>
          <w:noProof/>
        </w:rPr>
        <w:t>E</w:t>
      </w:r>
      <w:r>
        <w:fldChar w:fldCharType="end"/>
      </w:r>
    </w:p>
    <w:p w14:paraId="6D1215CA" w14:textId="77777777">
      <w:pPr>
        <w:pStyle w:val="Lista3"/>
      </w:pPr>
      <w:r>
        <w:t xml:space="preserve">presumable poetic licence, such as treating a short vowel followed by a stop and a semivowel as a short syllable </w:t>
      </w:r>
      <w:r>
        <w:rPr>
          <w:noProof/>
        </w:rPr>
        <w:t>(</w:t>
      </w:r>
      <w:r>
        <w:rPr>
          <w:rStyle w:val="Foreign"/>
        </w:rPr>
        <w:t>muta cum liquida</w:t>
      </w:r>
      <w:r>
        <w:t xml:space="preserve"> in classical European prosody), as in </w:t>
      </w:r>
      <w:r>
        <w:fldChar w:fldCharType="begin"/>
      </w:r>
      <w:r>
        <w:instrText xml:space="preserve"> REF _Ref44077213 \h </w:instrText>
      </w:r>
      <w:r>
        <w:fldChar w:fldCharType="separate"/>
      </w:r>
      <w:r>
        <w:t xml:space="preserve">Exhibit </w:t>
      </w:r>
      <w:r>
        <w:rPr>
          <w:noProof/>
        </w:rPr>
        <w:t>3.3</w:t>
      </w:r>
      <w:r>
        <w:t>.</w:t>
      </w:r>
      <w:r>
        <w:rPr>
          <w:noProof/>
        </w:rPr>
        <w:t>F</w:t>
      </w:r>
      <w:r>
        <w:fldChar w:fldCharType="end"/>
      </w:r>
    </w:p>
    <w:p w14:paraId="69DAE95B" w14:textId="77777777">
      <w:pPr>
        <w:pStyle w:val="Lista2"/>
      </w:pPr>
      <w:r>
        <w:t>however, if the anomaly results from scribal error which you as editor correct and thereby restore the metre to what the composer had presumably intended, this does not count as a deviant line (§</w:t>
      </w:r>
      <w:r>
        <w:fldChar w:fldCharType="begin"/>
      </w:r>
      <w:r>
        <w:instrText xml:space="preserve"> REF _Ref225323861 \r \h </w:instrText>
      </w:r>
      <w:r>
        <w:fldChar w:fldCharType="separate"/>
      </w:r>
      <w:r>
        <w:t>3.3.1</w:t>
      </w:r>
      <w:r>
        <w:fldChar w:fldCharType="end"/>
      </w:r>
      <w:r>
        <w:t>)</w:t>
      </w:r>
    </w:p>
    <w:tbl>
      <w:tblPr>
        <w:tblStyle w:val="CodeSampleTable"/>
        <w:tblW w:w="5000" w:type="pct"/>
        <w:tblLook w:val="04A0" w:firstRow="1" w:lastRow="0" w:firstColumn="1" w:lastColumn="0" w:noHBand="0" w:noVBand="1"/>
      </w:tblPr>
      <w:tblGrid>
        <w:gridCol w:w="9628"/>
      </w:tblGrid>
      <w:tr w14:paraId="7707A49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E373562" w14:textId="77777777">
            <w:pPr>
              <w:pStyle w:val="Kpalrs"/>
            </w:pPr>
            <w:bookmarkStart w:id="154" w:name="_Ref44077220"/>
            <w:r>
              <w:t xml:space="preserve">Exhibit </w:t>
            </w:r>
            <w:fldSimple w:instr=" STYLEREF 2 \s ">
              <w:r>
                <w:rPr>
                  <w:noProof/>
                </w:rPr>
                <w:t>3.3</w:t>
              </w:r>
            </w:fldSimple>
            <w:r>
              <w:t>.</w:t>
            </w:r>
            <w:fldSimple w:instr=" SEQ Exhibit \* ALPHABETIC \s 2 ">
              <w:r>
                <w:rPr>
                  <w:noProof/>
                </w:rPr>
                <w:t>E</w:t>
              </w:r>
            </w:fldSimple>
            <w:bookmarkEnd w:id="154"/>
            <w:r>
              <w:t>: anomalous metre</w:t>
            </w:r>
          </w:p>
        </w:tc>
      </w:tr>
      <w:tr w14:paraId="41D009E3" w14:textId="77777777">
        <w:tc>
          <w:tcPr>
            <w:tcW w:w="5000" w:type="pct"/>
          </w:tcPr>
          <w:p w14:paraId="7B428407"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 xml:space="preserve"> </w:t>
            </w:r>
            <w:r>
              <w:rPr>
                <w:rStyle w:val="Codeattribute"/>
              </w:rPr>
              <w:t>real</w:t>
            </w:r>
            <w:r>
              <w:rPr>
                <w:rStyle w:val="Code"/>
              </w:rPr>
              <w:t>=</w:t>
            </w:r>
            <w:r>
              <w:rPr>
                <w:rStyle w:val="Codevalue"/>
              </w:rPr>
              <w:t>"----+-+-+--+--------+++"</w:t>
            </w:r>
            <w:r>
              <w:rPr>
                <w:rStyle w:val="Code"/>
              </w:rPr>
              <w:t>&gt;</w:t>
            </w:r>
            <w:r>
              <w:rPr>
                <w:rStyle w:val="Codetext"/>
              </w:rPr>
              <w:t>jayati vibhuś catur-bhujaś catur-arṇṇava-vipula-salila-paryyaṅkaḥ</w:t>
            </w:r>
            <w:r>
              <w:rPr>
                <w:rStyle w:val="Code"/>
              </w:rPr>
              <w:t>&lt;/l&gt;</w:t>
            </w:r>
            <w:r>
              <w:rPr>
                <w:rStyle w:val="Codetext"/>
              </w:rPr>
              <w:br/>
              <w:t xml:space="preserve">  ...</w:t>
            </w:r>
            <w:r>
              <w:rPr>
                <w:rStyle w:val="Codetext"/>
              </w:rPr>
              <w:br/>
            </w:r>
            <w:r>
              <w:rPr>
                <w:rStyle w:val="Code"/>
              </w:rPr>
              <w:t>&lt;/lg&gt;</w:t>
            </w:r>
          </w:p>
        </w:tc>
      </w:tr>
      <w:tr w14:paraId="16C4B6DB" w14:textId="77777777">
        <w:tc>
          <w:tcPr>
            <w:tcW w:w="5000" w:type="pct"/>
          </w:tcPr>
          <w:p w14:paraId="6518215B" w14:textId="77777777">
            <w:pPr>
              <w:pStyle w:val="TableNote"/>
            </w:pPr>
            <w:r>
              <w:t xml:space="preserve">there is syncopation from the second to the third foot: the foot boundary ought to be halfway through the long syllable </w:t>
            </w:r>
            <w:r>
              <w:rPr>
                <w:rStyle w:val="Foreign"/>
              </w:rPr>
              <w:t>tu</w:t>
            </w:r>
          </w:p>
          <w:p w14:paraId="69C47C5E" w14:textId="77777777">
            <w:pPr>
              <w:pStyle w:val="TableNote"/>
            </w:pPr>
            <w:r>
              <w:t xml:space="preserve">mentally, the author’s pronunciation may have been </w:t>
            </w:r>
            <w:r>
              <w:rPr>
                <w:rStyle w:val="Foreign"/>
              </w:rPr>
              <w:t>caturabhujaś</w:t>
            </w:r>
            <w:r>
              <w:t xml:space="preserve">, which would scan correctly: should be </w:t>
            </w:r>
            <w:r>
              <w:rPr>
                <w:rStyle w:val="Foreign"/>
              </w:rPr>
              <w:t>jayati vi|bhuś catu|ra-bhujaś…</w:t>
            </w:r>
          </w:p>
          <w:p w14:paraId="31E419F6" w14:textId="77777777">
            <w:pPr>
              <w:pStyle w:val="TableNote"/>
            </w:pPr>
            <w:r>
              <w:t xml:space="preserve">deviation from the expected pattern has been recorded in </w:t>
            </w:r>
            <w:r>
              <w:rPr>
                <w:rStyle w:val="Codeattribute"/>
              </w:rPr>
              <w:t>@real</w:t>
            </w:r>
          </w:p>
        </w:tc>
      </w:tr>
    </w:tbl>
    <w:p w14:paraId="13A7A3C9" w14:textId="77777777"/>
    <w:tbl>
      <w:tblPr>
        <w:tblStyle w:val="CodeSampleTable"/>
        <w:tblW w:w="5000" w:type="pct"/>
        <w:tblLook w:val="04A0" w:firstRow="1" w:lastRow="0" w:firstColumn="1" w:lastColumn="0" w:noHBand="0" w:noVBand="1"/>
      </w:tblPr>
      <w:tblGrid>
        <w:gridCol w:w="9628"/>
      </w:tblGrid>
      <w:tr w14:paraId="274856D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14320A6" w14:textId="77777777">
            <w:pPr>
              <w:pStyle w:val="Kpalrs"/>
            </w:pPr>
            <w:bookmarkStart w:id="155" w:name="_Ref44077213"/>
            <w:bookmarkStart w:id="156" w:name="_Ref44077183"/>
            <w:r>
              <w:t xml:space="preserve">Exhibit </w:t>
            </w:r>
            <w:fldSimple w:instr=" STYLEREF 2 \s ">
              <w:r>
                <w:rPr>
                  <w:noProof/>
                </w:rPr>
                <w:t>3.3</w:t>
              </w:r>
            </w:fldSimple>
            <w:r>
              <w:t>.</w:t>
            </w:r>
            <w:fldSimple w:instr=" SEQ Exhibit \* ALPHABETIC \s 2 ">
              <w:r>
                <w:rPr>
                  <w:noProof/>
                </w:rPr>
                <w:t>F</w:t>
              </w:r>
            </w:fldSimple>
            <w:bookmarkEnd w:id="155"/>
            <w:r>
              <w:t xml:space="preserve">: </w:t>
            </w:r>
            <w:r>
              <w:rPr>
                <w:rStyle w:val="Foreign"/>
              </w:rPr>
              <w:t>muta cum liquida</w:t>
            </w:r>
            <w:r>
              <w:t xml:space="preserve"> licence</w:t>
            </w:r>
            <w:bookmarkEnd w:id="156"/>
          </w:p>
        </w:tc>
      </w:tr>
      <w:tr w14:paraId="1EB171BD" w14:textId="77777777">
        <w:tc>
          <w:tcPr>
            <w:tcW w:w="5000" w:type="pct"/>
          </w:tcPr>
          <w:p w14:paraId="1D3894CE" w14:textId="77777777">
            <w:pPr>
              <w:pStyle w:val="CodeParagraph"/>
              <w:keepNext/>
            </w:pPr>
            <w:r>
              <w:rPr>
                <w:rStyle w:val="Code"/>
              </w:rPr>
              <w:t xml:space="preserve">&lt;lg </w:t>
            </w:r>
            <w:r>
              <w:rPr>
                <w:rStyle w:val="Codeattribute"/>
              </w:rPr>
              <w:t>n</w:t>
            </w:r>
            <w:r>
              <w:rPr>
                <w:rStyle w:val="Code"/>
              </w:rPr>
              <w:t>=</w:t>
            </w:r>
            <w:r>
              <w:rPr>
                <w:rStyle w:val="Codevalue"/>
              </w:rPr>
              <w:t>"12"</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t xml:space="preserve">  ...</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 </w:t>
            </w:r>
            <w:r>
              <w:rPr>
                <w:rStyle w:val="Codeattribute"/>
              </w:rPr>
              <w:t>real</w:t>
            </w:r>
            <w:r>
              <w:rPr>
                <w:rStyle w:val="Code"/>
              </w:rPr>
              <w:t>=</w:t>
            </w:r>
            <w:r>
              <w:rPr>
                <w:rStyle w:val="Codevalue"/>
              </w:rPr>
              <w:t>"+-+++++-"</w:t>
            </w:r>
            <w:r>
              <w:rPr>
                <w:rStyle w:val="Code"/>
              </w:rPr>
              <w:t>&gt;</w:t>
            </w:r>
            <w:r>
              <w:rPr>
                <w:rStyle w:val="Codetext"/>
              </w:rPr>
              <w:t>yasya vittaṁ ca prāṇāś ca</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deva-brāhmaṇasād gatāḥ</w:t>
            </w:r>
            <w:r>
              <w:rPr>
                <w:rStyle w:val="Code"/>
              </w:rPr>
              <w:t>&lt;/l&gt;</w:t>
            </w:r>
            <w:r>
              <w:rPr>
                <w:rStyle w:val="Codetext"/>
              </w:rPr>
              <w:br/>
            </w:r>
            <w:r>
              <w:rPr>
                <w:rStyle w:val="Code"/>
              </w:rPr>
              <w:t>&lt;/lg&gt;</w:t>
            </w:r>
          </w:p>
        </w:tc>
      </w:tr>
      <w:tr w14:paraId="161D1561" w14:textId="77777777">
        <w:tc>
          <w:tcPr>
            <w:tcW w:w="5000" w:type="pct"/>
          </w:tcPr>
          <w:p w14:paraId="18651D67" w14:textId="77777777">
            <w:pPr>
              <w:pStyle w:val="TableNote"/>
            </w:pPr>
            <w:r>
              <w:t xml:space="preserve">the first </w:t>
            </w:r>
            <w:r>
              <w:rPr>
                <w:i/>
                <w:iCs/>
              </w:rPr>
              <w:t>ca</w:t>
            </w:r>
            <w:r>
              <w:t xml:space="preserve"> in </w:t>
            </w:r>
            <w:r>
              <w:rPr>
                <w:rStyle w:val="Foreign"/>
              </w:rPr>
              <w:t>pāda</w:t>
            </w:r>
            <w:r>
              <w:t xml:space="preserve"> </w:t>
            </w:r>
            <w:r>
              <w:rPr>
                <w:rStyle w:val="Foreign"/>
              </w:rPr>
              <w:t>c</w:t>
            </w:r>
            <w:r>
              <w:t xml:space="preserve"> is expected to be a short syllable, but by regular prosodic rules it is positionally long</w:t>
            </w:r>
          </w:p>
          <w:p w14:paraId="7A25C5AA" w14:textId="77777777">
            <w:pPr>
              <w:pStyle w:val="TableNote"/>
            </w:pPr>
            <w:r>
              <w:t xml:space="preserve">deviation from the expected pattern has been recorded in </w:t>
            </w:r>
            <w:r>
              <w:rPr>
                <w:rStyle w:val="Codeattribute"/>
              </w:rPr>
              <w:t>@real</w:t>
            </w:r>
          </w:p>
        </w:tc>
      </w:tr>
    </w:tbl>
    <w:p w14:paraId="74C9DF36" w14:textId="77777777">
      <w:pPr>
        <w:pStyle w:val="Cmsor4"/>
      </w:pPr>
      <w:bookmarkStart w:id="157" w:name="_Ref224729838"/>
      <w:bookmarkStart w:id="158" w:name="_Ref224730076"/>
      <w:r>
        <w:t>Failure to observe the caesura</w:t>
      </w:r>
      <w:bookmarkEnd w:id="157"/>
      <w:bookmarkEnd w:id="158"/>
    </w:p>
    <w:p w14:paraId="7F850490" w14:textId="77777777">
      <w:r>
        <w:t xml:space="preserve">Caesuras </w:t>
      </w:r>
      <w:r>
        <w:rPr>
          <w:noProof/>
        </w:rPr>
        <w:t>(</w:t>
      </w:r>
      <w:r>
        <w:rPr>
          <w:rStyle w:val="Foreign"/>
        </w:rPr>
        <w:t>yati</w:t>
      </w:r>
      <w:r>
        <w:t>) shall not be marked up in quantitative verse.</w:t>
      </w:r>
      <w:r>
        <w:rPr>
          <w:rStyle w:val="Lbjegyzet-hivatkozs"/>
        </w:rPr>
        <w:footnoteReference w:id="12"/>
      </w:r>
      <w:r>
        <w:t xml:space="preserve"> However, if you notice a caesura that was disregarded by the composer or involves sandhi that blurs its location, you may optionally encode this as follows:</w:t>
      </w:r>
    </w:p>
    <w:p w14:paraId="2D0D0286" w14:textId="77777777">
      <w:pPr>
        <w:pStyle w:val="Lista"/>
        <w:rPr>
          <w:rStyle w:val="Code"/>
          <w:rFonts w:ascii="Gentium Plus" w:hAnsi="Gentium Plus" w:cs="Arial Unicode MS"/>
          <w:noProof w:val="0"/>
          <w:color w:val="auto"/>
          <w:shd w:val="clear" w:color="auto" w:fill="auto"/>
        </w:rPr>
      </w:pP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p>
    <w:p w14:paraId="4CD77922" w14:textId="038B7EF1">
      <w:pPr>
        <w:pStyle w:val="Lista"/>
      </w:pPr>
      <w:r>
        <w:t xml:space="preserve">illustrated in </w:t>
      </w:r>
      <w:r>
        <w:fldChar w:fldCharType="begin"/>
      </w:r>
      <w:r>
        <w:instrText xml:space="preserve"> REF _Ref44077259 \h </w:instrText>
      </w:r>
      <w:r>
        <w:fldChar w:fldCharType="separate"/>
      </w:r>
      <w:r>
        <w:t xml:space="preserve">Exhibit </w:t>
      </w:r>
      <w:r>
        <w:rPr>
          <w:noProof/>
        </w:rPr>
        <w:t>3.3</w:t>
      </w:r>
      <w:r>
        <w:t>.</w:t>
      </w:r>
      <w:r>
        <w:rPr>
          <w:noProof/>
        </w:rPr>
        <w:t>G</w:t>
      </w:r>
      <w:r>
        <w:fldChar w:fldCharType="end"/>
      </w:r>
      <w:r>
        <w:t xml:space="preserve"> and </w:t>
      </w:r>
      <w:r>
        <w:fldChar w:fldCharType="begin"/>
      </w:r>
      <w:r>
        <w:instrText xml:space="preserve"> REF _Ref44077336 \h </w:instrText>
      </w:r>
      <w:r>
        <w:fldChar w:fldCharType="separate"/>
      </w:r>
      <w:r>
        <w:t xml:space="preserve">Exhibit </w:t>
      </w:r>
      <w:r>
        <w:rPr>
          <w:noProof/>
        </w:rPr>
        <w:t>3.3</w:t>
      </w:r>
      <w:r>
        <w:t>.</w:t>
      </w:r>
      <w:r>
        <w:rPr>
          <w:noProof/>
        </w:rPr>
        <w:t>H</w:t>
      </w:r>
      <w:r>
        <w:fldChar w:fldCharType="end"/>
      </w:r>
      <w:bookmarkStart w:id="159" w:name="_l3elgprsa6k8" w:colFirst="0" w:colLast="0"/>
      <w:bookmarkEnd w:id="149"/>
      <w:bookmarkEnd w:id="159"/>
    </w:p>
    <w:tbl>
      <w:tblPr>
        <w:tblStyle w:val="CodeSampleTable"/>
        <w:tblW w:w="5000" w:type="pct"/>
        <w:tblLook w:val="04A0" w:firstRow="1" w:lastRow="0" w:firstColumn="1" w:lastColumn="0" w:noHBand="0" w:noVBand="1"/>
      </w:tblPr>
      <w:tblGrid>
        <w:gridCol w:w="9628"/>
      </w:tblGrid>
      <w:tr w14:paraId="49EE612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14EDFDA" w14:textId="77777777">
            <w:pPr>
              <w:pStyle w:val="Kpalrs"/>
            </w:pPr>
            <w:bookmarkStart w:id="160" w:name="_Ref44077259"/>
            <w:r>
              <w:lastRenderedPageBreak/>
              <w:t xml:space="preserve">Exhibit </w:t>
            </w:r>
            <w:fldSimple w:instr=" STYLEREF 2 \s ">
              <w:r>
                <w:rPr>
                  <w:noProof/>
                </w:rPr>
                <w:t>3.3</w:t>
              </w:r>
            </w:fldSimple>
            <w:r>
              <w:t>.</w:t>
            </w:r>
            <w:fldSimple w:instr=" SEQ Exhibit \* ALPHABETIC \s 2 ">
              <w:r>
                <w:rPr>
                  <w:noProof/>
                </w:rPr>
                <w:t>G</w:t>
              </w:r>
            </w:fldSimple>
            <w:bookmarkEnd w:id="160"/>
            <w:r>
              <w:t xml:space="preserve">: moraic verse </w:t>
            </w:r>
            <w:r>
              <w:rPr>
                <w:noProof/>
              </w:rPr>
              <w:t>(</w:t>
            </w:r>
            <w:r>
              <w:rPr>
                <w:rStyle w:val="Foreign"/>
              </w:rPr>
              <w:t>vipulā āryā</w:t>
            </w:r>
            <w:r>
              <w:t>) with unobserved caesura and enjambement</w:t>
            </w:r>
          </w:p>
        </w:tc>
      </w:tr>
      <w:tr w14:paraId="17825F27" w14:textId="77777777">
        <w:tc>
          <w:tcPr>
            <w:tcW w:w="5000" w:type="pct"/>
          </w:tcPr>
          <w:p w14:paraId="5911B610" w14:textId="77777777">
            <w:pPr>
              <w:pStyle w:val="CodeParagraph"/>
              <w:keepNext/>
            </w:pPr>
            <w:r>
              <w:rPr>
                <w:rStyle w:val="Code"/>
              </w:rPr>
              <w:t xml:space="preserve">&lt;lg </w:t>
            </w:r>
            <w:r>
              <w:rPr>
                <w:rStyle w:val="Codeattribute"/>
              </w:rPr>
              <w:t>n</w:t>
            </w:r>
            <w:r>
              <w:rPr>
                <w:rStyle w:val="Code"/>
              </w:rPr>
              <w:t>=</w:t>
            </w:r>
            <w:r>
              <w:rPr>
                <w:rStyle w:val="Codevalue"/>
              </w:rPr>
              <w:t>"33"</w:t>
            </w:r>
            <w:r>
              <w:rPr>
                <w:rStyle w:val="Code"/>
              </w:rPr>
              <w:t xml:space="preserve"> </w:t>
            </w:r>
            <w:r>
              <w:rPr>
                <w:rStyle w:val="Codeattribute"/>
              </w:rPr>
              <w:t>met</w:t>
            </w:r>
            <w:r>
              <w:rPr>
                <w:rStyle w:val="Code"/>
              </w:rPr>
              <w:t>=</w:t>
            </w:r>
            <w:r>
              <w:rPr>
                <w:rStyle w:val="Codevalue"/>
              </w:rPr>
              <w:t>"āryā"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"ab"</w:t>
            </w:r>
            <w:r>
              <w:rPr>
                <w:rStyle w:val="Code"/>
              </w:rPr>
              <w:t xml:space="preserve"> </w:t>
            </w:r>
            <w:r>
              <w:rPr>
                <w:rStyle w:val="Codeattribute"/>
              </w:rPr>
              <w:t>enjamb</w:t>
            </w:r>
            <w:r>
              <w:rPr>
                <w:rStyle w:val="Code"/>
              </w:rPr>
              <w:t>=</w:t>
            </w:r>
            <w:r>
              <w:rPr>
                <w:rStyle w:val="Codevalue"/>
              </w:rPr>
              <w:t>"yes"</w:t>
            </w:r>
            <w:r>
              <w:rPr>
                <w:rStyle w:val="Code"/>
              </w:rPr>
              <w:t>&gt;</w:t>
            </w:r>
            <w:r>
              <w:rPr>
                <w:rStyle w:val="Codetext"/>
              </w:rPr>
              <w:t>smara-vaśaga-taruṇa-jana-va</w:t>
            </w: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r>
              <w:rPr>
                <w:rStyle w:val="Codetext"/>
              </w:rPr>
              <w:t>llabhāṅganā-vipula-kānta-pīnoru|</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"cd"</w:t>
            </w:r>
            <w:r>
              <w:rPr>
                <w:rStyle w:val="Code"/>
              </w:rPr>
              <w:t>&gt;-</w:t>
            </w:r>
            <w:r>
              <w:rPr>
                <w:rStyle w:val="Codetext"/>
              </w:rPr>
              <w:t>stana-jaghana-ghanāliṅgana-nirbhartsita-tuhina-hima-pāte||</w:t>
            </w:r>
            <w:r>
              <w:rPr>
                <w:rStyle w:val="Code"/>
              </w:rPr>
              <w:t>&lt;/l&gt;</w:t>
            </w:r>
            <w:r>
              <w:rPr>
                <w:rStyle w:val="Codetext"/>
              </w:rPr>
              <w:br/>
            </w:r>
            <w:r>
              <w:rPr>
                <w:rStyle w:val="Code"/>
              </w:rPr>
              <w:t>&lt;/lg&gt;</w:t>
            </w:r>
          </w:p>
        </w:tc>
      </w:tr>
      <w:tr w14:paraId="6B7ECBFD" w14:textId="77777777">
        <w:tc>
          <w:tcPr>
            <w:tcW w:w="5000" w:type="pct"/>
          </w:tcPr>
          <w:p w14:paraId="7F891EC0" w14:textId="77777777">
            <w:pPr>
              <w:pStyle w:val="TableNote"/>
            </w:pPr>
            <w:r>
              <w:t>the unobserved caesura is optionally encoded as per §</w:t>
            </w:r>
            <w:r>
              <w:fldChar w:fldCharType="begin"/>
            </w:r>
            <w:r>
              <w:instrText xml:space="preserve"> REF _Ref224729838 \r \h </w:instrText>
            </w:r>
            <w:r>
              <w:fldChar w:fldCharType="separate"/>
            </w:r>
            <w:r>
              <w:t>3.3.4.3</w:t>
            </w:r>
            <w:r>
              <w:fldChar w:fldCharType="end"/>
            </w:r>
            <w:r>
              <w:t xml:space="preserve"> </w:t>
            </w:r>
          </w:p>
          <w:p w14:paraId="4A6DA5CF" w14:textId="77777777">
            <w:pPr>
              <w:pStyle w:val="TableNote"/>
              <w:rPr>
                <w:rStyle w:val="Code"/>
                <w:rFonts w:ascii="Calibri" w:hAnsi="Calibri" w:cs="Arial Unicode MS"/>
                <w:noProof w:val="0"/>
                <w:color w:val="auto"/>
                <w:shd w:val="clear" w:color="auto" w:fill="auto"/>
              </w:rPr>
            </w:pPr>
            <w:r>
              <w:t xml:space="preserve">since the hemistich boundary is within a compound, </w:t>
            </w:r>
            <w:r>
              <w:rPr>
                <w:rStyle w:val="Codeattribute"/>
              </w:rPr>
              <w:t>@enjamb</w:t>
            </w:r>
            <w:r>
              <w:t xml:space="preserve"> is added to the first </w:t>
            </w:r>
            <w:r>
              <w:rPr>
                <w:rStyle w:val="Foreign"/>
              </w:rPr>
              <w:t>pāda</w:t>
            </w:r>
            <w:r>
              <w:t xml:space="preserve"> as per §</w:t>
            </w:r>
            <w:r>
              <w:fldChar w:fldCharType="begin"/>
            </w:r>
            <w:r>
              <w:instrText xml:space="preserve"> REF _Ref225326474 \r \h </w:instrText>
            </w:r>
            <w:r>
              <w:fldChar w:fldCharType="separate"/>
            </w:r>
            <w:r>
              <w:t>3.2.4.1</w:t>
            </w:r>
            <w:r>
              <w:fldChar w:fldCharType="end"/>
            </w:r>
            <w:r>
              <w:rPr>
                <w:rStyle w:val="Code"/>
                <w:rFonts w:ascii="Calibri" w:hAnsi="Calibri" w:cs="Arial Unicode MS"/>
                <w:noProof w:val="0"/>
                <w:color w:val="auto"/>
                <w:shd w:val="clear" w:color="auto" w:fill="auto"/>
              </w:rPr>
              <w:t xml:space="preserve"> </w:t>
            </w:r>
          </w:p>
        </w:tc>
      </w:tr>
    </w:tbl>
    <w:p w14:paraId="7A64A849" w14:textId="77777777"/>
    <w:tbl>
      <w:tblPr>
        <w:tblStyle w:val="CodeSampleTable"/>
        <w:tblW w:w="5000" w:type="pct"/>
        <w:tblLook w:val="04A0" w:firstRow="1" w:lastRow="0" w:firstColumn="1" w:lastColumn="0" w:noHBand="0" w:noVBand="1"/>
      </w:tblPr>
      <w:tblGrid>
        <w:gridCol w:w="9628"/>
      </w:tblGrid>
      <w:tr w14:paraId="405430E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298F0A2" w14:textId="77777777">
            <w:pPr>
              <w:pStyle w:val="Kpalrs"/>
            </w:pPr>
            <w:bookmarkStart w:id="161" w:name="_Ref44077336"/>
            <w:r>
              <w:t xml:space="preserve">Exhibit </w:t>
            </w:r>
            <w:fldSimple w:instr=" STYLEREF 2 \s ">
              <w:r>
                <w:rPr>
                  <w:noProof/>
                </w:rPr>
                <w:t>3.3</w:t>
              </w:r>
            </w:fldSimple>
            <w:r>
              <w:t>.</w:t>
            </w:r>
            <w:fldSimple w:instr=" SEQ Exhibit \* ALPHABETIC \s 2 ">
              <w:r>
                <w:rPr>
                  <w:noProof/>
                </w:rPr>
                <w:t>H</w:t>
              </w:r>
            </w:fldSimple>
            <w:bookmarkEnd w:id="161"/>
            <w:r>
              <w:t xml:space="preserve">: </w:t>
            </w:r>
            <w:r>
              <w:rPr>
                <w:rStyle w:val="Foreign"/>
              </w:rPr>
              <w:t>varṇavr̥tta</w:t>
            </w:r>
            <w:r>
              <w:t xml:space="preserve"> verse with unobserved caesura and enjambement</w:t>
            </w:r>
          </w:p>
        </w:tc>
      </w:tr>
      <w:tr w14:paraId="1C0A4A36" w14:textId="77777777">
        <w:tc>
          <w:tcPr>
            <w:tcW w:w="5000" w:type="pct"/>
          </w:tcPr>
          <w:p w14:paraId="78E59ECE"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"pr̥thvī"</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&gt;</w:t>
            </w:r>
            <w:r>
              <w:rPr>
                <w:rStyle w:val="Codetext"/>
              </w:rPr>
              <w:t>pradāna-bhuja-vikkrama-praśama-śāstra-vākyodayair</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&gt;</w:t>
            </w:r>
            <w:r>
              <w:rPr>
                <w:rStyle w:val="Codetext"/>
              </w:rPr>
              <w:t>uparyyupari-sañcayocchritam aneka-mārggaṁ yaśaḥ</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 </w:t>
            </w:r>
            <w:r>
              <w:rPr>
                <w:rStyle w:val="Codeattribute"/>
              </w:rPr>
              <w:t>enjamb</w:t>
            </w:r>
            <w:r>
              <w:rPr>
                <w:rStyle w:val="Code"/>
              </w:rPr>
              <w:t>=</w:t>
            </w:r>
            <w:r>
              <w:rPr>
                <w:rStyle w:val="Codevalue"/>
              </w:rPr>
              <w:t>"yes"</w:t>
            </w:r>
            <w:r>
              <w:rPr>
                <w:rStyle w:val="Code"/>
              </w:rPr>
              <w:t>&gt;</w:t>
            </w:r>
            <w:r>
              <w:rPr>
                <w:rStyle w:val="Codetext"/>
              </w:rPr>
              <w:t>punāti bhuvana-trayaṁ paśupater jjaṭāntar-guhā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&gt;</w:t>
            </w:r>
            <w:r>
              <w:rPr>
                <w:rStyle w:val="Codetext"/>
              </w:rPr>
              <w:t>-nirodha-parimokṣa-śī</w:t>
            </w:r>
            <w:r>
              <w:rPr>
                <w:rStyle w:val="Code"/>
              </w:rPr>
              <w:t xml:space="preserve">&lt;milestone </w:t>
            </w:r>
            <w:r>
              <w:rPr>
                <w:rStyle w:val="Codeattribute"/>
              </w:rPr>
              <w:t>type</w:t>
            </w:r>
            <w:r>
              <w:rPr>
                <w:rStyle w:val="Code"/>
              </w:rPr>
              <w:t>=</w:t>
            </w:r>
            <w:r>
              <w:rPr>
                <w:rStyle w:val="Codevalue"/>
              </w:rPr>
              <w:t>"yati"</w:t>
            </w:r>
            <w:r>
              <w:rPr>
                <w:rStyle w:val="Code"/>
              </w:rPr>
              <w:t xml:space="preserve"> </w:t>
            </w:r>
            <w:r>
              <w:rPr>
                <w:rStyle w:val="Codeattribute"/>
              </w:rPr>
              <w:t>break</w:t>
            </w:r>
            <w:r>
              <w:rPr>
                <w:rStyle w:val="Code"/>
              </w:rPr>
              <w:t>=</w:t>
            </w:r>
            <w:r>
              <w:rPr>
                <w:rStyle w:val="Codevalue"/>
              </w:rPr>
              <w:t>"no"</w:t>
            </w:r>
            <w:r>
              <w:rPr>
                <w:rStyle w:val="Code"/>
              </w:rPr>
              <w:t>&gt;</w:t>
            </w:r>
            <w:r>
              <w:rPr>
                <w:rStyle w:val="Codetext"/>
              </w:rPr>
              <w:t>ghram iva pāṇḍu gāṅgaṁ payaḥ</w:t>
            </w:r>
            <w:r>
              <w:rPr>
                <w:rStyle w:val="Code"/>
              </w:rPr>
              <w:t>&lt;/l&gt;</w:t>
            </w:r>
            <w:r>
              <w:rPr>
                <w:rStyle w:val="Codetext"/>
              </w:rPr>
              <w:br/>
            </w:r>
            <w:r>
              <w:rPr>
                <w:rStyle w:val="Code"/>
              </w:rPr>
              <w:t>&lt;/lg&gt;</w:t>
            </w:r>
          </w:p>
        </w:tc>
      </w:tr>
      <w:tr w14:paraId="2B2002CA" w14:textId="77777777">
        <w:tc>
          <w:tcPr>
            <w:tcW w:w="5000" w:type="pct"/>
          </w:tcPr>
          <w:p w14:paraId="51CDB961" w14:textId="77777777">
            <w:pPr>
              <w:pStyle w:val="TableNote"/>
            </w:pPr>
            <w:r>
              <w:t>the unobserved caesura is optionally encoded as per §</w:t>
            </w:r>
            <w:r>
              <w:fldChar w:fldCharType="begin"/>
            </w:r>
            <w:r>
              <w:instrText xml:space="preserve"> REF _Ref224729838 \r \h </w:instrText>
            </w:r>
            <w:r>
              <w:fldChar w:fldCharType="separate"/>
            </w:r>
            <w:r>
              <w:t>3.3.4.3</w:t>
            </w:r>
            <w:r>
              <w:fldChar w:fldCharType="end"/>
            </w:r>
            <w:r>
              <w:t xml:space="preserve"> </w:t>
            </w:r>
          </w:p>
          <w:p w14:paraId="5C4DAE2E" w14:textId="77777777">
            <w:pPr>
              <w:pStyle w:val="TableNote"/>
              <w:rPr>
                <w:rStyle w:val="Code"/>
                <w:rFonts w:ascii="Calibri" w:hAnsi="Calibri" w:cs="Arial Unicode MS"/>
                <w:noProof w:val="0"/>
                <w:color w:val="auto"/>
                <w:shd w:val="clear" w:color="auto" w:fill="auto"/>
              </w:rPr>
            </w:pPr>
            <w:r>
              <w:t xml:space="preserve">since the boundary of the third and fourth </w:t>
            </w:r>
            <w:r>
              <w:rPr>
                <w:rStyle w:val="Foreign"/>
              </w:rPr>
              <w:t>pāda</w:t>
            </w:r>
            <w:r>
              <w:rPr>
                <w:rStyle w:val="Foreign"/>
                <w:i w:val="0"/>
                <w:iCs w:val="0"/>
              </w:rPr>
              <w:t>s</w:t>
            </w:r>
            <w:r>
              <w:t xml:space="preserve"> is within a compound, </w:t>
            </w:r>
            <w:r>
              <w:rPr>
                <w:rStyle w:val="Codeattribute"/>
              </w:rPr>
              <w:t>@enjamb</w:t>
            </w:r>
            <w:r>
              <w:t xml:space="preserve"> is added to the third line as per §</w:t>
            </w:r>
            <w:r>
              <w:fldChar w:fldCharType="begin"/>
            </w:r>
            <w:r>
              <w:instrText xml:space="preserve"> REF _Ref225326474 \r \h </w:instrText>
            </w:r>
            <w:r>
              <w:fldChar w:fldCharType="separate"/>
            </w:r>
            <w:r>
              <w:t>3.2.4.1</w:t>
            </w:r>
            <w:r>
              <w:fldChar w:fldCharType="end"/>
            </w:r>
            <w:r>
              <w:rPr>
                <w:rStyle w:val="Code"/>
                <w:rFonts w:ascii="Calibri" w:hAnsi="Calibri" w:cs="Arial Unicode MS"/>
                <w:noProof w:val="0"/>
                <w:color w:val="auto"/>
                <w:shd w:val="clear" w:color="auto" w:fill="auto"/>
              </w:rPr>
              <w:t xml:space="preserve"> </w:t>
            </w:r>
          </w:p>
        </w:tc>
      </w:tr>
    </w:tbl>
    <w:p w14:paraId="0617BE54" w14:textId="77777777">
      <w:pPr>
        <w:pStyle w:val="Cmsor1"/>
      </w:pPr>
      <w:bookmarkStart w:id="162" w:name="_u75tldno8fkf" w:colFirst="0" w:colLast="0"/>
      <w:bookmarkStart w:id="163" w:name="_Ref225261475"/>
      <w:bookmarkStart w:id="164" w:name="_Toc243900259"/>
      <w:bookmarkEnd w:id="162"/>
      <w:r>
        <w:lastRenderedPageBreak/>
        <w:t>Extrinsic structure</w:t>
      </w:r>
      <w:bookmarkEnd w:id="163"/>
      <w:bookmarkEnd w:id="164"/>
    </w:p>
    <w:p w14:paraId="57ED3FCE" w14:textId="77777777">
      <w:pPr>
        <w:pStyle w:val="Cmsor2"/>
      </w:pPr>
      <w:bookmarkStart w:id="165" w:name="_Ref182923075"/>
      <w:bookmarkStart w:id="166" w:name="_Toc243900260"/>
      <w:bookmarkStart w:id="167" w:name="_Ref225155416"/>
      <w:r>
        <w:t>Representing extrinsic structure</w:t>
      </w:r>
      <w:bookmarkEnd w:id="165"/>
      <w:bookmarkEnd w:id="166"/>
    </w:p>
    <w:p w14:paraId="43B5B0E1" w14:textId="77777777">
      <w:r>
        <w:t xml:space="preserve">Of the various parallel, and more or less hierarchical, structures present in a written text, two are particularly relevant to encoding in the DHARMA scheme. </w:t>
      </w:r>
      <w:r>
        <w:rPr>
          <w:i/>
          <w:iCs/>
        </w:rPr>
        <w:t>Extrinsic structure</w:t>
      </w:r>
      <w:r>
        <w:t xml:space="preserve"> refers to the physical structure of a text “as document” in the terminology of </w:t>
      </w:r>
      <w:r>
        <w:rPr>
          <w:noProof/>
        </w:rPr>
        <w:t>Tanselle</w:t>
      </w:r>
      <w:r>
        <w:t xml:space="preserve"> (1989), i.e. the text in a particular, tangible manifestation. This is contrasted with </w:t>
      </w:r>
      <w:r>
        <w:rPr>
          <w:i/>
          <w:iCs/>
        </w:rPr>
        <w:t>intrinsic structure</w:t>
      </w:r>
      <w:r>
        <w:t xml:space="preserve"> (§</w:t>
      </w:r>
      <w:r>
        <w:fldChar w:fldCharType="begin"/>
      </w:r>
      <w:r>
        <w:instrText xml:space="preserve"> REF _Ref43978632 \r \h </w:instrText>
      </w:r>
      <w:r>
        <w:fldChar w:fldCharType="separate"/>
      </w:r>
      <w:r>
        <w:t>3</w:t>
      </w:r>
      <w:r>
        <w:fldChar w:fldCharType="end"/>
      </w:r>
      <w:r>
        <w:t xml:space="preserve">), which is the structure of the text “as work,” viewed as an abstract, intangible entity. In a quintessential book, extrinsic structure might comprise a number of fascicles or gatherings, each containing a number of pages, each containing a number of lines. The extrinsic structure of inscriptions is comprised, at the minimum, of an inscribed field (also called a </w:t>
      </w:r>
      <w:r>
        <w:rPr>
          <w:rStyle w:val="Foreign"/>
        </w:rPr>
        <w:t>campus</w:t>
      </w:r>
      <w:r>
        <w:t>), within which there is at least one line, but usually several lines of inscribed text. In more complex cases, the inscribed field may consist of physically distinct subfields (such as pages in a set of copper plates, the faces of a stele, or different limbs of a statue), each of which contain one or more lines. Such hierarchical divisions of extrinsic structure may coincide with breaks in intrinsic structure (for example: verse lines may be printed as physical lines; new chapters can begin on new pages, etc.), but they do not necessarily do so; indeed, in the actual practice of the documents we edit, they usually do not. Extrinsic structure can also involve non-hierarchical divisions, less typical in codicology but fairly common in inscriptions which may, for example, be written on a three-dimensional support so that some or all lines continue across a number of distinct surfaces such as the faces of a polygonal pillar or a series of masonry blocks in a wall, or may come to us in fragments.</w:t>
      </w:r>
    </w:p>
    <w:p w14:paraId="2C4F88EC" w14:textId="77777777">
      <w:pPr>
        <w:pStyle w:val="Normlbehzs"/>
      </w:pPr>
      <w:r>
        <w:t xml:space="preserve">In order to encode the extrinsic structure of any inscription consisting of more than one distinct zone, you must determine the nature of the boundary between those zones. We refer to such boundaries as </w:t>
      </w:r>
      <w:r>
        <w:rPr>
          <w:i/>
          <w:iCs/>
        </w:rPr>
        <w:t>partitions</w:t>
      </w:r>
      <w:r>
        <w:t xml:space="preserve">, and classify them into three categories on the basis of their rank in the hierarchy of extrinsic structure and their relation to the hierarchy of intrinsic structure. The possible patterns of this interaction, abstracted from physical layout, are illustrated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 which represents zones with light blue rectangles, lines with dark blue oblongs, and the linear flow of the text with a red line. Zones are shown as being side by side and identical in size and shape, and lines are shown as one below another, again identical in size and shape, but this is only for schematic representation. The actual topology of the zones laid out on the support is completely irrelevant to this classification, and the same functional patterns can be present in zones and lines of any size, shape and arrangement. The question to ask yourself while choosing the right encoding for a partition is this: </w:t>
      </w:r>
      <w:r>
        <w:rPr>
          <w:i/>
          <w:iCs/>
        </w:rPr>
        <w:t>what does the text do as it reaches the boundary of a zone?</w:t>
      </w:r>
    </w:p>
    <w:tbl>
      <w:tblPr>
        <w:tblStyle w:val="FigureTable"/>
        <w:tblW w:w="5000" w:type="pct"/>
        <w:tblLook w:val="04A0" w:firstRow="1" w:lastRow="0" w:firstColumn="1" w:lastColumn="0" w:noHBand="0" w:noVBand="1"/>
      </w:tblPr>
      <w:tblGrid>
        <w:gridCol w:w="3210"/>
        <w:gridCol w:w="3210"/>
        <w:gridCol w:w="3208"/>
      </w:tblGrid>
      <w:tr w14:paraId="1B4C175D"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3"/>
          </w:tcPr>
          <w:p w14:paraId="02448FC5" w14:textId="77777777">
            <w:pPr>
              <w:pStyle w:val="Kpalrs"/>
            </w:pPr>
            <w:bookmarkStart w:id="168" w:name="_Ref224742060"/>
            <w:bookmarkStart w:id="169" w:name="_Ref224742059"/>
            <w:r>
              <w:t xml:space="preserve">Exhibit </w:t>
            </w:r>
            <w:fldSimple w:instr=" STYLEREF 2 \s ">
              <w:r>
                <w:rPr>
                  <w:noProof/>
                </w:rPr>
                <w:t>4.1</w:t>
              </w:r>
            </w:fldSimple>
            <w:r>
              <w:t>.</w:t>
            </w:r>
            <w:fldSimple w:instr=" SEQ Exhibit \* ALPHABETIC \s 2 ">
              <w:r>
                <w:rPr>
                  <w:noProof/>
                </w:rPr>
                <w:t>A</w:t>
              </w:r>
            </w:fldSimple>
            <w:bookmarkEnd w:id="168"/>
            <w:r>
              <w:t>. Functional patterns of partitions interacting with intrinsic structure and lines</w:t>
            </w:r>
            <w:bookmarkEnd w:id="169"/>
          </w:p>
        </w:tc>
      </w:tr>
      <w:tr w14:paraId="37257B45" w14:textId="77777777">
        <w:tc>
          <w:tcPr>
            <w:tcW w:w="1667" w:type="pct"/>
          </w:tcPr>
          <w:p w14:paraId="5129175D" w14:textId="77777777">
            <w:pPr>
              <w:pStyle w:val="Image"/>
            </w:pPr>
            <w:r>
              <w:t>1</w:t>
            </w:r>
          </w:p>
        </w:tc>
        <w:tc>
          <w:tcPr>
            <w:tcW w:w="1667" w:type="pct"/>
          </w:tcPr>
          <w:p w14:paraId="30722DB1" w14:textId="77777777">
            <w:pPr>
              <w:pStyle w:val="Image"/>
            </w:pPr>
            <w:r>
              <w:t>2</w:t>
            </w:r>
          </w:p>
        </w:tc>
        <w:tc>
          <w:tcPr>
            <w:tcW w:w="1666" w:type="pct"/>
          </w:tcPr>
          <w:p w14:paraId="274FB026" w14:textId="77777777">
            <w:pPr>
              <w:pStyle w:val="Image"/>
            </w:pPr>
            <w:r>
              <w:t>3</w:t>
            </w:r>
          </w:p>
        </w:tc>
      </w:tr>
      <w:tr w14:paraId="58A96E8F" w14:textId="77777777">
        <w:tc>
          <w:tcPr>
            <w:tcW w:w="1667" w:type="pct"/>
          </w:tcPr>
          <w:p w14:paraId="33F6DB43" w14:textId="77777777">
            <w:pPr>
              <w:pStyle w:val="Image"/>
            </w:pPr>
            <w:r>
              <w:drawing>
                <wp:inline distT="0" distB="0" distL="0" distR="0" wp14:anchorId="61B65E2A" wp14:editId="2C4750DE">
                  <wp:extent cx="1557412" cy="911853"/>
                  <wp:effectExtent l="0" t="0" r="5080" b="3175"/>
                  <wp:docPr id="5" name="image8.png"/>
                  <wp:cNvGraphicFramePr/>
                  <a:graphic xmlns:a="http://schemas.openxmlformats.org/drawingml/2006/main">
                    <a:graphicData uri="http://schemas.openxmlformats.org/drawingml/2006/picture">
                      <pic:pic xmlns:pic="http://schemas.openxmlformats.org/drawingml/2006/picture">
                        <pic:nvPicPr>
                          <pic:cNvPr id="5" name="image8.png"/>
                          <pic:cNvPicPr preferRelativeResize="0"/>
                        </pic:nvPicPr>
                        <pic:blipFill>
                          <a:blip r:embed="rId13"/>
                          <a:stretch>
                            <a:fillRect/>
                          </a:stretch>
                        </pic:blipFill>
                        <pic:spPr>
                          <a:xfrm>
                            <a:off x="0" y="0"/>
                            <a:ext cx="1557412" cy="911853"/>
                          </a:xfrm>
                          <a:prstGeom prst="rect">
                            <a:avLst/>
                          </a:prstGeom>
                          <a:ln/>
                        </pic:spPr>
                      </pic:pic>
                    </a:graphicData>
                  </a:graphic>
                </wp:inline>
              </w:drawing>
            </w:r>
          </w:p>
        </w:tc>
        <w:tc>
          <w:tcPr>
            <w:tcW w:w="1667" w:type="pct"/>
          </w:tcPr>
          <w:p w14:paraId="204660F9" w14:textId="77777777">
            <w:pPr>
              <w:pStyle w:val="Image"/>
            </w:pPr>
            <w:r>
              <w:drawing>
                <wp:inline distT="0" distB="0" distL="0" distR="0" wp14:anchorId="46F625CC" wp14:editId="6C14D215">
                  <wp:extent cx="1731600" cy="914400"/>
                  <wp:effectExtent l="0" t="0" r="2540" b="0"/>
                  <wp:docPr id="28" name="image23.png"/>
                  <wp:cNvGraphicFramePr/>
                  <a:graphic xmlns:a="http://schemas.openxmlformats.org/drawingml/2006/main">
                    <a:graphicData uri="http://schemas.openxmlformats.org/drawingml/2006/picture">
                      <pic:pic xmlns:pic="http://schemas.openxmlformats.org/drawingml/2006/picture">
                        <pic:nvPicPr>
                          <pic:cNvPr id="28" name="image23.png"/>
                          <pic:cNvPicPr preferRelativeResize="0"/>
                        </pic:nvPicPr>
                        <pic:blipFill>
                          <a:blip r:embed="rId14"/>
                          <a:srcRect t="4904" b="4904"/>
                          <a:stretch>
                            <a:fillRect/>
                          </a:stretch>
                        </pic:blipFill>
                        <pic:spPr>
                          <a:xfrm>
                            <a:off x="0" y="0"/>
                            <a:ext cx="1731600" cy="914400"/>
                          </a:xfrm>
                          <a:prstGeom prst="rect">
                            <a:avLst/>
                          </a:prstGeom>
                          <a:ln/>
                        </pic:spPr>
                      </pic:pic>
                    </a:graphicData>
                  </a:graphic>
                </wp:inline>
              </w:drawing>
            </w:r>
          </w:p>
        </w:tc>
        <w:tc>
          <w:tcPr>
            <w:tcW w:w="1666" w:type="pct"/>
          </w:tcPr>
          <w:p w14:paraId="4702FCCF" w14:textId="77777777">
            <w:pPr>
              <w:pStyle w:val="Image"/>
            </w:pPr>
            <w:r>
              <w:drawing>
                <wp:inline distT="0" distB="0" distL="0" distR="0" wp14:anchorId="75CC5AB3" wp14:editId="3BC07499">
                  <wp:extent cx="1557412" cy="911853"/>
                  <wp:effectExtent l="0" t="0" r="5080" b="3175"/>
                  <wp:docPr id="19" name="image4.png"/>
                  <wp:cNvGraphicFramePr/>
                  <a:graphic xmlns:a="http://schemas.openxmlformats.org/drawingml/2006/main">
                    <a:graphicData uri="http://schemas.openxmlformats.org/drawingml/2006/picture">
                      <pic:pic xmlns:pic="http://schemas.openxmlformats.org/drawingml/2006/picture">
                        <pic:nvPicPr>
                          <pic:cNvPr id="19" name="image4.png"/>
                          <pic:cNvPicPr preferRelativeResize="0"/>
                        </pic:nvPicPr>
                        <pic:blipFill>
                          <a:blip r:embed="rId15"/>
                          <a:stretch>
                            <a:fillRect/>
                          </a:stretch>
                        </pic:blipFill>
                        <pic:spPr>
                          <a:xfrm>
                            <a:off x="0" y="0"/>
                            <a:ext cx="1557412" cy="911853"/>
                          </a:xfrm>
                          <a:prstGeom prst="rect">
                            <a:avLst/>
                          </a:prstGeom>
                          <a:ln/>
                        </pic:spPr>
                      </pic:pic>
                    </a:graphicData>
                  </a:graphic>
                </wp:inline>
              </w:drawing>
            </w:r>
          </w:p>
        </w:tc>
      </w:tr>
      <w:tr w14:paraId="3A7D4235" w14:textId="77777777">
        <w:tc>
          <w:tcPr>
            <w:tcW w:w="1667" w:type="pct"/>
          </w:tcPr>
          <w:p w14:paraId="77034A39" w14:textId="77777777">
            <w:pPr>
              <w:pStyle w:val="Tabletext"/>
              <w:keepNext/>
              <w:jc w:val="center"/>
            </w:pPr>
            <w:r>
              <w:t>text ends</w:t>
            </w:r>
          </w:p>
        </w:tc>
        <w:tc>
          <w:tcPr>
            <w:tcW w:w="1667" w:type="pct"/>
          </w:tcPr>
          <w:p w14:paraId="54436A96" w14:textId="77777777">
            <w:pPr>
              <w:pStyle w:val="Tabletext"/>
              <w:keepNext/>
              <w:jc w:val="center"/>
            </w:pPr>
            <w:r>
              <w:t>texts flows on</w:t>
            </w:r>
          </w:p>
        </w:tc>
        <w:tc>
          <w:tcPr>
            <w:tcW w:w="1666" w:type="pct"/>
          </w:tcPr>
          <w:p w14:paraId="395CDC54" w14:textId="77777777">
            <w:pPr>
              <w:pStyle w:val="Tabletext"/>
              <w:keepNext/>
              <w:jc w:val="center"/>
            </w:pPr>
            <w:r>
              <w:t>text runs across</w:t>
            </w:r>
          </w:p>
        </w:tc>
      </w:tr>
      <w:tr w14:paraId="086FB637" w14:textId="77777777">
        <w:tc>
          <w:tcPr>
            <w:tcW w:w="1667" w:type="pct"/>
          </w:tcPr>
          <w:p w14:paraId="7261ADDD" w14:textId="77777777">
            <w:pPr>
              <w:pStyle w:val="Tabletext"/>
              <w:keepNext/>
              <w:jc w:val="center"/>
            </w:pPr>
            <w:r>
              <w:t>boxlike partition, §</w:t>
            </w:r>
            <w:r>
              <w:fldChar w:fldCharType="begin"/>
            </w:r>
            <w:r>
              <w:instrText xml:space="preserve"> REF _Ref225155416 \r \h </w:instrText>
            </w:r>
            <w:r>
              <w:fldChar w:fldCharType="separate"/>
            </w:r>
            <w:r>
              <w:t>4.1</w:t>
            </w:r>
            <w:r>
              <w:fldChar w:fldCharType="end"/>
            </w:r>
            <w:r>
              <w:t xml:space="preserve"> </w:t>
            </w:r>
          </w:p>
        </w:tc>
        <w:tc>
          <w:tcPr>
            <w:tcW w:w="1667" w:type="pct"/>
          </w:tcPr>
          <w:p w14:paraId="2857E37C" w14:textId="77777777">
            <w:pPr>
              <w:pStyle w:val="Tabletext"/>
              <w:keepNext/>
              <w:jc w:val="center"/>
            </w:pPr>
            <w:r>
              <w:t>pagelike partition, §</w:t>
            </w:r>
            <w:r>
              <w:fldChar w:fldCharType="begin"/>
            </w:r>
            <w:r>
              <w:instrText xml:space="preserve"> REF _Ref233982406 \r \h </w:instrText>
            </w:r>
            <w:r>
              <w:fldChar w:fldCharType="separate"/>
            </w:r>
            <w:r>
              <w:t>4.4</w:t>
            </w:r>
            <w:r>
              <w:fldChar w:fldCharType="end"/>
            </w:r>
          </w:p>
        </w:tc>
        <w:tc>
          <w:tcPr>
            <w:tcW w:w="1666" w:type="pct"/>
          </w:tcPr>
          <w:p w14:paraId="4EBECA9D" w14:textId="77777777">
            <w:pPr>
              <w:pStyle w:val="Tabletext"/>
              <w:keepNext/>
              <w:jc w:val="center"/>
            </w:pPr>
            <w:r>
              <w:t>gridlike partition, §</w:t>
            </w:r>
            <w:r>
              <w:fldChar w:fldCharType="begin"/>
            </w:r>
            <w:r>
              <w:instrText xml:space="preserve"> REF _Ref43984651 \w \h  \* MERGEFORMAT </w:instrText>
            </w:r>
            <w:r>
              <w:fldChar w:fldCharType="separate"/>
            </w:r>
            <w:r>
              <w:t>4.6</w:t>
            </w:r>
            <w:r>
              <w:fldChar w:fldCharType="end"/>
            </w:r>
          </w:p>
        </w:tc>
      </w:tr>
    </w:tbl>
    <w:p w14:paraId="71180739" w14:textId="77777777">
      <w:r>
        <w:t>If the text progresses through all lines of a zone and ends there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/1), with the first zone comprising an integral and complete semantic unit and the text essentially starting anew in the second zone as an independent, likewise integral and complete semantic unit, then you have a </w:t>
      </w:r>
      <w:r>
        <w:rPr>
          <w:b/>
          <w:bCs/>
        </w:rPr>
        <w:t>boxlike partition</w:t>
      </w:r>
      <w:r>
        <w:t xml:space="preserve">. Boxlike partitions are thus like chapters in a book — especially short stories in an anthology or scholarly articles in a compiled volume — that together comprise a whole, and may not need to be read in a particular sequence. Another applicable book analogy is the relation of the title page, the front matter, the actual book content and the blurb. We call such a partition boxlike because each one is a functional box enclosing a discrete </w:t>
      </w:r>
      <w:r>
        <w:lastRenderedPageBreak/>
        <w:t>segment of text that is complete in itself. In terms of structural hierarchies, a boxlike partition occurs when units of extrinsic and intrinsic structure coincide, so that a physical boundary coincides with a semantic boundary. In the extrinsic hierarchy itself, a boxlike partition is the uppermost tier.</w:t>
      </w:r>
    </w:p>
    <w:p w14:paraId="41DA17B5" w14:textId="77777777">
      <w:pPr>
        <w:pStyle w:val="Normlbehzs"/>
      </w:pPr>
      <w:r>
        <w:t xml:space="preserve">If the text progresses through all lines of a zone and then flows on to the next zone </w:t>
      </w:r>
      <w:r>
        <w:rPr>
          <w:noProof/>
        </w:rPr>
        <w:t>(</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/2), without the necessary presence of a major semantic break, then you have a </w:t>
      </w:r>
      <w:r>
        <w:rPr>
          <w:b/>
          <w:bCs/>
        </w:rPr>
        <w:t>pagelike partition</w:t>
      </w:r>
      <w:r>
        <w:t>. A pagelike partition is, unsurprisingly, like that of pages within a single chapter of a book, or of columns on a newspaper page. Each zone is physically distinct, but the units of intrinsic structure do not necessarily coincide with the zones. Thus, the partition normally occurs inside a block-level element of intrinsic structure, although it may — incidentally — be at a break in intrinsic structure. In terms of structural hierarchies, a pagelike partition is purely a feature of extrinsic structure, and its position in the extrinsic hierarchy is above that of lines, so that each pagelike zone is constituted of a number of lines.</w:t>
      </w:r>
    </w:p>
    <w:p w14:paraId="66CC5A49" w14:textId="77777777">
      <w:pPr>
        <w:pStyle w:val="Normlbehzs"/>
      </w:pPr>
      <w:r>
        <w:t xml:space="preserve">Finally, if one or more lines of the text run across from one zone into the next </w:t>
      </w:r>
      <w:r>
        <w:rPr>
          <w:noProof/>
        </w:rPr>
        <w:t>(</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 xml:space="preserve">/3) before continuing to the next line in the first zone, then you have a </w:t>
      </w:r>
      <w:r>
        <w:rPr>
          <w:b/>
          <w:bCs/>
        </w:rPr>
        <w:t>gridlike partition</w:t>
      </w:r>
      <w:r>
        <w:t>. A gridlike partition is like the grid of a table where each row consists of a number of cells. Line after line, the text carries seamlessly on through the grid, although here too, partitions may in some cases coincide with boundaries of the intrinsic structure, for example in the case of verse laid out in a columnlike structure (§</w:t>
      </w:r>
      <w:r>
        <w:fldChar w:fldCharType="begin"/>
      </w:r>
      <w:r>
        <w:instrText xml:space="preserve"> REF _Ref225865506 \r \h </w:instrText>
      </w:r>
      <w:r>
        <w:fldChar w:fldCharType="separate"/>
      </w:r>
      <w:r>
        <w:t>4.7.5.3</w:t>
      </w:r>
      <w:r>
        <w:fldChar w:fldCharType="end"/>
      </w:r>
      <w:r>
        <w:t>). In terms of structural hierarchies, a gridlike partition is again purely a feature of extrinsic structure, but it is independent of the hierarchy constituted of lines, subfields and the campus. It does, however, affect the hierarchy of extrinsic structure because it may cut across the units of that hierarchy, including lines, and thus effectively create a subdivision below the level of lines, so that each line is constituted of a number of gridlike zones.</w:t>
      </w:r>
    </w:p>
    <w:p w14:paraId="39069FE9" w14:textId="36CB2172">
      <w:pPr>
        <w:pStyle w:val="Normlbehzs"/>
      </w:pPr>
      <w:r>
        <w:t>Because XML cannot include overlapping hierarchies (§</w:t>
      </w:r>
      <w:r>
        <w:fldChar w:fldCharType="begin"/>
      </w:r>
      <w:r>
        <w:instrText xml:space="preserve"> REF _Ref224893456 \r \h </w:instrText>
      </w:r>
      <w:r>
        <w:fldChar w:fldCharType="separate"/>
      </w:r>
      <w:r>
        <w:t>2.2.4</w:t>
      </w:r>
      <w:r>
        <w:fldChar w:fldCharType="end"/>
      </w:r>
      <w:r>
        <w:t>) and the hierarchy of XML elements in our edition is dedicated to the representation of intrinsic structure (§</w:t>
      </w:r>
      <w:r>
        <w:fldChar w:fldCharType="begin"/>
      </w:r>
      <w:r>
        <w:instrText xml:space="preserve"> REF _Ref225153755 \r \h </w:instrText>
      </w:r>
      <w:r>
        <w:fldChar w:fldCharType="separate"/>
      </w:r>
      <w:r>
        <w:t>3.1</w:t>
      </w:r>
      <w:r>
        <w:fldChar w:fldCharType="end"/>
      </w:r>
      <w:r>
        <w:t>), we cannot use block-level elements for representing units of extrinsic structure unless they are units which, by nature, always coincide with units of intrinsic structure. As evident from the above classification, this is true of boxlike partitions. These are thus encoded as textpart divisions, which are also the uppermost tier in the encoding of intrinsic structure. However, the hierarchically lower units of extrinsic structure do not consistently correspond to units of intrinsic structure, so they necessitate a different encoding approach. This employs empty elements (§</w:t>
      </w:r>
      <w:r>
        <w:fldChar w:fldCharType="begin"/>
      </w:r>
      <w:r>
        <w:instrText xml:space="preserve"> REF _Ref224893557 \r \h </w:instrText>
      </w:r>
      <w:r>
        <w:fldChar w:fldCharType="separate"/>
      </w:r>
      <w:r>
        <w:t>2.2.2</w:t>
      </w:r>
      <w:r>
        <w:fldChar w:fldCharType="end"/>
      </w:r>
      <w:r>
        <w:t>) corresponding to points of transition, rather than text-containing elements corresponding to structural units. This kind of element is called a milestone (§</w:t>
      </w:r>
      <w:r>
        <w:fldChar w:fldCharType="begin"/>
      </w:r>
      <w:r>
        <w:instrText xml:space="preserve"> REF _Ref225327729 \r \h </w:instrText>
      </w:r>
      <w:r>
        <w:fldChar w:fldCharType="separate"/>
      </w:r>
      <w:r>
        <w:t>4.3</w:t>
      </w:r>
      <w:r>
        <w:fldChar w:fldCharType="end"/>
      </w:r>
      <w:r>
        <w:t xml:space="preserve">). Whereas for intrinsic structure, the start-tag and end-tag of a container enclose a unit such as a paragraph, for extrinsic structure we encode a single milestone at the beginning of each unit such as a line. The encoding hierarchy of extrinsic structure is illustrated in </w:t>
      </w:r>
      <w:r>
        <w:fldChar w:fldCharType="begin"/>
      </w:r>
      <w:r>
        <w:instrText xml:space="preserve"> REF _Ref224829834 \h </w:instrText>
      </w:r>
      <w:r>
        <w:fldChar w:fldCharType="separate"/>
      </w:r>
      <w:r>
        <w:t xml:space="preserve">Exhibit </w:t>
      </w:r>
      <w:r>
        <w:rPr>
          <w:noProof/>
        </w:rPr>
        <w:t>4.1</w:t>
      </w:r>
      <w:r>
        <w:t>.</w:t>
      </w:r>
      <w:r>
        <w:rPr>
          <w:noProof/>
        </w:rPr>
        <w:t>B</w:t>
      </w:r>
      <w:r>
        <w:fldChar w:fldCharType="end"/>
      </w:r>
      <w:r>
        <w:t>, where saturated colours (green, blue and yellow) represent mandatory components of an edition, and pastel colours (light green, lavender and aqua) represent non-mandatory components. The labels in the Exhibit are shown in angle brackets to indicate that they correspond to XML elements, but the actual XML elements are introduced in the sections discussing their encoding.</w:t>
      </w:r>
    </w:p>
    <w:tbl>
      <w:tblPr>
        <w:tblStyle w:val="FigureTable"/>
        <w:tblW w:w="0" w:type="auto"/>
        <w:tblLook w:val="04A0" w:firstRow="1" w:lastRow="0" w:firstColumn="1" w:lastColumn="0" w:noHBand="0" w:noVBand="1"/>
      </w:tblPr>
      <w:tblGrid>
        <w:gridCol w:w="9628"/>
      </w:tblGrid>
      <w:tr w14:paraId="59EE76D5"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4E3171FB" w14:textId="77777777">
            <w:pPr>
              <w:pStyle w:val="Kpalrs"/>
            </w:pPr>
            <w:bookmarkStart w:id="170" w:name="_Ref224829834"/>
            <w:r>
              <w:lastRenderedPageBreak/>
              <w:t xml:space="preserve">Exhibit </w:t>
            </w:r>
            <w:fldSimple w:instr=" STYLEREF 2 \s ">
              <w:r>
                <w:rPr>
                  <w:noProof/>
                </w:rPr>
                <w:t>4.1</w:t>
              </w:r>
            </w:fldSimple>
            <w:r>
              <w:t>.</w:t>
            </w:r>
            <w:fldSimple w:instr=" SEQ Exhibit \* ALPHABETIC \s 2 ">
              <w:r>
                <w:rPr>
                  <w:noProof/>
                </w:rPr>
                <w:t>B</w:t>
              </w:r>
            </w:fldSimple>
            <w:bookmarkEnd w:id="170"/>
            <w:r>
              <w:t>. the encoding hierarchy of extrinsic structure</w:t>
            </w:r>
          </w:p>
        </w:tc>
      </w:tr>
      <w:tr w14:paraId="198D3C54" w14:textId="77777777">
        <w:tc>
          <w:tcPr>
            <w:tcW w:w="9628" w:type="dxa"/>
          </w:tcPr>
          <w:tbl>
            <w:tblPr>
              <w:tblStyle w:val="Rcsostblzat"/>
              <w:tblW w:w="0" w:type="auto"/>
              <w:jc w:val="center"/>
              <w:tblBorders>
                <w:top w:val="double" w:sz="4" w:space="0" w:color="auto"/>
                <w:left w:val="double" w:sz="4" w:space="0" w:color="auto"/>
                <w:bottom w:val="double" w:sz="4" w:space="0" w:color="auto"/>
                <w:right w:val="double" w:sz="4"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284"/>
              <w:gridCol w:w="284"/>
              <w:gridCol w:w="284"/>
              <w:gridCol w:w="1701"/>
              <w:gridCol w:w="1701"/>
              <w:gridCol w:w="1134"/>
              <w:gridCol w:w="1701"/>
              <w:gridCol w:w="1134"/>
              <w:gridCol w:w="284"/>
              <w:gridCol w:w="284"/>
            </w:tblGrid>
            <w:tr w14:paraId="57A3D6D4" w14:textId="77777777">
              <w:trPr>
                <w:trHeight w:hRule="exact" w:val="397"/>
                <w:jc w:val="center"/>
              </w:trPr>
              <w:tc>
                <w:tcPr>
                  <w:tcW w:w="8791" w:type="dxa"/>
                  <w:gridSpan w:val="10"/>
                  <w:tcBorders>
                    <w:top w:val="double" w:sz="12" w:space="0" w:color="auto"/>
                    <w:left w:val="double" w:sz="12" w:space="0" w:color="auto"/>
                    <w:right w:val="double" w:sz="12" w:space="0" w:color="auto"/>
                  </w:tcBorders>
                  <w:shd w:val="clear" w:color="auto" w:fill="92D050"/>
                </w:tcPr>
                <w:p w14:paraId="2C51C29D" w14:textId="77777777">
                  <w:pPr>
                    <w:pStyle w:val="Tabletext"/>
                    <w:keepNext/>
                    <w:keepLines/>
                    <w:ind w:firstLine="0"/>
                  </w:pPr>
                  <w:r>
                    <w:t>&lt;edition&gt; contains</w:t>
                  </w:r>
                </w:p>
              </w:tc>
            </w:tr>
            <w:tr w14:paraId="003CB1A7" w14:textId="77777777">
              <w:trPr>
                <w:trHeight w:hRule="exact" w:val="284"/>
                <w:jc w:val="center"/>
              </w:trPr>
              <w:tc>
                <w:tcPr>
                  <w:tcW w:w="284" w:type="dxa"/>
                  <w:vMerge w:val="restart"/>
                  <w:tcBorders>
                    <w:top w:val="nil"/>
                    <w:left w:val="double" w:sz="12" w:space="0" w:color="auto"/>
                    <w:right w:val="double" w:sz="4" w:space="0" w:color="auto"/>
                  </w:tcBorders>
                  <w:shd w:val="clear" w:color="auto" w:fill="92D050"/>
                </w:tcPr>
                <w:p w14:paraId="43755C08" w14:textId="77777777">
                  <w:pPr>
                    <w:pStyle w:val="Tabletext"/>
                    <w:keepNext/>
                    <w:keepLines/>
                    <w:ind w:firstLine="0"/>
                  </w:pPr>
                </w:p>
              </w:tc>
              <w:tc>
                <w:tcPr>
                  <w:tcW w:w="8223" w:type="dxa"/>
                  <w:gridSpan w:val="8"/>
                  <w:tcBorders>
                    <w:top w:val="double" w:sz="4" w:space="0" w:color="auto"/>
                    <w:left w:val="double" w:sz="4" w:space="0" w:color="auto"/>
                    <w:bottom w:val="nil"/>
                    <w:right w:val="double" w:sz="4" w:space="0" w:color="auto"/>
                  </w:tcBorders>
                  <w:shd w:val="clear" w:color="auto" w:fill="CCFFCC"/>
                </w:tcPr>
                <w:p w14:paraId="085870A8" w14:textId="77777777">
                  <w:pPr>
                    <w:pStyle w:val="Tabletext"/>
                    <w:keepNext/>
                    <w:keepLines/>
                    <w:ind w:firstLine="0"/>
                  </w:pPr>
                  <w:r>
                    <w:t>&lt;textpart A&gt; contains</w:t>
                  </w:r>
                </w:p>
              </w:tc>
              <w:tc>
                <w:tcPr>
                  <w:tcW w:w="284" w:type="dxa"/>
                  <w:vMerge w:val="restart"/>
                  <w:tcBorders>
                    <w:left w:val="double" w:sz="4" w:space="0" w:color="auto"/>
                    <w:right w:val="double" w:sz="12" w:space="0" w:color="auto"/>
                  </w:tcBorders>
                  <w:shd w:val="clear" w:color="auto" w:fill="92D050"/>
                </w:tcPr>
                <w:p w14:paraId="43E69707" w14:textId="77777777">
                  <w:pPr>
                    <w:pStyle w:val="Tabletext"/>
                    <w:keepNext/>
                    <w:keepLines/>
                    <w:ind w:firstLine="0"/>
                  </w:pPr>
                </w:p>
              </w:tc>
            </w:tr>
            <w:tr w14:paraId="21021150" w14:textId="77777777">
              <w:trPr>
                <w:trHeight w:hRule="exact" w:val="284"/>
                <w:jc w:val="center"/>
              </w:trPr>
              <w:tc>
                <w:tcPr>
                  <w:tcW w:w="284" w:type="dxa"/>
                  <w:vMerge/>
                  <w:tcBorders>
                    <w:left w:val="double" w:sz="12" w:space="0" w:color="auto"/>
                    <w:right w:val="double" w:sz="4" w:space="0" w:color="auto"/>
                  </w:tcBorders>
                  <w:shd w:val="clear" w:color="auto" w:fill="92D050"/>
                </w:tcPr>
                <w:p w14:paraId="3377F96F" w14:textId="77777777">
                  <w:pPr>
                    <w:pStyle w:val="Tabletext"/>
                    <w:keepNext/>
                    <w:keepLines/>
                    <w:ind w:firstLine="0"/>
                  </w:pPr>
                </w:p>
              </w:tc>
              <w:tc>
                <w:tcPr>
                  <w:tcW w:w="284" w:type="dxa"/>
                  <w:tcBorders>
                    <w:top w:val="nil"/>
                    <w:left w:val="double" w:sz="4" w:space="0" w:color="auto"/>
                    <w:right w:val="single" w:sz="4" w:space="0" w:color="auto"/>
                  </w:tcBorders>
                  <w:shd w:val="clear" w:color="auto" w:fill="CCFFCC"/>
                </w:tcPr>
                <w:p w14:paraId="1CA8DFC9" w14:textId="77777777">
                  <w:pPr>
                    <w:pStyle w:val="Tabletext"/>
                    <w:keepNext/>
                    <w:keepLines/>
                    <w:ind w:firstLine="0"/>
                  </w:pPr>
                </w:p>
              </w:tc>
              <w:tc>
                <w:tcPr>
                  <w:tcW w:w="7655" w:type="dxa"/>
                  <w:gridSpan w:val="6"/>
                  <w:tcBorders>
                    <w:top w:val="single" w:sz="4" w:space="0" w:color="auto"/>
                    <w:left w:val="single" w:sz="4" w:space="0" w:color="auto"/>
                    <w:bottom w:val="nil"/>
                    <w:right w:val="single" w:sz="4" w:space="0" w:color="auto"/>
                  </w:tcBorders>
                  <w:shd w:val="clear" w:color="auto" w:fill="CCCCFF"/>
                </w:tcPr>
                <w:p w14:paraId="159DD653" w14:textId="77777777">
                  <w:pPr>
                    <w:pStyle w:val="Tabletext"/>
                    <w:keepNext/>
                    <w:keepLines/>
                    <w:ind w:firstLine="0"/>
                  </w:pPr>
                  <w:r>
                    <w:t>&lt;page 1&gt; “contains”</w:t>
                  </w:r>
                </w:p>
              </w:tc>
              <w:tc>
                <w:tcPr>
                  <w:tcW w:w="284" w:type="dxa"/>
                  <w:vMerge w:val="restart"/>
                  <w:tcBorders>
                    <w:top w:val="nil"/>
                    <w:left w:val="single" w:sz="4" w:space="0" w:color="auto"/>
                    <w:right w:val="double" w:sz="4" w:space="0" w:color="auto"/>
                  </w:tcBorders>
                  <w:shd w:val="clear" w:color="auto" w:fill="CCFFCC"/>
                </w:tcPr>
                <w:p w14:paraId="6333D962"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7277D63" w14:textId="77777777">
                  <w:pPr>
                    <w:pStyle w:val="Tabletext"/>
                    <w:keepNext/>
                    <w:keepLines/>
                    <w:ind w:firstLine="0"/>
                  </w:pPr>
                </w:p>
              </w:tc>
            </w:tr>
            <w:tr w14:paraId="52D6CF8D" w14:textId="77777777">
              <w:trPr>
                <w:trHeight w:hRule="exact" w:val="284"/>
                <w:jc w:val="center"/>
              </w:trPr>
              <w:tc>
                <w:tcPr>
                  <w:tcW w:w="284" w:type="dxa"/>
                  <w:vMerge/>
                  <w:tcBorders>
                    <w:left w:val="double" w:sz="12" w:space="0" w:color="auto"/>
                    <w:right w:val="double" w:sz="4" w:space="0" w:color="auto"/>
                  </w:tcBorders>
                  <w:shd w:val="clear" w:color="auto" w:fill="92D050"/>
                </w:tcPr>
                <w:p w14:paraId="675EF570"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40FABF8D" w14:textId="77777777">
                  <w:pPr>
                    <w:pStyle w:val="Tabletext"/>
                    <w:keepNext/>
                    <w:keepLines/>
                    <w:ind w:firstLine="0"/>
                  </w:pPr>
                </w:p>
              </w:tc>
              <w:tc>
                <w:tcPr>
                  <w:tcW w:w="284" w:type="dxa"/>
                  <w:vMerge w:val="restart"/>
                  <w:tcBorders>
                    <w:top w:val="nil"/>
                    <w:left w:val="single" w:sz="4" w:space="0" w:color="auto"/>
                    <w:bottom w:val="dashed" w:sz="4" w:space="0" w:color="auto"/>
                    <w:right w:val="dashed" w:sz="4" w:space="0" w:color="auto"/>
                  </w:tcBorders>
                  <w:shd w:val="clear" w:color="auto" w:fill="CCCCFF"/>
                </w:tcPr>
                <w:p w14:paraId="6E935358"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24F14FFB" w14:textId="77777777">
                  <w:pPr>
                    <w:pStyle w:val="Tabletext"/>
                    <w:keepNext/>
                    <w:keepLines/>
                    <w:ind w:firstLine="0"/>
                  </w:pPr>
                  <w:r>
                    <w:t>&lt;line 1&gt;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8961125"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101CA4CA" w14:textId="77777777">
                  <w:pPr>
                    <w:pStyle w:val="Tabletext"/>
                    <w:keepNext/>
                    <w:keepLines/>
                    <w:ind w:firstLine="0"/>
                    <w:jc w:val="center"/>
                    <w:rPr>
                      <w:i/>
                      <w:iCs/>
                    </w:rPr>
                  </w:pPr>
                  <w:r>
                    <w:rPr>
                      <w:i/>
                      <w:iCs/>
                    </w:rPr>
                    <w:t>…text a…</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35EAA5E3"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05EABA67" w14:textId="77777777">
                  <w:pPr>
                    <w:pStyle w:val="Tabletext"/>
                    <w:keepNext/>
                    <w:keepLines/>
                    <w:ind w:firstLine="0"/>
                    <w:jc w:val="center"/>
                    <w:rPr>
                      <w:i/>
                      <w:iCs/>
                    </w:rPr>
                  </w:pPr>
                  <w:r>
                    <w:rPr>
                      <w:i/>
                      <w:iCs/>
                    </w:rPr>
                    <w:t>…text b…</w:t>
                  </w:r>
                </w:p>
              </w:tc>
              <w:tc>
                <w:tcPr>
                  <w:tcW w:w="284" w:type="dxa"/>
                  <w:vMerge/>
                  <w:tcBorders>
                    <w:left w:val="single" w:sz="4" w:space="0" w:color="auto"/>
                    <w:right w:val="double" w:sz="4" w:space="0" w:color="auto"/>
                  </w:tcBorders>
                  <w:shd w:val="clear" w:color="auto" w:fill="CCFFCC"/>
                </w:tcPr>
                <w:p w14:paraId="18FDB91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8B27F9F" w14:textId="77777777">
                  <w:pPr>
                    <w:pStyle w:val="Tabletext"/>
                    <w:keepNext/>
                    <w:keepLines/>
                    <w:ind w:firstLine="0"/>
                  </w:pPr>
                </w:p>
              </w:tc>
            </w:tr>
            <w:tr w14:paraId="4FEED53E" w14:textId="77777777">
              <w:trPr>
                <w:trHeight w:hRule="exact" w:val="284"/>
                <w:jc w:val="center"/>
              </w:trPr>
              <w:tc>
                <w:tcPr>
                  <w:tcW w:w="284" w:type="dxa"/>
                  <w:vMerge/>
                  <w:tcBorders>
                    <w:left w:val="double" w:sz="12" w:space="0" w:color="auto"/>
                    <w:right w:val="double" w:sz="4" w:space="0" w:color="auto"/>
                  </w:tcBorders>
                  <w:shd w:val="clear" w:color="auto" w:fill="92D050"/>
                </w:tcPr>
                <w:p w14:paraId="15E5376E"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158C3D52" w14:textId="77777777">
                  <w:pPr>
                    <w:pStyle w:val="Tabletext"/>
                    <w:keepNext/>
                    <w:keepLines/>
                    <w:ind w:firstLine="0"/>
                  </w:pPr>
                </w:p>
              </w:tc>
              <w:tc>
                <w:tcPr>
                  <w:tcW w:w="284" w:type="dxa"/>
                  <w:vMerge/>
                  <w:tcBorders>
                    <w:top w:val="single" w:sz="4" w:space="0" w:color="auto"/>
                    <w:left w:val="single" w:sz="4" w:space="0" w:color="auto"/>
                    <w:bottom w:val="dashed" w:sz="4" w:space="0" w:color="auto"/>
                    <w:right w:val="dashed" w:sz="4" w:space="0" w:color="auto"/>
                  </w:tcBorders>
                  <w:shd w:val="clear" w:color="auto" w:fill="CCCCFF"/>
                </w:tcPr>
                <w:p w14:paraId="40193BC5"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2316CB43" w14:textId="77777777">
                  <w:pPr>
                    <w:pStyle w:val="Tabletext"/>
                    <w:keepNext/>
                    <w:keepLines/>
                    <w:ind w:firstLine="0"/>
                  </w:pPr>
                  <w:r>
                    <w:t>&lt;line 2&gt;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3C8082E3"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292A0520" w14:textId="77777777">
                  <w:pPr>
                    <w:pStyle w:val="Tabletext"/>
                    <w:keepNext/>
                    <w:keepLines/>
                    <w:ind w:firstLine="0"/>
                    <w:jc w:val="center"/>
                    <w:rPr>
                      <w:i/>
                      <w:iCs/>
                    </w:rPr>
                  </w:pPr>
                  <w:r>
                    <w:rPr>
                      <w:i/>
                      <w:iCs/>
                    </w:rPr>
                    <w:t>…text c…</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C135B1D"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D9B541C" w14:textId="77777777">
                  <w:pPr>
                    <w:pStyle w:val="Tabletext"/>
                    <w:keepNext/>
                    <w:keepLines/>
                    <w:ind w:firstLine="0"/>
                    <w:jc w:val="center"/>
                    <w:rPr>
                      <w:i/>
                      <w:iCs/>
                    </w:rPr>
                  </w:pPr>
                  <w:r>
                    <w:rPr>
                      <w:i/>
                      <w:iCs/>
                    </w:rPr>
                    <w:t>…text d…</w:t>
                  </w:r>
                </w:p>
              </w:tc>
              <w:tc>
                <w:tcPr>
                  <w:tcW w:w="284" w:type="dxa"/>
                  <w:vMerge/>
                  <w:tcBorders>
                    <w:left w:val="single" w:sz="4" w:space="0" w:color="auto"/>
                    <w:right w:val="double" w:sz="4" w:space="0" w:color="auto"/>
                  </w:tcBorders>
                  <w:shd w:val="clear" w:color="auto" w:fill="CCFFCC"/>
                </w:tcPr>
                <w:p w14:paraId="6AF6713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B6229EB" w14:textId="77777777">
                  <w:pPr>
                    <w:pStyle w:val="Tabletext"/>
                    <w:keepNext/>
                    <w:keepLines/>
                    <w:ind w:firstLine="0"/>
                  </w:pPr>
                </w:p>
              </w:tc>
            </w:tr>
            <w:tr w14:paraId="79421EEC" w14:textId="77777777">
              <w:trPr>
                <w:trHeight w:hRule="exact" w:val="284"/>
                <w:jc w:val="center"/>
              </w:trPr>
              <w:tc>
                <w:tcPr>
                  <w:tcW w:w="284" w:type="dxa"/>
                  <w:vMerge/>
                  <w:tcBorders>
                    <w:left w:val="double" w:sz="12" w:space="0" w:color="auto"/>
                    <w:right w:val="double" w:sz="4" w:space="0" w:color="auto"/>
                  </w:tcBorders>
                  <w:shd w:val="clear" w:color="auto" w:fill="92D050"/>
                </w:tcPr>
                <w:p w14:paraId="18778032"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B7DBB62" w14:textId="77777777">
                  <w:pPr>
                    <w:pStyle w:val="Tabletext"/>
                    <w:keepNext/>
                    <w:keepLines/>
                    <w:ind w:firstLine="0"/>
                  </w:pPr>
                </w:p>
              </w:tc>
              <w:tc>
                <w:tcPr>
                  <w:tcW w:w="284" w:type="dxa"/>
                  <w:vMerge/>
                  <w:tcBorders>
                    <w:top w:val="single" w:sz="4" w:space="0" w:color="auto"/>
                    <w:left w:val="single" w:sz="4" w:space="0" w:color="auto"/>
                    <w:bottom w:val="dashed" w:sz="4" w:space="0" w:color="auto"/>
                    <w:right w:val="dashed" w:sz="4" w:space="0" w:color="auto"/>
                  </w:tcBorders>
                  <w:shd w:val="clear" w:color="auto" w:fill="CCCCFF"/>
                </w:tcPr>
                <w:p w14:paraId="618A6170"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14C8E06E" w14:textId="77777777">
                  <w:pPr>
                    <w:pStyle w:val="Tabletext"/>
                    <w:keepNext/>
                    <w:keepLines/>
                    <w:ind w:firstLine="0"/>
                  </w:pPr>
                  <w:r>
                    <w:t>&lt;line 3&gt;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79568E29"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898AF90" w14:textId="77777777">
                  <w:pPr>
                    <w:pStyle w:val="Tabletext"/>
                    <w:keepNext/>
                    <w:keepLines/>
                    <w:ind w:firstLine="0"/>
                    <w:jc w:val="center"/>
                    <w:rPr>
                      <w:i/>
                      <w:iCs/>
                    </w:rPr>
                  </w:pPr>
                  <w:r>
                    <w:rPr>
                      <w:i/>
                      <w:iCs/>
                    </w:rPr>
                    <w:t>…text e…</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493D3BE"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62F1537" w14:textId="77777777">
                  <w:pPr>
                    <w:pStyle w:val="Tabletext"/>
                    <w:keepNext/>
                    <w:keepLines/>
                    <w:ind w:firstLine="0"/>
                    <w:jc w:val="center"/>
                    <w:rPr>
                      <w:i/>
                      <w:iCs/>
                    </w:rPr>
                  </w:pPr>
                  <w:r>
                    <w:rPr>
                      <w:i/>
                      <w:iCs/>
                    </w:rPr>
                    <w:t>…text f…</w:t>
                  </w:r>
                </w:p>
              </w:tc>
              <w:tc>
                <w:tcPr>
                  <w:tcW w:w="284" w:type="dxa"/>
                  <w:vMerge/>
                  <w:tcBorders>
                    <w:left w:val="single" w:sz="4" w:space="0" w:color="auto"/>
                    <w:right w:val="double" w:sz="4" w:space="0" w:color="auto"/>
                  </w:tcBorders>
                  <w:shd w:val="clear" w:color="auto" w:fill="CCFFCC"/>
                </w:tcPr>
                <w:p w14:paraId="274D95C1"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6676DE7C" w14:textId="77777777">
                  <w:pPr>
                    <w:pStyle w:val="Tabletext"/>
                    <w:keepNext/>
                    <w:keepLines/>
                    <w:ind w:firstLine="0"/>
                  </w:pPr>
                </w:p>
              </w:tc>
            </w:tr>
            <w:tr w14:paraId="62576750" w14:textId="77777777">
              <w:trPr>
                <w:trHeight w:hRule="exact" w:val="284"/>
                <w:jc w:val="center"/>
              </w:trPr>
              <w:tc>
                <w:tcPr>
                  <w:tcW w:w="284" w:type="dxa"/>
                  <w:vMerge/>
                  <w:tcBorders>
                    <w:left w:val="double" w:sz="12" w:space="0" w:color="auto"/>
                    <w:right w:val="double" w:sz="4" w:space="0" w:color="auto"/>
                  </w:tcBorders>
                  <w:shd w:val="clear" w:color="auto" w:fill="92D050"/>
                </w:tcPr>
                <w:p w14:paraId="78A948CE"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115AF775" w14:textId="77777777">
                  <w:pPr>
                    <w:pStyle w:val="Tabletext"/>
                    <w:keepNext/>
                    <w:keepLines/>
                    <w:ind w:firstLine="0"/>
                  </w:pPr>
                </w:p>
              </w:tc>
              <w:tc>
                <w:tcPr>
                  <w:tcW w:w="7655" w:type="dxa"/>
                  <w:gridSpan w:val="6"/>
                  <w:tcBorders>
                    <w:top w:val="nil"/>
                    <w:left w:val="single" w:sz="4" w:space="0" w:color="auto"/>
                    <w:bottom w:val="nil"/>
                    <w:right w:val="single" w:sz="4" w:space="0" w:color="auto"/>
                  </w:tcBorders>
                  <w:shd w:val="clear" w:color="auto" w:fill="CCCCFF"/>
                </w:tcPr>
                <w:p w14:paraId="69D3F747" w14:textId="77777777">
                  <w:pPr>
                    <w:pStyle w:val="Tabletext"/>
                    <w:keepNext/>
                    <w:keepLines/>
                    <w:ind w:firstLine="0"/>
                  </w:pPr>
                  <w:r>
                    <w:t>&lt;page 2&gt; “contains”</w:t>
                  </w:r>
                </w:p>
              </w:tc>
              <w:tc>
                <w:tcPr>
                  <w:tcW w:w="284" w:type="dxa"/>
                  <w:vMerge/>
                  <w:tcBorders>
                    <w:left w:val="single" w:sz="4" w:space="0" w:color="auto"/>
                    <w:right w:val="double" w:sz="4" w:space="0" w:color="auto"/>
                  </w:tcBorders>
                  <w:shd w:val="clear" w:color="auto" w:fill="CCFFCC"/>
                </w:tcPr>
                <w:p w14:paraId="03C24C5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FF76E83" w14:textId="77777777">
                  <w:pPr>
                    <w:pStyle w:val="Tabletext"/>
                    <w:keepNext/>
                    <w:keepLines/>
                    <w:ind w:firstLine="0"/>
                  </w:pPr>
                </w:p>
              </w:tc>
            </w:tr>
            <w:tr w14:paraId="22955D2F" w14:textId="77777777">
              <w:trPr>
                <w:trHeight w:hRule="exact" w:val="284"/>
                <w:jc w:val="center"/>
              </w:trPr>
              <w:tc>
                <w:tcPr>
                  <w:tcW w:w="284" w:type="dxa"/>
                  <w:vMerge/>
                  <w:tcBorders>
                    <w:left w:val="double" w:sz="12" w:space="0" w:color="auto"/>
                    <w:right w:val="double" w:sz="4" w:space="0" w:color="auto"/>
                  </w:tcBorders>
                  <w:shd w:val="clear" w:color="auto" w:fill="92D050"/>
                </w:tcPr>
                <w:p w14:paraId="4E234C17"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B2AFB01" w14:textId="77777777">
                  <w:pPr>
                    <w:pStyle w:val="Tabletext"/>
                    <w:keepNext/>
                    <w:keepLines/>
                    <w:ind w:firstLine="0"/>
                  </w:pPr>
                </w:p>
              </w:tc>
              <w:tc>
                <w:tcPr>
                  <w:tcW w:w="284" w:type="dxa"/>
                  <w:vMerge w:val="restart"/>
                  <w:tcBorders>
                    <w:top w:val="nil"/>
                    <w:left w:val="single" w:sz="4" w:space="0" w:color="auto"/>
                    <w:bottom w:val="single" w:sz="4" w:space="0" w:color="auto"/>
                    <w:right w:val="dashed" w:sz="4" w:space="0" w:color="auto"/>
                  </w:tcBorders>
                  <w:shd w:val="clear" w:color="auto" w:fill="CCCCFF"/>
                </w:tcPr>
                <w:p w14:paraId="7AEC175F"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4E4998B0" w14:textId="77777777">
                  <w:pPr>
                    <w:pStyle w:val="Tabletext"/>
                    <w:keepNext/>
                    <w:keepLines/>
                    <w:ind w:firstLine="0"/>
                  </w:pPr>
                  <w:r>
                    <w:t>&lt;line 4&gt;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78737778"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0BB2724" w14:textId="77777777">
                  <w:pPr>
                    <w:pStyle w:val="Tabletext"/>
                    <w:keepNext/>
                    <w:keepLines/>
                    <w:ind w:firstLine="0"/>
                    <w:jc w:val="center"/>
                    <w:rPr>
                      <w:i/>
                      <w:iCs/>
                    </w:rPr>
                  </w:pPr>
                  <w:r>
                    <w:rPr>
                      <w:i/>
                      <w:iCs/>
                    </w:rPr>
                    <w:t>…text g…</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26D93CF6"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77047BA3" w14:textId="77777777">
                  <w:pPr>
                    <w:pStyle w:val="Tabletext"/>
                    <w:keepNext/>
                    <w:keepLines/>
                    <w:ind w:firstLine="0"/>
                    <w:jc w:val="center"/>
                    <w:rPr>
                      <w:i/>
                      <w:iCs/>
                    </w:rPr>
                  </w:pPr>
                  <w:r>
                    <w:rPr>
                      <w:i/>
                      <w:iCs/>
                    </w:rPr>
                    <w:t>…text h…</w:t>
                  </w:r>
                </w:p>
              </w:tc>
              <w:tc>
                <w:tcPr>
                  <w:tcW w:w="284" w:type="dxa"/>
                  <w:vMerge/>
                  <w:tcBorders>
                    <w:left w:val="single" w:sz="4" w:space="0" w:color="auto"/>
                    <w:right w:val="double" w:sz="4" w:space="0" w:color="auto"/>
                  </w:tcBorders>
                  <w:shd w:val="clear" w:color="auto" w:fill="CCFFCC"/>
                </w:tcPr>
                <w:p w14:paraId="0208127E"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ABA27CB" w14:textId="77777777">
                  <w:pPr>
                    <w:pStyle w:val="Tabletext"/>
                    <w:keepNext/>
                    <w:keepLines/>
                    <w:ind w:firstLine="0"/>
                  </w:pPr>
                </w:p>
              </w:tc>
            </w:tr>
            <w:tr w14:paraId="1896EE6F" w14:textId="77777777">
              <w:trPr>
                <w:trHeight w:hRule="exact" w:val="284"/>
                <w:jc w:val="center"/>
              </w:trPr>
              <w:tc>
                <w:tcPr>
                  <w:tcW w:w="284" w:type="dxa"/>
                  <w:vMerge/>
                  <w:tcBorders>
                    <w:left w:val="double" w:sz="12" w:space="0" w:color="auto"/>
                    <w:right w:val="double" w:sz="4" w:space="0" w:color="auto"/>
                  </w:tcBorders>
                  <w:shd w:val="clear" w:color="auto" w:fill="92D050"/>
                </w:tcPr>
                <w:p w14:paraId="572494A7" w14:textId="77777777">
                  <w:pPr>
                    <w:pStyle w:val="Tabletext"/>
                    <w:keepNext/>
                    <w:keepLines/>
                    <w:ind w:firstLine="0"/>
                  </w:pPr>
                </w:p>
              </w:tc>
              <w:tc>
                <w:tcPr>
                  <w:tcW w:w="284" w:type="dxa"/>
                  <w:tcBorders>
                    <w:left w:val="double" w:sz="4" w:space="0" w:color="auto"/>
                    <w:right w:val="single" w:sz="4" w:space="0" w:color="auto"/>
                  </w:tcBorders>
                  <w:shd w:val="clear" w:color="auto" w:fill="CCFFCC"/>
                </w:tcPr>
                <w:p w14:paraId="3167AB4A" w14:textId="77777777">
                  <w:pPr>
                    <w:pStyle w:val="Tabletext"/>
                    <w:keepNext/>
                    <w:keepLines/>
                    <w:ind w:firstLine="0"/>
                  </w:pPr>
                </w:p>
              </w:tc>
              <w:tc>
                <w:tcPr>
                  <w:tcW w:w="284" w:type="dxa"/>
                  <w:vMerge/>
                  <w:tcBorders>
                    <w:top w:val="nil"/>
                    <w:left w:val="single" w:sz="4" w:space="0" w:color="auto"/>
                    <w:bottom w:val="single" w:sz="4" w:space="0" w:color="auto"/>
                    <w:right w:val="dashed" w:sz="4" w:space="0" w:color="auto"/>
                  </w:tcBorders>
                  <w:shd w:val="clear" w:color="auto" w:fill="CCCCFF"/>
                </w:tcPr>
                <w:p w14:paraId="71230527"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789B01D" w14:textId="77777777">
                  <w:pPr>
                    <w:pStyle w:val="Tabletext"/>
                    <w:keepNext/>
                    <w:keepLines/>
                    <w:ind w:firstLine="0"/>
                  </w:pPr>
                  <w:r>
                    <w:t>&lt;line 5&gt;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2836279F"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409AC57F" w14:textId="77777777">
                  <w:pPr>
                    <w:pStyle w:val="Tabletext"/>
                    <w:keepNext/>
                    <w:keepLines/>
                    <w:ind w:firstLine="0"/>
                    <w:jc w:val="center"/>
                    <w:rPr>
                      <w:i/>
                      <w:iCs/>
                    </w:rPr>
                  </w:pPr>
                  <w:r>
                    <w:rPr>
                      <w:i/>
                      <w:iCs/>
                    </w:rPr>
                    <w:t xml:space="preserve">…text </w:t>
                  </w:r>
                  <w:r>
                    <w:rPr>
                      <w:i/>
                      <w:iCs/>
                      <w:noProof/>
                    </w:rPr>
                    <w:t>i</w:t>
                  </w:r>
                  <w:r>
                    <w:rPr>
                      <w:i/>
                      <w:iCs/>
                    </w:rPr>
                    <w:t>…</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C975E99"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2614D5AC" w14:textId="77777777">
                  <w:pPr>
                    <w:pStyle w:val="Tabletext"/>
                    <w:keepNext/>
                    <w:keepLines/>
                    <w:ind w:firstLine="0"/>
                    <w:jc w:val="center"/>
                    <w:rPr>
                      <w:i/>
                      <w:iCs/>
                    </w:rPr>
                  </w:pPr>
                  <w:r>
                    <w:rPr>
                      <w:i/>
                      <w:iCs/>
                    </w:rPr>
                    <w:t>…text j…</w:t>
                  </w:r>
                </w:p>
              </w:tc>
              <w:tc>
                <w:tcPr>
                  <w:tcW w:w="284" w:type="dxa"/>
                  <w:vMerge/>
                  <w:tcBorders>
                    <w:left w:val="single" w:sz="4" w:space="0" w:color="auto"/>
                    <w:right w:val="double" w:sz="4" w:space="0" w:color="auto"/>
                  </w:tcBorders>
                  <w:shd w:val="clear" w:color="auto" w:fill="CCFFCC"/>
                </w:tcPr>
                <w:p w14:paraId="0855E2E8"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61EE9354" w14:textId="77777777">
                  <w:pPr>
                    <w:pStyle w:val="Tabletext"/>
                    <w:keepNext/>
                    <w:keepLines/>
                    <w:ind w:firstLine="0"/>
                  </w:pPr>
                </w:p>
              </w:tc>
            </w:tr>
            <w:tr w14:paraId="74C41667" w14:textId="77777777">
              <w:trPr>
                <w:trHeight w:hRule="exact" w:val="284"/>
                <w:jc w:val="center"/>
              </w:trPr>
              <w:tc>
                <w:tcPr>
                  <w:tcW w:w="284" w:type="dxa"/>
                  <w:vMerge/>
                  <w:tcBorders>
                    <w:left w:val="double" w:sz="12" w:space="0" w:color="auto"/>
                    <w:right w:val="double" w:sz="4" w:space="0" w:color="auto"/>
                  </w:tcBorders>
                  <w:shd w:val="clear" w:color="auto" w:fill="92D050"/>
                </w:tcPr>
                <w:p w14:paraId="7145E7E5" w14:textId="77777777">
                  <w:pPr>
                    <w:pStyle w:val="Tabletext"/>
                    <w:keepNext/>
                    <w:keepLines/>
                    <w:ind w:firstLine="0"/>
                  </w:pPr>
                </w:p>
              </w:tc>
              <w:tc>
                <w:tcPr>
                  <w:tcW w:w="284" w:type="dxa"/>
                  <w:tcBorders>
                    <w:left w:val="double" w:sz="4" w:space="0" w:color="auto"/>
                    <w:bottom w:val="nil"/>
                    <w:right w:val="single" w:sz="4" w:space="0" w:color="auto"/>
                  </w:tcBorders>
                  <w:shd w:val="clear" w:color="auto" w:fill="CCFFCC"/>
                </w:tcPr>
                <w:p w14:paraId="21DE38A6" w14:textId="77777777">
                  <w:pPr>
                    <w:pStyle w:val="Tabletext"/>
                    <w:keepNext/>
                    <w:keepLines/>
                    <w:ind w:firstLine="0"/>
                  </w:pPr>
                </w:p>
              </w:tc>
              <w:tc>
                <w:tcPr>
                  <w:tcW w:w="284" w:type="dxa"/>
                  <w:vMerge/>
                  <w:tcBorders>
                    <w:top w:val="nil"/>
                    <w:left w:val="single" w:sz="4" w:space="0" w:color="auto"/>
                    <w:bottom w:val="single" w:sz="4" w:space="0" w:color="auto"/>
                    <w:right w:val="dashed" w:sz="4" w:space="0" w:color="auto"/>
                  </w:tcBorders>
                  <w:shd w:val="clear" w:color="auto" w:fill="CCCCFF"/>
                </w:tcPr>
                <w:p w14:paraId="653006E7" w14:textId="77777777">
                  <w:pPr>
                    <w:pStyle w:val="Tabletext"/>
                    <w:keepNext/>
                    <w:keepLines/>
                    <w:ind w:firstLine="0"/>
                  </w:pPr>
                </w:p>
              </w:tc>
              <w:tc>
                <w:tcPr>
                  <w:tcW w:w="1701" w:type="dxa"/>
                  <w:tcBorders>
                    <w:top w:val="dashed" w:sz="4" w:space="0" w:color="auto"/>
                    <w:left w:val="dashed" w:sz="4" w:space="0" w:color="auto"/>
                    <w:bottom w:val="single" w:sz="4" w:space="0" w:color="auto"/>
                    <w:right w:val="dashed" w:sz="4" w:space="0" w:color="auto"/>
                  </w:tcBorders>
                  <w:shd w:val="clear" w:color="auto" w:fill="00B0F0"/>
                </w:tcPr>
                <w:p w14:paraId="7E85BA82" w14:textId="77777777">
                  <w:pPr>
                    <w:pStyle w:val="Tabletext"/>
                    <w:keepNext/>
                    <w:keepLines/>
                    <w:ind w:firstLine="0"/>
                  </w:pPr>
                  <w:r>
                    <w:t>&lt;line 6&gt; “contains”</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6B511153" w14:textId="77777777">
                  <w:pPr>
                    <w:pStyle w:val="Tabletext"/>
                    <w:keepNext/>
                    <w:keepLines/>
                    <w:ind w:firstLine="0"/>
                  </w:pPr>
                  <w:r>
                    <w:t>&lt;cell C&gt; “contains”</w:t>
                  </w:r>
                </w:p>
              </w:tc>
              <w:tc>
                <w:tcPr>
                  <w:tcW w:w="1134" w:type="dxa"/>
                  <w:tcBorders>
                    <w:top w:val="dashed" w:sz="4" w:space="0" w:color="auto"/>
                    <w:left w:val="dashed" w:sz="4" w:space="0" w:color="auto"/>
                    <w:bottom w:val="single" w:sz="4" w:space="0" w:color="auto"/>
                    <w:right w:val="dashed" w:sz="4" w:space="0" w:color="auto"/>
                  </w:tcBorders>
                  <w:shd w:val="clear" w:color="auto" w:fill="FFFF00"/>
                </w:tcPr>
                <w:p w14:paraId="20127FFC" w14:textId="77777777">
                  <w:pPr>
                    <w:pStyle w:val="Tabletext"/>
                    <w:keepNext/>
                    <w:keepLines/>
                    <w:ind w:firstLine="0"/>
                    <w:jc w:val="center"/>
                    <w:rPr>
                      <w:i/>
                      <w:iCs/>
                    </w:rPr>
                  </w:pPr>
                  <w:r>
                    <w:rPr>
                      <w:i/>
                      <w:iCs/>
                    </w:rPr>
                    <w:t>…text k…</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00C4B081" w14:textId="77777777">
                  <w:pPr>
                    <w:pStyle w:val="Tabletext"/>
                    <w:keepNext/>
                    <w:keepLines/>
                    <w:ind w:firstLine="0"/>
                  </w:pPr>
                  <w:r>
                    <w:t>&lt;cell D&gt; “contains”</w:t>
                  </w:r>
                </w:p>
              </w:tc>
              <w:tc>
                <w:tcPr>
                  <w:tcW w:w="1134" w:type="dxa"/>
                  <w:tcBorders>
                    <w:top w:val="dashed" w:sz="4" w:space="0" w:color="auto"/>
                    <w:left w:val="dashed" w:sz="4" w:space="0" w:color="auto"/>
                    <w:bottom w:val="single" w:sz="4" w:space="0" w:color="auto"/>
                    <w:right w:val="single" w:sz="4" w:space="0" w:color="auto"/>
                  </w:tcBorders>
                  <w:shd w:val="clear" w:color="auto" w:fill="FFFF00"/>
                </w:tcPr>
                <w:p w14:paraId="14B4030F" w14:textId="77777777">
                  <w:pPr>
                    <w:pStyle w:val="Tabletext"/>
                    <w:keepNext/>
                    <w:keepLines/>
                    <w:ind w:firstLine="0"/>
                    <w:jc w:val="center"/>
                    <w:rPr>
                      <w:i/>
                      <w:iCs/>
                    </w:rPr>
                  </w:pPr>
                  <w:r>
                    <w:rPr>
                      <w:i/>
                      <w:iCs/>
                    </w:rPr>
                    <w:t>…text l…</w:t>
                  </w:r>
                </w:p>
              </w:tc>
              <w:tc>
                <w:tcPr>
                  <w:tcW w:w="284" w:type="dxa"/>
                  <w:vMerge/>
                  <w:tcBorders>
                    <w:left w:val="single" w:sz="4" w:space="0" w:color="auto"/>
                    <w:right w:val="double" w:sz="4" w:space="0" w:color="auto"/>
                  </w:tcBorders>
                  <w:shd w:val="clear" w:color="auto" w:fill="CCFFCC"/>
                </w:tcPr>
                <w:p w14:paraId="58E600C9"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AB8F60D" w14:textId="77777777">
                  <w:pPr>
                    <w:pStyle w:val="Tabletext"/>
                    <w:keepNext/>
                    <w:keepLines/>
                    <w:ind w:firstLine="0"/>
                  </w:pPr>
                </w:p>
              </w:tc>
            </w:tr>
            <w:tr w14:paraId="0D557853" w14:textId="77777777">
              <w:trPr>
                <w:trHeight w:hRule="exact" w:val="284"/>
                <w:jc w:val="center"/>
              </w:trPr>
              <w:tc>
                <w:tcPr>
                  <w:tcW w:w="284" w:type="dxa"/>
                  <w:vMerge/>
                  <w:tcBorders>
                    <w:left w:val="double" w:sz="12" w:space="0" w:color="auto"/>
                    <w:right w:val="double" w:sz="4" w:space="0" w:color="auto"/>
                  </w:tcBorders>
                  <w:shd w:val="clear" w:color="auto" w:fill="92D050"/>
                </w:tcPr>
                <w:p w14:paraId="219C6AC6" w14:textId="77777777">
                  <w:pPr>
                    <w:pStyle w:val="Tabletext"/>
                    <w:keepNext/>
                    <w:keepLines/>
                    <w:ind w:firstLine="0"/>
                  </w:pPr>
                </w:p>
              </w:tc>
              <w:tc>
                <w:tcPr>
                  <w:tcW w:w="8223" w:type="dxa"/>
                  <w:gridSpan w:val="8"/>
                  <w:tcBorders>
                    <w:top w:val="nil"/>
                    <w:left w:val="double" w:sz="4" w:space="0" w:color="auto"/>
                    <w:bottom w:val="double" w:sz="4" w:space="0" w:color="auto"/>
                    <w:right w:val="double" w:sz="4" w:space="0" w:color="auto"/>
                  </w:tcBorders>
                  <w:shd w:val="clear" w:color="auto" w:fill="CCFFCC"/>
                </w:tcPr>
                <w:p w14:paraId="08B9036D" w14:textId="77777777">
                  <w:pPr>
                    <w:pStyle w:val="Tabletext"/>
                    <w:keepNext/>
                    <w:keepLines/>
                    <w:ind w:firstLine="0"/>
                  </w:pPr>
                </w:p>
                <w:p w14:paraId="3CC529BD" w14:textId="77777777">
                  <w:pPr>
                    <w:pStyle w:val="Tabletext"/>
                    <w:keepNext/>
                    <w:keepLines/>
                    <w:ind w:firstLine="0"/>
                  </w:pPr>
                  <w:r>
                    <w:t>a</w:t>
                  </w:r>
                </w:p>
                <w:p w14:paraId="72DF19E3" w14:textId="77777777">
                  <w:pPr>
                    <w:pStyle w:val="Tabletext"/>
                    <w:keepNext/>
                    <w:keepLines/>
                    <w:ind w:firstLine="0"/>
                  </w:pPr>
                  <w:r>
                    <w:t>a</w:t>
                  </w:r>
                </w:p>
                <w:p w14:paraId="73F11EAF" w14:textId="77777777">
                  <w:pPr>
                    <w:pStyle w:val="Tabletext"/>
                    <w:keepNext/>
                    <w:keepLines/>
                    <w:ind w:firstLine="0"/>
                  </w:pPr>
                  <w:r>
                    <w:t>a</w:t>
                  </w:r>
                </w:p>
                <w:p w14:paraId="04331E48" w14:textId="77777777">
                  <w:pPr>
                    <w:pStyle w:val="Tabletext"/>
                    <w:keepNext/>
                    <w:keepLines/>
                    <w:ind w:firstLine="0"/>
                  </w:pPr>
                  <w:r>
                    <w:t>a</w:t>
                  </w:r>
                </w:p>
                <w:p w14:paraId="381D69A1" w14:textId="77777777">
                  <w:pPr>
                    <w:pStyle w:val="Tabletext"/>
                    <w:keepNext/>
                    <w:keepLines/>
                    <w:ind w:firstLine="0"/>
                  </w:pPr>
                  <w:r>
                    <w:t>a</w:t>
                  </w:r>
                </w:p>
              </w:tc>
              <w:tc>
                <w:tcPr>
                  <w:tcW w:w="284" w:type="dxa"/>
                  <w:vMerge/>
                  <w:tcBorders>
                    <w:left w:val="double" w:sz="4" w:space="0" w:color="auto"/>
                    <w:right w:val="double" w:sz="12" w:space="0" w:color="auto"/>
                  </w:tcBorders>
                  <w:shd w:val="clear" w:color="auto" w:fill="92D050"/>
                </w:tcPr>
                <w:p w14:paraId="5B6A052D" w14:textId="77777777">
                  <w:pPr>
                    <w:pStyle w:val="Tabletext"/>
                    <w:keepNext/>
                    <w:keepLines/>
                    <w:ind w:firstLine="0"/>
                  </w:pPr>
                </w:p>
              </w:tc>
            </w:tr>
            <w:tr w14:paraId="594B6F6C" w14:textId="77777777">
              <w:trPr>
                <w:trHeight w:hRule="exact" w:val="284"/>
                <w:jc w:val="center"/>
              </w:trPr>
              <w:tc>
                <w:tcPr>
                  <w:tcW w:w="284" w:type="dxa"/>
                  <w:vMerge/>
                  <w:tcBorders>
                    <w:left w:val="double" w:sz="12" w:space="0" w:color="auto"/>
                    <w:right w:val="double" w:sz="4" w:space="0" w:color="auto"/>
                  </w:tcBorders>
                  <w:shd w:val="clear" w:color="auto" w:fill="92D050"/>
                </w:tcPr>
                <w:p w14:paraId="22F5CDFD" w14:textId="77777777">
                  <w:pPr>
                    <w:pStyle w:val="Tabletext"/>
                    <w:keepNext/>
                    <w:keepLines/>
                    <w:ind w:firstLine="0"/>
                  </w:pPr>
                </w:p>
              </w:tc>
              <w:tc>
                <w:tcPr>
                  <w:tcW w:w="8223" w:type="dxa"/>
                  <w:gridSpan w:val="8"/>
                  <w:tcBorders>
                    <w:top w:val="nil"/>
                    <w:left w:val="double" w:sz="4" w:space="0" w:color="auto"/>
                    <w:bottom w:val="nil"/>
                    <w:right w:val="double" w:sz="4" w:space="0" w:color="auto"/>
                  </w:tcBorders>
                  <w:shd w:val="clear" w:color="auto" w:fill="CCFFCC"/>
                </w:tcPr>
                <w:p w14:paraId="4AEC217A" w14:textId="77777777">
                  <w:pPr>
                    <w:pStyle w:val="Tabletext"/>
                    <w:keepNext/>
                    <w:keepLines/>
                    <w:ind w:firstLine="0"/>
                  </w:pPr>
                  <w:r>
                    <w:t>&lt;textpart B&gt; contains</w:t>
                  </w:r>
                </w:p>
              </w:tc>
              <w:tc>
                <w:tcPr>
                  <w:tcW w:w="284" w:type="dxa"/>
                  <w:vMerge/>
                  <w:tcBorders>
                    <w:left w:val="double" w:sz="4" w:space="0" w:color="auto"/>
                    <w:right w:val="double" w:sz="12" w:space="0" w:color="auto"/>
                  </w:tcBorders>
                  <w:shd w:val="clear" w:color="auto" w:fill="92D050"/>
                </w:tcPr>
                <w:p w14:paraId="5FCD127F" w14:textId="77777777">
                  <w:pPr>
                    <w:pStyle w:val="Tabletext"/>
                    <w:keepNext/>
                    <w:keepLines/>
                    <w:ind w:firstLine="0"/>
                  </w:pPr>
                </w:p>
              </w:tc>
            </w:tr>
            <w:tr w14:paraId="1A883AC4" w14:textId="77777777">
              <w:trPr>
                <w:trHeight w:hRule="exact" w:val="284"/>
                <w:jc w:val="center"/>
              </w:trPr>
              <w:tc>
                <w:tcPr>
                  <w:tcW w:w="284" w:type="dxa"/>
                  <w:vMerge/>
                  <w:tcBorders>
                    <w:left w:val="double" w:sz="12" w:space="0" w:color="auto"/>
                    <w:right w:val="double" w:sz="4" w:space="0" w:color="auto"/>
                  </w:tcBorders>
                  <w:shd w:val="clear" w:color="auto" w:fill="92D050"/>
                </w:tcPr>
                <w:p w14:paraId="3DFE618B" w14:textId="77777777">
                  <w:pPr>
                    <w:pStyle w:val="Tabletext"/>
                    <w:keepNext/>
                    <w:keepLines/>
                    <w:ind w:firstLine="0"/>
                  </w:pPr>
                </w:p>
              </w:tc>
              <w:tc>
                <w:tcPr>
                  <w:tcW w:w="284" w:type="dxa"/>
                  <w:vMerge w:val="restart"/>
                  <w:tcBorders>
                    <w:top w:val="nil"/>
                    <w:left w:val="double" w:sz="4" w:space="0" w:color="auto"/>
                    <w:right w:val="single" w:sz="4" w:space="0" w:color="auto"/>
                  </w:tcBorders>
                  <w:shd w:val="clear" w:color="auto" w:fill="CCFFCC"/>
                </w:tcPr>
                <w:p w14:paraId="62F0ED22" w14:textId="77777777">
                  <w:pPr>
                    <w:pStyle w:val="Tabletext"/>
                    <w:keepNext/>
                    <w:keepLines/>
                    <w:ind w:firstLine="0"/>
                  </w:pPr>
                </w:p>
              </w:tc>
              <w:tc>
                <w:tcPr>
                  <w:tcW w:w="7655" w:type="dxa"/>
                  <w:gridSpan w:val="6"/>
                  <w:tcBorders>
                    <w:top w:val="single" w:sz="4" w:space="0" w:color="auto"/>
                    <w:left w:val="single" w:sz="4" w:space="0" w:color="auto"/>
                    <w:bottom w:val="nil"/>
                    <w:right w:val="single" w:sz="4" w:space="0" w:color="auto"/>
                  </w:tcBorders>
                  <w:shd w:val="clear" w:color="auto" w:fill="CCCCFF"/>
                </w:tcPr>
                <w:p w14:paraId="4FC610CF" w14:textId="77777777">
                  <w:pPr>
                    <w:pStyle w:val="Tabletext"/>
                    <w:keepNext/>
                    <w:keepLines/>
                    <w:ind w:firstLine="0"/>
                  </w:pPr>
                  <w:r>
                    <w:t>&lt;page 1&gt; “contains”</w:t>
                  </w:r>
                </w:p>
              </w:tc>
              <w:tc>
                <w:tcPr>
                  <w:tcW w:w="284" w:type="dxa"/>
                  <w:vMerge w:val="restart"/>
                  <w:tcBorders>
                    <w:top w:val="nil"/>
                    <w:left w:val="single" w:sz="4" w:space="0" w:color="auto"/>
                    <w:right w:val="double" w:sz="4" w:space="0" w:color="auto"/>
                  </w:tcBorders>
                  <w:shd w:val="clear" w:color="auto" w:fill="CCFFCC"/>
                </w:tcPr>
                <w:p w14:paraId="7C7FBEC5"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BC68925" w14:textId="77777777">
                  <w:pPr>
                    <w:pStyle w:val="Tabletext"/>
                    <w:keepNext/>
                    <w:keepLines/>
                    <w:ind w:firstLine="0"/>
                  </w:pPr>
                </w:p>
              </w:tc>
            </w:tr>
            <w:tr w14:paraId="32E3D243" w14:textId="77777777">
              <w:trPr>
                <w:trHeight w:hRule="exact" w:val="284"/>
                <w:jc w:val="center"/>
              </w:trPr>
              <w:tc>
                <w:tcPr>
                  <w:tcW w:w="284" w:type="dxa"/>
                  <w:vMerge/>
                  <w:tcBorders>
                    <w:left w:val="double" w:sz="12" w:space="0" w:color="auto"/>
                    <w:right w:val="double" w:sz="4" w:space="0" w:color="auto"/>
                  </w:tcBorders>
                  <w:shd w:val="clear" w:color="auto" w:fill="92D050"/>
                </w:tcPr>
                <w:p w14:paraId="77434160"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6A2FE759" w14:textId="77777777">
                  <w:pPr>
                    <w:pStyle w:val="Tabletext"/>
                    <w:keepNext/>
                    <w:keepLines/>
                    <w:ind w:firstLine="0"/>
                  </w:pPr>
                </w:p>
              </w:tc>
              <w:tc>
                <w:tcPr>
                  <w:tcW w:w="284" w:type="dxa"/>
                  <w:vMerge w:val="restart"/>
                  <w:tcBorders>
                    <w:top w:val="nil"/>
                    <w:left w:val="single" w:sz="4" w:space="0" w:color="auto"/>
                    <w:bottom w:val="dashed" w:sz="4" w:space="0" w:color="auto"/>
                    <w:right w:val="dashed" w:sz="4" w:space="0" w:color="auto"/>
                  </w:tcBorders>
                  <w:shd w:val="clear" w:color="auto" w:fill="CCCCFF"/>
                </w:tcPr>
                <w:p w14:paraId="4ACB3BB1"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71BDC087" w14:textId="77777777">
                  <w:pPr>
                    <w:pStyle w:val="Tabletext"/>
                    <w:keepNext/>
                    <w:keepLines/>
                    <w:ind w:firstLine="0"/>
                  </w:pPr>
                  <w:r>
                    <w:t>&lt;line 1&gt;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178FE2F9"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6031B8A" w14:textId="77777777">
                  <w:pPr>
                    <w:pStyle w:val="Tabletext"/>
                    <w:keepNext/>
                    <w:keepLines/>
                    <w:ind w:firstLine="0"/>
                    <w:jc w:val="center"/>
                    <w:rPr>
                      <w:i/>
                      <w:iCs/>
                    </w:rPr>
                  </w:pPr>
                  <w:r>
                    <w:rPr>
                      <w:i/>
                      <w:iCs/>
                    </w:rPr>
                    <w:t>…text m…</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0442FA3"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2E44407" w14:textId="77777777">
                  <w:pPr>
                    <w:pStyle w:val="Tabletext"/>
                    <w:keepNext/>
                    <w:keepLines/>
                    <w:ind w:firstLine="0"/>
                    <w:jc w:val="center"/>
                    <w:rPr>
                      <w:i/>
                      <w:iCs/>
                    </w:rPr>
                  </w:pPr>
                  <w:r>
                    <w:rPr>
                      <w:i/>
                      <w:iCs/>
                    </w:rPr>
                    <w:t>…text n…</w:t>
                  </w:r>
                </w:p>
              </w:tc>
              <w:tc>
                <w:tcPr>
                  <w:tcW w:w="284" w:type="dxa"/>
                  <w:vMerge/>
                  <w:tcBorders>
                    <w:left w:val="single" w:sz="4" w:space="0" w:color="auto"/>
                    <w:right w:val="double" w:sz="4" w:space="0" w:color="auto"/>
                  </w:tcBorders>
                  <w:shd w:val="clear" w:color="auto" w:fill="CCFFCC"/>
                </w:tcPr>
                <w:p w14:paraId="5A1282C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132FFC04" w14:textId="77777777">
                  <w:pPr>
                    <w:pStyle w:val="Tabletext"/>
                    <w:keepNext/>
                    <w:keepLines/>
                    <w:ind w:firstLine="0"/>
                  </w:pPr>
                </w:p>
              </w:tc>
            </w:tr>
            <w:tr w14:paraId="2352E3AC" w14:textId="77777777">
              <w:trPr>
                <w:trHeight w:hRule="exact" w:val="284"/>
                <w:jc w:val="center"/>
              </w:trPr>
              <w:tc>
                <w:tcPr>
                  <w:tcW w:w="284" w:type="dxa"/>
                  <w:vMerge/>
                  <w:tcBorders>
                    <w:left w:val="double" w:sz="12" w:space="0" w:color="auto"/>
                    <w:right w:val="double" w:sz="4" w:space="0" w:color="auto"/>
                  </w:tcBorders>
                  <w:shd w:val="clear" w:color="auto" w:fill="92D050"/>
                </w:tcPr>
                <w:p w14:paraId="69061FA4"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AF8C579" w14:textId="77777777">
                  <w:pPr>
                    <w:pStyle w:val="Tabletext"/>
                    <w:keepNext/>
                    <w:keepLines/>
                    <w:ind w:firstLine="0"/>
                  </w:pPr>
                </w:p>
              </w:tc>
              <w:tc>
                <w:tcPr>
                  <w:tcW w:w="284" w:type="dxa"/>
                  <w:vMerge/>
                  <w:tcBorders>
                    <w:top w:val="nil"/>
                    <w:left w:val="single" w:sz="4" w:space="0" w:color="auto"/>
                    <w:bottom w:val="dashed" w:sz="4" w:space="0" w:color="auto"/>
                    <w:right w:val="dashed" w:sz="4" w:space="0" w:color="auto"/>
                  </w:tcBorders>
                  <w:shd w:val="clear" w:color="auto" w:fill="CCCCFF"/>
                </w:tcPr>
                <w:p w14:paraId="24BC8634"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F754B29" w14:textId="77777777">
                  <w:pPr>
                    <w:pStyle w:val="Tabletext"/>
                    <w:keepNext/>
                    <w:keepLines/>
                    <w:ind w:firstLine="0"/>
                  </w:pPr>
                  <w:r>
                    <w:t>&lt;line 2&gt;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1D14EAC"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55C3C9D1" w14:textId="77777777">
                  <w:pPr>
                    <w:pStyle w:val="Tabletext"/>
                    <w:keepNext/>
                    <w:keepLines/>
                    <w:ind w:firstLine="0"/>
                    <w:jc w:val="center"/>
                    <w:rPr>
                      <w:i/>
                      <w:iCs/>
                    </w:rPr>
                  </w:pPr>
                  <w:r>
                    <w:rPr>
                      <w:i/>
                      <w:iCs/>
                    </w:rPr>
                    <w:t>…text o…</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3222CA5"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61179EFD" w14:textId="77777777">
                  <w:pPr>
                    <w:pStyle w:val="Tabletext"/>
                    <w:keepNext/>
                    <w:keepLines/>
                    <w:ind w:firstLine="0"/>
                    <w:jc w:val="center"/>
                    <w:rPr>
                      <w:i/>
                      <w:iCs/>
                    </w:rPr>
                  </w:pPr>
                  <w:r>
                    <w:rPr>
                      <w:i/>
                      <w:iCs/>
                    </w:rPr>
                    <w:t>…text p…</w:t>
                  </w:r>
                </w:p>
              </w:tc>
              <w:tc>
                <w:tcPr>
                  <w:tcW w:w="284" w:type="dxa"/>
                  <w:vMerge/>
                  <w:tcBorders>
                    <w:left w:val="single" w:sz="4" w:space="0" w:color="auto"/>
                    <w:right w:val="double" w:sz="4" w:space="0" w:color="auto"/>
                  </w:tcBorders>
                  <w:shd w:val="clear" w:color="auto" w:fill="CCFFCC"/>
                </w:tcPr>
                <w:p w14:paraId="623B4313"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168910B6" w14:textId="77777777">
                  <w:pPr>
                    <w:pStyle w:val="Tabletext"/>
                    <w:keepNext/>
                    <w:keepLines/>
                    <w:ind w:firstLine="0"/>
                  </w:pPr>
                </w:p>
              </w:tc>
            </w:tr>
            <w:tr w14:paraId="06C508E3" w14:textId="77777777">
              <w:trPr>
                <w:trHeight w:hRule="exact" w:val="284"/>
                <w:jc w:val="center"/>
              </w:trPr>
              <w:tc>
                <w:tcPr>
                  <w:tcW w:w="284" w:type="dxa"/>
                  <w:vMerge/>
                  <w:tcBorders>
                    <w:left w:val="double" w:sz="12" w:space="0" w:color="auto"/>
                    <w:right w:val="double" w:sz="4" w:space="0" w:color="auto"/>
                  </w:tcBorders>
                  <w:shd w:val="clear" w:color="auto" w:fill="92D050"/>
                </w:tcPr>
                <w:p w14:paraId="3DF4F0E3"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78C9FF2A" w14:textId="77777777">
                  <w:pPr>
                    <w:pStyle w:val="Tabletext"/>
                    <w:keepNext/>
                    <w:keepLines/>
                    <w:ind w:firstLine="0"/>
                  </w:pPr>
                </w:p>
              </w:tc>
              <w:tc>
                <w:tcPr>
                  <w:tcW w:w="284" w:type="dxa"/>
                  <w:vMerge/>
                  <w:tcBorders>
                    <w:top w:val="nil"/>
                    <w:left w:val="single" w:sz="4" w:space="0" w:color="auto"/>
                    <w:bottom w:val="dashed" w:sz="4" w:space="0" w:color="auto"/>
                    <w:right w:val="dashed" w:sz="4" w:space="0" w:color="auto"/>
                  </w:tcBorders>
                  <w:shd w:val="clear" w:color="auto" w:fill="CCCCFF"/>
                </w:tcPr>
                <w:p w14:paraId="784EF221"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07ABD035" w14:textId="77777777">
                  <w:pPr>
                    <w:pStyle w:val="Tabletext"/>
                    <w:keepNext/>
                    <w:keepLines/>
                    <w:ind w:firstLine="0"/>
                  </w:pPr>
                  <w:r>
                    <w:t>&lt;line 3&gt;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55F2A3D" w14:textId="77777777">
                  <w:pPr>
                    <w:pStyle w:val="Tabletext"/>
                    <w:keepNext/>
                    <w:keepLines/>
                    <w:ind w:firstLine="0"/>
                  </w:pPr>
                  <w:r>
                    <w:t>&lt;cell A&gt;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EE44DB7" w14:textId="77777777">
                  <w:pPr>
                    <w:pStyle w:val="Tabletext"/>
                    <w:keepNext/>
                    <w:keepLines/>
                    <w:ind w:firstLine="0"/>
                    <w:jc w:val="center"/>
                    <w:rPr>
                      <w:i/>
                      <w:iCs/>
                    </w:rPr>
                  </w:pPr>
                  <w:r>
                    <w:rPr>
                      <w:i/>
                      <w:iCs/>
                    </w:rPr>
                    <w:t>…text q…</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7861A01" w14:textId="77777777">
                  <w:pPr>
                    <w:pStyle w:val="Tabletext"/>
                    <w:keepNext/>
                    <w:keepLines/>
                    <w:ind w:firstLine="0"/>
                  </w:pPr>
                  <w:r>
                    <w:t>&lt;cell B&gt;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1EA07EDE" w14:textId="77777777">
                  <w:pPr>
                    <w:pStyle w:val="Tabletext"/>
                    <w:keepNext/>
                    <w:keepLines/>
                    <w:ind w:firstLine="0"/>
                    <w:jc w:val="center"/>
                    <w:rPr>
                      <w:i/>
                      <w:iCs/>
                    </w:rPr>
                  </w:pPr>
                  <w:r>
                    <w:rPr>
                      <w:i/>
                      <w:iCs/>
                    </w:rPr>
                    <w:t>…text r…</w:t>
                  </w:r>
                </w:p>
              </w:tc>
              <w:tc>
                <w:tcPr>
                  <w:tcW w:w="284" w:type="dxa"/>
                  <w:vMerge/>
                  <w:tcBorders>
                    <w:left w:val="single" w:sz="4" w:space="0" w:color="auto"/>
                    <w:right w:val="double" w:sz="4" w:space="0" w:color="auto"/>
                  </w:tcBorders>
                  <w:shd w:val="clear" w:color="auto" w:fill="CCFFCC"/>
                </w:tcPr>
                <w:p w14:paraId="0E2FD0B6"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B668339" w14:textId="77777777">
                  <w:pPr>
                    <w:pStyle w:val="Tabletext"/>
                    <w:keepNext/>
                    <w:keepLines/>
                    <w:ind w:firstLine="0"/>
                  </w:pPr>
                </w:p>
              </w:tc>
            </w:tr>
            <w:tr w14:paraId="359AF469" w14:textId="77777777">
              <w:trPr>
                <w:trHeight w:hRule="exact" w:val="284"/>
                <w:jc w:val="center"/>
              </w:trPr>
              <w:tc>
                <w:tcPr>
                  <w:tcW w:w="284" w:type="dxa"/>
                  <w:vMerge/>
                  <w:tcBorders>
                    <w:left w:val="double" w:sz="12" w:space="0" w:color="auto"/>
                    <w:right w:val="double" w:sz="4" w:space="0" w:color="auto"/>
                  </w:tcBorders>
                  <w:shd w:val="clear" w:color="auto" w:fill="92D050"/>
                </w:tcPr>
                <w:p w14:paraId="4FF2A483"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A9E0A56" w14:textId="77777777">
                  <w:pPr>
                    <w:pStyle w:val="Tabletext"/>
                    <w:keepNext/>
                    <w:keepLines/>
                    <w:ind w:firstLine="0"/>
                  </w:pPr>
                </w:p>
              </w:tc>
              <w:tc>
                <w:tcPr>
                  <w:tcW w:w="7655" w:type="dxa"/>
                  <w:gridSpan w:val="6"/>
                  <w:tcBorders>
                    <w:top w:val="nil"/>
                    <w:left w:val="single" w:sz="4" w:space="0" w:color="auto"/>
                    <w:bottom w:val="nil"/>
                    <w:right w:val="single" w:sz="4" w:space="0" w:color="auto"/>
                  </w:tcBorders>
                  <w:shd w:val="clear" w:color="auto" w:fill="CCCCFF"/>
                </w:tcPr>
                <w:p w14:paraId="0BFF496E" w14:textId="77777777">
                  <w:pPr>
                    <w:pStyle w:val="Tabletext"/>
                    <w:keepNext/>
                    <w:keepLines/>
                    <w:ind w:firstLine="0"/>
                    <w:rPr>
                      <w:i/>
                      <w:iCs/>
                    </w:rPr>
                  </w:pPr>
                  <w:r>
                    <w:t>&lt;page 2&gt; “contains”</w:t>
                  </w:r>
                </w:p>
              </w:tc>
              <w:tc>
                <w:tcPr>
                  <w:tcW w:w="284" w:type="dxa"/>
                  <w:vMerge/>
                  <w:tcBorders>
                    <w:left w:val="single" w:sz="4" w:space="0" w:color="auto"/>
                    <w:right w:val="double" w:sz="4" w:space="0" w:color="auto"/>
                  </w:tcBorders>
                  <w:shd w:val="clear" w:color="auto" w:fill="CCFFCC"/>
                </w:tcPr>
                <w:p w14:paraId="5BB0BFAD"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26B62AF6" w14:textId="77777777">
                  <w:pPr>
                    <w:pStyle w:val="Tabletext"/>
                    <w:keepNext/>
                    <w:keepLines/>
                    <w:ind w:firstLine="0"/>
                  </w:pPr>
                </w:p>
              </w:tc>
            </w:tr>
            <w:tr w14:paraId="3D4222B5" w14:textId="77777777">
              <w:trPr>
                <w:trHeight w:hRule="exact" w:val="284"/>
                <w:jc w:val="center"/>
              </w:trPr>
              <w:tc>
                <w:tcPr>
                  <w:tcW w:w="284" w:type="dxa"/>
                  <w:vMerge/>
                  <w:tcBorders>
                    <w:left w:val="double" w:sz="12" w:space="0" w:color="auto"/>
                    <w:right w:val="double" w:sz="4" w:space="0" w:color="auto"/>
                  </w:tcBorders>
                  <w:shd w:val="clear" w:color="auto" w:fill="92D050"/>
                </w:tcPr>
                <w:p w14:paraId="149F4035"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3C6EDF7C" w14:textId="77777777">
                  <w:pPr>
                    <w:pStyle w:val="Tabletext"/>
                    <w:keepNext/>
                    <w:keepLines/>
                    <w:ind w:firstLine="0"/>
                  </w:pPr>
                </w:p>
              </w:tc>
              <w:tc>
                <w:tcPr>
                  <w:tcW w:w="284" w:type="dxa"/>
                  <w:vMerge w:val="restart"/>
                  <w:tcBorders>
                    <w:top w:val="nil"/>
                    <w:left w:val="single" w:sz="4" w:space="0" w:color="auto"/>
                    <w:bottom w:val="single" w:sz="4" w:space="0" w:color="auto"/>
                    <w:right w:val="dashed" w:sz="4" w:space="0" w:color="auto"/>
                  </w:tcBorders>
                  <w:shd w:val="clear" w:color="auto" w:fill="CCCCFF"/>
                </w:tcPr>
                <w:p w14:paraId="048074AA"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4F083E5A" w14:textId="77777777">
                  <w:pPr>
                    <w:pStyle w:val="Tabletext"/>
                    <w:keepNext/>
                    <w:keepLines/>
                    <w:ind w:firstLine="0"/>
                  </w:pPr>
                  <w:r>
                    <w:t>&lt;line 4&gt;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0A4CDD10"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41C96489" w14:textId="77777777">
                  <w:pPr>
                    <w:pStyle w:val="Tabletext"/>
                    <w:keepNext/>
                    <w:keepLines/>
                    <w:ind w:firstLine="0"/>
                    <w:jc w:val="center"/>
                    <w:rPr>
                      <w:i/>
                      <w:iCs/>
                    </w:rPr>
                  </w:pPr>
                  <w:r>
                    <w:rPr>
                      <w:i/>
                      <w:iCs/>
                    </w:rPr>
                    <w:t>…text 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6622BEAC"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5DF9C3B2" w14:textId="77777777">
                  <w:pPr>
                    <w:pStyle w:val="Tabletext"/>
                    <w:keepNext/>
                    <w:keepLines/>
                    <w:ind w:firstLine="0"/>
                    <w:jc w:val="center"/>
                    <w:rPr>
                      <w:i/>
                      <w:iCs/>
                    </w:rPr>
                  </w:pPr>
                  <w:r>
                    <w:rPr>
                      <w:i/>
                      <w:iCs/>
                    </w:rPr>
                    <w:t>…text t…</w:t>
                  </w:r>
                </w:p>
              </w:tc>
              <w:tc>
                <w:tcPr>
                  <w:tcW w:w="284" w:type="dxa"/>
                  <w:vMerge/>
                  <w:tcBorders>
                    <w:left w:val="single" w:sz="4" w:space="0" w:color="auto"/>
                    <w:right w:val="double" w:sz="4" w:space="0" w:color="auto"/>
                  </w:tcBorders>
                  <w:shd w:val="clear" w:color="auto" w:fill="CCFFCC"/>
                </w:tcPr>
                <w:p w14:paraId="51D55D21"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1629030" w14:textId="77777777">
                  <w:pPr>
                    <w:pStyle w:val="Tabletext"/>
                    <w:keepNext/>
                    <w:keepLines/>
                    <w:ind w:firstLine="0"/>
                  </w:pPr>
                </w:p>
              </w:tc>
            </w:tr>
            <w:tr w14:paraId="6F6B7BCF" w14:textId="77777777">
              <w:trPr>
                <w:trHeight w:hRule="exact" w:val="284"/>
                <w:jc w:val="center"/>
              </w:trPr>
              <w:tc>
                <w:tcPr>
                  <w:tcW w:w="284" w:type="dxa"/>
                  <w:vMerge/>
                  <w:tcBorders>
                    <w:left w:val="double" w:sz="12" w:space="0" w:color="auto"/>
                    <w:right w:val="double" w:sz="4" w:space="0" w:color="auto"/>
                  </w:tcBorders>
                  <w:shd w:val="clear" w:color="auto" w:fill="92D050"/>
                </w:tcPr>
                <w:p w14:paraId="2D3A461C" w14:textId="77777777">
                  <w:pPr>
                    <w:pStyle w:val="Tabletext"/>
                    <w:keepNext/>
                    <w:keepLines/>
                    <w:ind w:firstLine="0"/>
                  </w:pPr>
                </w:p>
              </w:tc>
              <w:tc>
                <w:tcPr>
                  <w:tcW w:w="284" w:type="dxa"/>
                  <w:vMerge/>
                  <w:tcBorders>
                    <w:left w:val="double" w:sz="4" w:space="0" w:color="auto"/>
                    <w:right w:val="single" w:sz="4" w:space="0" w:color="auto"/>
                  </w:tcBorders>
                  <w:shd w:val="clear" w:color="auto" w:fill="CCFFCC"/>
                </w:tcPr>
                <w:p w14:paraId="2FA062A2" w14:textId="77777777">
                  <w:pPr>
                    <w:pStyle w:val="Tabletext"/>
                    <w:keepNext/>
                    <w:keepLines/>
                    <w:ind w:firstLine="0"/>
                  </w:pPr>
                </w:p>
              </w:tc>
              <w:tc>
                <w:tcPr>
                  <w:tcW w:w="284" w:type="dxa"/>
                  <w:vMerge/>
                  <w:tcBorders>
                    <w:top w:val="single" w:sz="4" w:space="0" w:color="auto"/>
                    <w:left w:val="single" w:sz="4" w:space="0" w:color="auto"/>
                    <w:bottom w:val="single" w:sz="4" w:space="0" w:color="auto"/>
                    <w:right w:val="dashed" w:sz="4" w:space="0" w:color="auto"/>
                  </w:tcBorders>
                  <w:shd w:val="clear" w:color="auto" w:fill="CCCCFF"/>
                </w:tcPr>
                <w:p w14:paraId="36F4BF1D" w14:textId="77777777">
                  <w:pPr>
                    <w:pStyle w:val="Tabletext"/>
                    <w:keepNext/>
                    <w:keepLines/>
                    <w:ind w:firstLine="0"/>
                  </w:pPr>
                </w:p>
              </w:tc>
              <w:tc>
                <w:tcPr>
                  <w:tcW w:w="1701" w:type="dxa"/>
                  <w:tcBorders>
                    <w:top w:val="dashed" w:sz="4" w:space="0" w:color="auto"/>
                    <w:left w:val="dashed" w:sz="4" w:space="0" w:color="auto"/>
                    <w:bottom w:val="dashed" w:sz="4" w:space="0" w:color="auto"/>
                    <w:right w:val="dashed" w:sz="4" w:space="0" w:color="auto"/>
                  </w:tcBorders>
                  <w:shd w:val="clear" w:color="auto" w:fill="00B0F0"/>
                </w:tcPr>
                <w:p w14:paraId="66548257" w14:textId="77777777">
                  <w:pPr>
                    <w:pStyle w:val="Tabletext"/>
                    <w:keepNext/>
                    <w:keepLines/>
                    <w:ind w:firstLine="0"/>
                  </w:pPr>
                  <w:r>
                    <w:t>&lt;line 5&gt; “contains”</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53193665" w14:textId="77777777">
                  <w:pPr>
                    <w:pStyle w:val="Tabletext"/>
                    <w:keepNext/>
                    <w:keepLines/>
                    <w:ind w:firstLine="0"/>
                  </w:pPr>
                  <w:r>
                    <w:t>&lt;cell C&gt; “contains”</w:t>
                  </w:r>
                </w:p>
              </w:tc>
              <w:tc>
                <w:tcPr>
                  <w:tcW w:w="1134" w:type="dxa"/>
                  <w:tcBorders>
                    <w:top w:val="dashed" w:sz="4" w:space="0" w:color="auto"/>
                    <w:left w:val="dashed" w:sz="4" w:space="0" w:color="auto"/>
                    <w:bottom w:val="dashed" w:sz="4" w:space="0" w:color="auto"/>
                    <w:right w:val="dashed" w:sz="4" w:space="0" w:color="auto"/>
                  </w:tcBorders>
                  <w:shd w:val="clear" w:color="auto" w:fill="FFFF00"/>
                </w:tcPr>
                <w:p w14:paraId="0948A506" w14:textId="77777777">
                  <w:pPr>
                    <w:pStyle w:val="Tabletext"/>
                    <w:keepNext/>
                    <w:keepLines/>
                    <w:ind w:firstLine="0"/>
                    <w:jc w:val="center"/>
                    <w:rPr>
                      <w:i/>
                      <w:iCs/>
                    </w:rPr>
                  </w:pPr>
                  <w:r>
                    <w:rPr>
                      <w:i/>
                      <w:iCs/>
                    </w:rPr>
                    <w:t>…text u…</w:t>
                  </w:r>
                </w:p>
              </w:tc>
              <w:tc>
                <w:tcPr>
                  <w:tcW w:w="1701" w:type="dxa"/>
                  <w:tcBorders>
                    <w:top w:val="dashed" w:sz="4" w:space="0" w:color="auto"/>
                    <w:left w:val="dashed" w:sz="4" w:space="0" w:color="auto"/>
                    <w:bottom w:val="dashed" w:sz="4" w:space="0" w:color="auto"/>
                    <w:right w:val="dashed" w:sz="4" w:space="0" w:color="auto"/>
                  </w:tcBorders>
                  <w:shd w:val="clear" w:color="auto" w:fill="CCFFFF"/>
                </w:tcPr>
                <w:p w14:paraId="42EF92F9" w14:textId="77777777">
                  <w:pPr>
                    <w:pStyle w:val="Tabletext"/>
                    <w:keepNext/>
                    <w:keepLines/>
                    <w:ind w:firstLine="0"/>
                  </w:pPr>
                  <w:r>
                    <w:t>&lt;cell D&gt; “contains”</w:t>
                  </w:r>
                </w:p>
              </w:tc>
              <w:tc>
                <w:tcPr>
                  <w:tcW w:w="1134" w:type="dxa"/>
                  <w:tcBorders>
                    <w:top w:val="dashed" w:sz="4" w:space="0" w:color="auto"/>
                    <w:left w:val="dashed" w:sz="4" w:space="0" w:color="auto"/>
                    <w:bottom w:val="dashed" w:sz="4" w:space="0" w:color="auto"/>
                    <w:right w:val="single" w:sz="4" w:space="0" w:color="auto"/>
                  </w:tcBorders>
                  <w:shd w:val="clear" w:color="auto" w:fill="FFFF00"/>
                </w:tcPr>
                <w:p w14:paraId="7BE63258" w14:textId="77777777">
                  <w:pPr>
                    <w:pStyle w:val="Tabletext"/>
                    <w:keepNext/>
                    <w:keepLines/>
                    <w:ind w:firstLine="0"/>
                    <w:jc w:val="center"/>
                    <w:rPr>
                      <w:i/>
                      <w:iCs/>
                    </w:rPr>
                  </w:pPr>
                  <w:r>
                    <w:rPr>
                      <w:i/>
                      <w:iCs/>
                    </w:rPr>
                    <w:t>…text v…</w:t>
                  </w:r>
                </w:p>
              </w:tc>
              <w:tc>
                <w:tcPr>
                  <w:tcW w:w="284" w:type="dxa"/>
                  <w:vMerge/>
                  <w:tcBorders>
                    <w:left w:val="single" w:sz="4" w:space="0" w:color="auto"/>
                    <w:right w:val="double" w:sz="4" w:space="0" w:color="auto"/>
                  </w:tcBorders>
                  <w:shd w:val="clear" w:color="auto" w:fill="CCFFCC"/>
                </w:tcPr>
                <w:p w14:paraId="49265CA5"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5FBCF763" w14:textId="77777777">
                  <w:pPr>
                    <w:pStyle w:val="Tabletext"/>
                    <w:keepNext/>
                    <w:keepLines/>
                    <w:ind w:firstLine="0"/>
                  </w:pPr>
                </w:p>
              </w:tc>
            </w:tr>
            <w:tr w14:paraId="245582DF" w14:textId="77777777">
              <w:trPr>
                <w:trHeight w:hRule="exact" w:val="284"/>
                <w:jc w:val="center"/>
              </w:trPr>
              <w:tc>
                <w:tcPr>
                  <w:tcW w:w="284" w:type="dxa"/>
                  <w:vMerge/>
                  <w:tcBorders>
                    <w:left w:val="double" w:sz="12" w:space="0" w:color="auto"/>
                    <w:right w:val="double" w:sz="4" w:space="0" w:color="auto"/>
                  </w:tcBorders>
                  <w:shd w:val="clear" w:color="auto" w:fill="92D050"/>
                </w:tcPr>
                <w:p w14:paraId="0979B528" w14:textId="77777777">
                  <w:pPr>
                    <w:pStyle w:val="Tabletext"/>
                    <w:keepNext/>
                    <w:keepLines/>
                    <w:ind w:firstLine="0"/>
                  </w:pPr>
                </w:p>
              </w:tc>
              <w:tc>
                <w:tcPr>
                  <w:tcW w:w="284" w:type="dxa"/>
                  <w:vMerge/>
                  <w:tcBorders>
                    <w:left w:val="double" w:sz="4" w:space="0" w:color="auto"/>
                    <w:bottom w:val="nil"/>
                    <w:right w:val="single" w:sz="4" w:space="0" w:color="auto"/>
                  </w:tcBorders>
                  <w:shd w:val="clear" w:color="auto" w:fill="CCFFCC"/>
                </w:tcPr>
                <w:p w14:paraId="1D2763E0" w14:textId="77777777">
                  <w:pPr>
                    <w:pStyle w:val="Tabletext"/>
                    <w:keepNext/>
                    <w:keepLines/>
                    <w:ind w:firstLine="0"/>
                  </w:pPr>
                </w:p>
              </w:tc>
              <w:tc>
                <w:tcPr>
                  <w:tcW w:w="284" w:type="dxa"/>
                  <w:vMerge/>
                  <w:tcBorders>
                    <w:top w:val="single" w:sz="4" w:space="0" w:color="auto"/>
                    <w:left w:val="single" w:sz="4" w:space="0" w:color="auto"/>
                    <w:bottom w:val="single" w:sz="4" w:space="0" w:color="auto"/>
                    <w:right w:val="dashed" w:sz="4" w:space="0" w:color="auto"/>
                  </w:tcBorders>
                  <w:shd w:val="clear" w:color="auto" w:fill="CCCCFF"/>
                </w:tcPr>
                <w:p w14:paraId="0B2F3F87" w14:textId="77777777">
                  <w:pPr>
                    <w:pStyle w:val="Tabletext"/>
                    <w:keepNext/>
                    <w:keepLines/>
                    <w:ind w:firstLine="0"/>
                  </w:pPr>
                </w:p>
              </w:tc>
              <w:tc>
                <w:tcPr>
                  <w:tcW w:w="1701" w:type="dxa"/>
                  <w:tcBorders>
                    <w:top w:val="dashed" w:sz="4" w:space="0" w:color="auto"/>
                    <w:left w:val="dashed" w:sz="4" w:space="0" w:color="auto"/>
                    <w:bottom w:val="single" w:sz="4" w:space="0" w:color="auto"/>
                    <w:right w:val="dashed" w:sz="4" w:space="0" w:color="auto"/>
                  </w:tcBorders>
                  <w:shd w:val="clear" w:color="auto" w:fill="00B0F0"/>
                </w:tcPr>
                <w:p w14:paraId="2EA4C588" w14:textId="77777777">
                  <w:pPr>
                    <w:pStyle w:val="Tabletext"/>
                    <w:keepNext/>
                    <w:keepLines/>
                    <w:ind w:firstLine="0"/>
                  </w:pPr>
                  <w:r>
                    <w:t>&lt;line 6&gt; “contains”</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023AC1AF" w14:textId="77777777">
                  <w:pPr>
                    <w:pStyle w:val="Tabletext"/>
                    <w:keepNext/>
                    <w:keepLines/>
                    <w:ind w:firstLine="0"/>
                  </w:pPr>
                  <w:r>
                    <w:t>&lt;cell C&gt; “contains”</w:t>
                  </w:r>
                </w:p>
              </w:tc>
              <w:tc>
                <w:tcPr>
                  <w:tcW w:w="1134" w:type="dxa"/>
                  <w:tcBorders>
                    <w:top w:val="dashed" w:sz="4" w:space="0" w:color="auto"/>
                    <w:left w:val="dashed" w:sz="4" w:space="0" w:color="auto"/>
                    <w:bottom w:val="single" w:sz="4" w:space="0" w:color="auto"/>
                    <w:right w:val="dashed" w:sz="4" w:space="0" w:color="auto"/>
                  </w:tcBorders>
                  <w:shd w:val="clear" w:color="auto" w:fill="FFFF00"/>
                </w:tcPr>
                <w:p w14:paraId="232510CC" w14:textId="77777777">
                  <w:pPr>
                    <w:pStyle w:val="Tabletext"/>
                    <w:keepNext/>
                    <w:keepLines/>
                    <w:ind w:firstLine="0"/>
                    <w:jc w:val="center"/>
                    <w:rPr>
                      <w:i/>
                      <w:iCs/>
                    </w:rPr>
                  </w:pPr>
                  <w:r>
                    <w:rPr>
                      <w:i/>
                      <w:iCs/>
                    </w:rPr>
                    <w:t>…text w…</w:t>
                  </w:r>
                </w:p>
              </w:tc>
              <w:tc>
                <w:tcPr>
                  <w:tcW w:w="1701" w:type="dxa"/>
                  <w:tcBorders>
                    <w:top w:val="dashed" w:sz="4" w:space="0" w:color="auto"/>
                    <w:left w:val="dashed" w:sz="4" w:space="0" w:color="auto"/>
                    <w:bottom w:val="single" w:sz="4" w:space="0" w:color="auto"/>
                    <w:right w:val="dashed" w:sz="4" w:space="0" w:color="auto"/>
                  </w:tcBorders>
                  <w:shd w:val="clear" w:color="auto" w:fill="CCFFFF"/>
                </w:tcPr>
                <w:p w14:paraId="60021AC2" w14:textId="77777777">
                  <w:pPr>
                    <w:pStyle w:val="Tabletext"/>
                    <w:keepNext/>
                    <w:keepLines/>
                    <w:ind w:firstLine="0"/>
                  </w:pPr>
                  <w:r>
                    <w:t>&lt;cell D&gt; “contains”</w:t>
                  </w:r>
                </w:p>
              </w:tc>
              <w:tc>
                <w:tcPr>
                  <w:tcW w:w="1134" w:type="dxa"/>
                  <w:tcBorders>
                    <w:top w:val="dashed" w:sz="4" w:space="0" w:color="auto"/>
                    <w:left w:val="dashed" w:sz="4" w:space="0" w:color="auto"/>
                    <w:bottom w:val="single" w:sz="4" w:space="0" w:color="auto"/>
                    <w:right w:val="single" w:sz="4" w:space="0" w:color="auto"/>
                  </w:tcBorders>
                  <w:shd w:val="clear" w:color="auto" w:fill="FFFF00"/>
                </w:tcPr>
                <w:p w14:paraId="4BC95B3E" w14:textId="77777777">
                  <w:pPr>
                    <w:pStyle w:val="Tabletext"/>
                    <w:keepNext/>
                    <w:keepLines/>
                    <w:ind w:firstLine="0"/>
                    <w:jc w:val="center"/>
                    <w:rPr>
                      <w:i/>
                      <w:iCs/>
                    </w:rPr>
                  </w:pPr>
                  <w:r>
                    <w:rPr>
                      <w:i/>
                      <w:iCs/>
                    </w:rPr>
                    <w:t>…text x…</w:t>
                  </w:r>
                </w:p>
              </w:tc>
              <w:tc>
                <w:tcPr>
                  <w:tcW w:w="284" w:type="dxa"/>
                  <w:vMerge/>
                  <w:tcBorders>
                    <w:left w:val="single" w:sz="4" w:space="0" w:color="auto"/>
                    <w:bottom w:val="nil"/>
                    <w:right w:val="double" w:sz="4" w:space="0" w:color="auto"/>
                  </w:tcBorders>
                  <w:shd w:val="clear" w:color="auto" w:fill="CCFFCC"/>
                </w:tcPr>
                <w:p w14:paraId="06BE4067"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4BB971F4" w14:textId="77777777">
                  <w:pPr>
                    <w:pStyle w:val="Tabletext"/>
                    <w:keepNext/>
                    <w:keepLines/>
                    <w:ind w:firstLine="0"/>
                  </w:pPr>
                </w:p>
              </w:tc>
            </w:tr>
            <w:tr w14:paraId="51901726" w14:textId="77777777">
              <w:trPr>
                <w:trHeight w:hRule="exact" w:val="284"/>
                <w:jc w:val="center"/>
              </w:trPr>
              <w:tc>
                <w:tcPr>
                  <w:tcW w:w="284" w:type="dxa"/>
                  <w:vMerge/>
                  <w:tcBorders>
                    <w:left w:val="double" w:sz="12" w:space="0" w:color="auto"/>
                    <w:bottom w:val="nil"/>
                    <w:right w:val="double" w:sz="4" w:space="0" w:color="auto"/>
                  </w:tcBorders>
                  <w:shd w:val="clear" w:color="auto" w:fill="92D050"/>
                </w:tcPr>
                <w:p w14:paraId="7F8A67B2" w14:textId="77777777">
                  <w:pPr>
                    <w:pStyle w:val="Tabletext"/>
                    <w:keepNext/>
                    <w:keepLines/>
                    <w:ind w:firstLine="0"/>
                  </w:pPr>
                </w:p>
              </w:tc>
              <w:tc>
                <w:tcPr>
                  <w:tcW w:w="8223" w:type="dxa"/>
                  <w:gridSpan w:val="8"/>
                  <w:tcBorders>
                    <w:top w:val="nil"/>
                    <w:left w:val="double" w:sz="4" w:space="0" w:color="auto"/>
                    <w:bottom w:val="double" w:sz="4" w:space="0" w:color="auto"/>
                    <w:right w:val="double" w:sz="4" w:space="0" w:color="auto"/>
                  </w:tcBorders>
                  <w:shd w:val="clear" w:color="auto" w:fill="CCFFCC"/>
                </w:tcPr>
                <w:p w14:paraId="7BB90AD3" w14:textId="77777777">
                  <w:pPr>
                    <w:pStyle w:val="Tabletext"/>
                    <w:keepNext/>
                    <w:keepLines/>
                    <w:ind w:firstLine="0"/>
                  </w:pPr>
                </w:p>
              </w:tc>
              <w:tc>
                <w:tcPr>
                  <w:tcW w:w="284" w:type="dxa"/>
                  <w:vMerge/>
                  <w:tcBorders>
                    <w:left w:val="double" w:sz="4" w:space="0" w:color="auto"/>
                    <w:right w:val="double" w:sz="12" w:space="0" w:color="auto"/>
                  </w:tcBorders>
                  <w:shd w:val="clear" w:color="auto" w:fill="92D050"/>
                </w:tcPr>
                <w:p w14:paraId="04E147E7" w14:textId="77777777">
                  <w:pPr>
                    <w:pStyle w:val="Tabletext"/>
                    <w:keepNext/>
                    <w:keepLines/>
                    <w:ind w:firstLine="0"/>
                  </w:pPr>
                </w:p>
              </w:tc>
            </w:tr>
            <w:tr w14:paraId="460B74D4" w14:textId="77777777">
              <w:trPr>
                <w:trHeight w:hRule="exact" w:val="284"/>
                <w:jc w:val="center"/>
              </w:trPr>
              <w:tc>
                <w:tcPr>
                  <w:tcW w:w="8791" w:type="dxa"/>
                  <w:gridSpan w:val="10"/>
                  <w:tcBorders>
                    <w:left w:val="double" w:sz="12" w:space="0" w:color="auto"/>
                    <w:bottom w:val="double" w:sz="12" w:space="0" w:color="auto"/>
                    <w:right w:val="double" w:sz="12" w:space="0" w:color="auto"/>
                  </w:tcBorders>
                  <w:shd w:val="clear" w:color="auto" w:fill="92D050"/>
                </w:tcPr>
                <w:p w14:paraId="1FD4E96B" w14:textId="77777777">
                  <w:pPr>
                    <w:pStyle w:val="Tabletext"/>
                    <w:keepNext/>
                    <w:keepLines/>
                    <w:ind w:firstLine="0"/>
                  </w:pPr>
                </w:p>
              </w:tc>
            </w:tr>
          </w:tbl>
          <w:p w14:paraId="408DC361" w14:textId="77777777"/>
        </w:tc>
      </w:tr>
    </w:tbl>
    <w:p w14:paraId="4EC4534C" w14:textId="77777777">
      <w:r>
        <w:t>As already discussed in §</w:t>
      </w:r>
      <w:r>
        <w:fldChar w:fldCharType="begin"/>
      </w:r>
      <w:r>
        <w:instrText xml:space="preserve"> REF _Ref225153755 \r \h </w:instrText>
      </w:r>
      <w:r>
        <w:fldChar w:fldCharType="separate"/>
      </w:r>
      <w:r>
        <w:t>3.1</w:t>
      </w:r>
      <w:r>
        <w:fldChar w:fldCharType="end"/>
      </w:r>
      <w:r>
        <w:t>, the edition division (§</w:t>
      </w:r>
      <w:r>
        <w:fldChar w:fldCharType="begin"/>
      </w:r>
      <w:r>
        <w:instrText xml:space="preserve"> REF _Ref224739111 \r \h </w:instrText>
      </w:r>
      <w:r>
        <w:fldChar w:fldCharType="separate"/>
      </w:r>
      <w:r>
        <w:t>2.3.3</w:t>
      </w:r>
      <w:r>
        <w:fldChar w:fldCharType="end"/>
      </w:r>
      <w:r>
        <w:t>) corresponds to the entirety of an inscription and thus contains the entire hierarchy of extrinsic structure as well as that of intrinsic structure. With respect to extrinsic structure, the edition division represents the inscribed campus. The edition may be subdivided into textparts, each comprising an integral whole and containing the entire text of a boxlike partition of the inscription. The edition and the boxlike partition are members of both the extrinsic and the intrinsic hierarchy, and are encoded as container elements. As a consequence, no XML element can begin inside one textpart division and end in the next.</w:t>
      </w:r>
    </w:p>
    <w:p w14:paraId="5CBC6413" w14:textId="77777777">
      <w:pPr>
        <w:pStyle w:val="Normlbehzs"/>
      </w:pPr>
      <w:r>
        <w:t>Within the edition – or, as the case may be, within any textpart division – the intrinsic and extrinsic hierarchies go their separate ways, with the extrinsic structure encoded as pointlike milestones. These represent virtual containers,</w:t>
      </w:r>
      <w:r>
        <w:rPr>
          <w:rStyle w:val="Lbjegyzet-hivatkozs"/>
        </w:rPr>
        <w:footnoteReference w:id="13"/>
      </w:r>
      <w:r>
        <w:t xml:space="preserve"> so that a partition may be said to “contain” everything that is located in the XML document from the point where the given partition begins to the point where another partition of the same hierarchical level begins, or a transition to a higher-level partition occurs, or a division (a textpart or the edition) ends. In the Exhibit, solid borders and colour-filled complete frames indicate actual containment by an XML element, while dashed borders without complete frames indicate virtual containment. An edition or textpart division must always contain one or more lines (blue). Within the edition or textpart division, groups of lines may be “contained” within pagelike partitions (lavender), and some or all lines may “contain” two or more gridlike partitions (aqua). </w:t>
      </w:r>
    </w:p>
    <w:p w14:paraId="42580219" w14:textId="77777777">
      <w:pPr>
        <w:pStyle w:val="Normlbehzs"/>
      </w:pPr>
      <w:r>
        <w:t xml:space="preserve">The extrinsic structure of some inscriptions can be highly complex. Were we to attempt to accurately reflect all details of structural complexity in encoding, the possible combinations of various overlapping hierarchies would soon proliferate beyond a reasonable point. On the one hand, it would be all but impossible to draw up, and then correctly observe, guidelines for all possibilities; on the other hand, doing so would serve no practical purpose while processing the digital edition by computer. Then again, many inscriptions have no partitions at all (consisting only of lines in a single zone), and the only common type of inscription </w:t>
      </w:r>
      <w:r>
        <w:lastRenderedPageBreak/>
        <w:t>that involves more than one kind of partition is the copperplate charter. Copperplate charters typically consist of a seal and a body, which are boxlike partitions, and their body in turn consists of pages (pagelike partitions), while there are no further partitions in the seal.</w:t>
      </w:r>
    </w:p>
    <w:p w14:paraId="455540B7" w14:textId="77777777">
      <w:pPr>
        <w:pStyle w:val="Normlbehzs"/>
      </w:pPr>
      <w:r>
        <w:t>In DHARMA encoding practice, we make a point of keeping encoding complexity within reasonable limits. The use of textpart divisions in an edition is therefore limited to specific kinds of cases where this is deemed to be warranted (§</w:t>
      </w:r>
      <w:r>
        <w:fldChar w:fldCharType="begin"/>
      </w:r>
      <w:r>
        <w:instrText xml:space="preserve"> REF _Ref225759775 \r \h </w:instrText>
      </w:r>
      <w:r>
        <w:fldChar w:fldCharType="separate"/>
      </w:r>
      <w:r>
        <w:t>4.7.3</w:t>
      </w:r>
      <w:r>
        <w:fldChar w:fldCharType="end"/>
      </w:r>
      <w:r>
        <w:t>). A single division (the edition or a textpart) is permitted to contain only one kind of pagelike partition. When gridlike partitions are present, their encoding is recommended only when expedient (for instance to enable referring to specific “cells” of the grid). If necessary, more than one kind of gridlike partition may be used within a single division, but doing so is generally counter-recommended. In §</w:t>
      </w:r>
      <w:r>
        <w:fldChar w:fldCharType="begin"/>
      </w:r>
      <w:r>
        <w:instrText xml:space="preserve"> REF _Ref225242905 \r \h </w:instrText>
      </w:r>
      <w:r>
        <w:fldChar w:fldCharType="separate"/>
      </w:r>
      <w:r>
        <w:t>4.7</w:t>
      </w:r>
      <w:r>
        <w:fldChar w:fldCharType="end"/>
      </w:r>
      <w:r>
        <w:t xml:space="preserve"> we provide guidance for situations in which various kinds of encoded partitions are applicable, as well as for cases which are best encoded without the usual milestone elements for extrinsic structure (§</w:t>
      </w:r>
      <w:r>
        <w:fldChar w:fldCharType="begin"/>
      </w:r>
      <w:r>
        <w:instrText xml:space="preserve"> REF _Ref225779703 \r \h </w:instrText>
      </w:r>
      <w:r>
        <w:fldChar w:fldCharType="separate"/>
      </w:r>
      <w:r>
        <w:t>4.7.1</w:t>
      </w:r>
      <w:r>
        <w:fldChar w:fldCharType="end"/>
      </w:r>
      <w:r>
        <w:t>), including the encoding of forme work (i.e. pagination and foliation numbers, §</w:t>
      </w:r>
      <w:r>
        <w:fldChar w:fldCharType="begin"/>
      </w:r>
      <w:r>
        <w:instrText xml:space="preserve"> REF _Ref43984607 \r \h </w:instrText>
      </w:r>
      <w:r>
        <w:fldChar w:fldCharType="separate"/>
      </w:r>
      <w:r>
        <w:t>4.7.2</w:t>
      </w:r>
      <w:r>
        <w:fldChar w:fldCharType="end"/>
      </w:r>
      <w:r>
        <w:t xml:space="preserve">). Some complete encoding examples are provided in the Case Studies of </w:t>
      </w:r>
      <w:r>
        <w:fldChar w:fldCharType="begin"/>
      </w:r>
      <w:r>
        <w:instrText xml:space="preserve"> REF _Ref43985466 \w \h  \* MERGEFORMAT </w:instrText>
      </w:r>
      <w:r>
        <w:fldChar w:fldCharType="separate"/>
      </w:r>
      <w:r>
        <w:t>Appendix A</w:t>
      </w:r>
      <w:r>
        <w:fldChar w:fldCharType="end"/>
      </w:r>
      <w:r>
        <w:t>. As a general guideline, also keep in mind that whenever the encoded structure does not provide an accurate fit for the original structure, human-readable annotation can always be added.</w:t>
      </w:r>
    </w:p>
    <w:p w14:paraId="72A078D4" w14:textId="77777777">
      <w:pPr>
        <w:pStyle w:val="Cmsor3"/>
      </w:pPr>
      <w:bookmarkStart w:id="171" w:name="_Ref225331491"/>
      <w:bookmarkStart w:id="172" w:name="_Toc243900261"/>
      <w:bookmarkStart w:id="173" w:name="_Ref225321890"/>
      <w:r>
        <w:t>Numeration for reference</w:t>
      </w:r>
      <w:bookmarkEnd w:id="171"/>
      <w:bookmarkEnd w:id="172"/>
    </w:p>
    <w:p w14:paraId="114860BE" w14:textId="77777777">
      <w:r>
        <w:rPr>
          <w:lang w:eastAsia="en-US" w:bidi="ar-SA"/>
        </w:rPr>
        <w:t xml:space="preserve">All TEI elements can be supplemented with arbitrary numeration using the attribute </w:t>
      </w:r>
      <w:r>
        <w:rPr>
          <w:rStyle w:val="Codeattribute"/>
        </w:rPr>
        <w:t>@n</w:t>
      </w:r>
      <w:r>
        <w:rPr>
          <w:lang w:eastAsia="en-US" w:bidi="ar-SA"/>
        </w:rPr>
        <w:t xml:space="preserve">, primarily to be used as reference by human end users. Another </w:t>
      </w:r>
      <w:r>
        <w:t xml:space="preserve">attribute, </w:t>
      </w:r>
      <w:r>
        <w:rPr>
          <w:rStyle w:val="Codeattribute"/>
        </w:rPr>
        <w:t>@xml:id</w:t>
      </w:r>
      <w:r>
        <w:t xml:space="preserve"> </w:t>
      </w:r>
      <w:r>
        <w:rPr>
          <w:noProof/>
        </w:rPr>
        <w:t>(</w:t>
      </w:r>
      <w:r>
        <w:t>§</w:t>
      </w:r>
      <w:r>
        <w:fldChar w:fldCharType="begin"/>
      </w:r>
      <w:r>
        <w:instrText xml:space="preserve"> REF _Ref43988993 \w \h  \* MERGEFORMAT </w:instrText>
      </w:r>
      <w:r>
        <w:fldChar w:fldCharType="separate"/>
      </w:r>
      <w:r>
        <w:t>14.6.6</w:t>
      </w:r>
      <w:r>
        <w:fldChar w:fldCharType="end"/>
      </w:r>
      <w:r>
        <w:t xml:space="preserve">), is employed for the rigorous, machine-readable referencing of elements. For the purpose of referring to units of extrinsic structure, </w:t>
      </w:r>
      <w:r>
        <w:rPr>
          <w:lang w:eastAsia="en-US" w:bidi="ar-SA"/>
        </w:rPr>
        <w:t xml:space="preserve">DHARMA editions use numeration involving </w:t>
      </w:r>
      <w:r>
        <w:rPr>
          <w:rStyle w:val="Codeattribute"/>
        </w:rPr>
        <w:t>@n</w:t>
      </w:r>
      <w:r>
        <w:t xml:space="preserve"> </w:t>
      </w:r>
      <w:r>
        <w:rPr>
          <w:lang w:eastAsia="en-US" w:bidi="ar-SA"/>
        </w:rPr>
        <w:t xml:space="preserve">on all milestone elements (as well as for textpart divisions). </w:t>
      </w:r>
      <w:r>
        <w:t>According to usual conventions, our editions’ stanzas and their lines can be referred to by the number of their container (§</w:t>
      </w:r>
      <w:r>
        <w:fldChar w:fldCharType="begin"/>
      </w:r>
      <w:r>
        <w:instrText xml:space="preserve"> REF _Ref225331879 \r \h </w:instrText>
      </w:r>
      <w:r>
        <w:fldChar w:fldCharType="separate"/>
      </w:r>
      <w:r>
        <w:t>3.1.1</w:t>
      </w:r>
      <w:r>
        <w:fldChar w:fldCharType="end"/>
      </w:r>
      <w:r>
        <w:t xml:space="preserve">), but our primary means of reference to the text of documentary editions is by line number. The projectwide conventions introduced in the applicable subsections for numbering elements with </w:t>
      </w:r>
      <w:r>
        <w:rPr>
          <w:rStyle w:val="Codeattribute"/>
        </w:rPr>
        <w:t>@n</w:t>
      </w:r>
      <w:r>
        <w:t xml:space="preserve"> not only ensure consistency in our editions, but also facilitate human-readable reference and in fact actually afford a degree of machine-interpretable referencing. This is possible so long as element numbers are unique within any given level of the hierarchy, so that any structural compartment can be unambiguously identified by a combination of the numbers of the elements representing its place in the structure. For instance, in </w:t>
      </w:r>
      <w:r>
        <w:fldChar w:fldCharType="begin"/>
      </w:r>
      <w:r>
        <w:instrText xml:space="preserve"> REF _Ref224829834 \h </w:instrText>
      </w:r>
      <w:r>
        <w:fldChar w:fldCharType="separate"/>
      </w:r>
      <w:r>
        <w:t xml:space="preserve">Exhibit </w:t>
      </w:r>
      <w:r>
        <w:rPr>
          <w:noProof/>
        </w:rPr>
        <w:t>4.1</w:t>
      </w:r>
      <w:r>
        <w:t>.</w:t>
      </w:r>
      <w:r>
        <w:rPr>
          <w:noProof/>
        </w:rPr>
        <w:t>B</w:t>
      </w:r>
      <w:r>
        <w:fldChar w:fldCharType="end"/>
      </w:r>
      <w:r>
        <w:t xml:space="preserve"> above, “text o” can be referred to by pointing to textpart B, page 1, line 2, cell A.</w:t>
      </w:r>
    </w:p>
    <w:p w14:paraId="20B41917" w14:textId="77777777">
      <w:pPr>
        <w:pStyle w:val="Cmsor2"/>
      </w:pPr>
      <w:bookmarkStart w:id="174" w:name="_Ref225778181"/>
      <w:bookmarkStart w:id="175" w:name="_Toc243900262"/>
      <w:bookmarkEnd w:id="167"/>
      <w:bookmarkEnd w:id="173"/>
      <w:r>
        <w:t>Boxlike partitions</w:t>
      </w:r>
      <w:bookmarkEnd w:id="174"/>
      <w:bookmarkEnd w:id="175"/>
    </w:p>
    <w:p w14:paraId="38334672" w14:textId="77777777">
      <w:bookmarkStart w:id="176" w:name="_7afiixd3hprc" w:colFirst="0" w:colLast="0"/>
      <w:bookmarkEnd w:id="176"/>
      <w:r>
        <w:t>Recall from §</w:t>
      </w:r>
      <w:r>
        <w:fldChar w:fldCharType="begin"/>
      </w:r>
      <w:r>
        <w:instrText xml:space="preserve"> REF _Ref182923075 \r \h </w:instrText>
      </w:r>
      <w:r>
        <w:fldChar w:fldCharType="separate"/>
      </w:r>
      <w:r>
        <w:t>4.1</w:t>
      </w:r>
      <w:r>
        <w:fldChar w:fldCharType="end"/>
      </w:r>
      <w:r>
        <w:t xml:space="preserve"> that a boxlike partition is what happens when a discrete zone of the text is also semantically distinct from the rest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/1, amounting to a major subunit of a text’s extrinsic as well as intrinsic hierarchy. Intrinsically, it usually contains a number of basic prose and/or verse containers. Extrinsically, it may or may not be divided into lower-level structural parts. The semantic discontinuity between two textparts is somewhat analogous to the chapters of a book. To understand clearly how textpart divisions differ from and relate to other divisions of intrinsic and extrinsic structure, carefully read §</w:t>
      </w:r>
      <w:r>
        <w:fldChar w:fldCharType="begin"/>
      </w:r>
      <w:r>
        <w:instrText xml:space="preserve"> REF _Ref225153755 \r \h </w:instrText>
      </w:r>
      <w:r>
        <w:fldChar w:fldCharType="separate"/>
      </w:r>
      <w:r>
        <w:t>3.1</w:t>
      </w:r>
      <w:r>
        <w:fldChar w:fldCharType="end"/>
      </w:r>
      <w:r>
        <w:t xml:space="preserve"> and §</w:t>
      </w:r>
      <w:r>
        <w:fldChar w:fldCharType="begin"/>
      </w:r>
      <w:r>
        <w:instrText xml:space="preserve"> REF _Ref182923075 \r \h </w:instrText>
      </w:r>
      <w:r>
        <w:fldChar w:fldCharType="separate"/>
      </w:r>
      <w:r>
        <w:t>4.1</w:t>
      </w:r>
      <w:r>
        <w:fldChar w:fldCharType="end"/>
      </w:r>
      <w:r>
        <w:t xml:space="preserve">. </w:t>
      </w:r>
    </w:p>
    <w:p w14:paraId="22225B02" w14:textId="77777777">
      <w:pPr>
        <w:pStyle w:val="Normlbehzs"/>
      </w:pPr>
      <w:r>
        <w:t>Boxlike partitions are encoded with a container element, the textpart division, as described in §</w:t>
      </w:r>
      <w:r>
        <w:fldChar w:fldCharType="begin"/>
      </w:r>
      <w:r>
        <w:instrText xml:space="preserve"> REF _Ref225342022 \r \h </w:instrText>
      </w:r>
      <w:r>
        <w:fldChar w:fldCharType="separate"/>
      </w:r>
      <w:r>
        <w:t>4.2.1</w:t>
      </w:r>
      <w:r>
        <w:fldChar w:fldCharType="end"/>
      </w:r>
      <w:r>
        <w:t>. Such a division is hierarchically subordinate to the edition division and superordinate to the basic containers for intrinsic structure. In essence, textpart divisions are complete editions except that they are gathered together in a single XML document and thus have a shared header, commentary and bibliography. Accordingly, the numbering of other elements within one textpart is independent of the numbering of similar elements in another textpart (§</w:t>
      </w:r>
      <w:r>
        <w:fldChar w:fldCharType="begin"/>
      </w:r>
      <w:r>
        <w:instrText xml:space="preserve"> REF _Ref43986747 \r \h </w:instrText>
      </w:r>
      <w:r>
        <w:fldChar w:fldCharType="separate"/>
      </w:r>
      <w:r>
        <w:t>4.2.1.4</w:t>
      </w:r>
      <w:r>
        <w:fldChar w:fldCharType="end"/>
      </w:r>
      <w:r>
        <w:t>). Conversely, the critical apparatus (§</w:t>
      </w:r>
      <w:r>
        <w:fldChar w:fldCharType="begin"/>
      </w:r>
      <w:r>
        <w:instrText xml:space="preserve"> REF _Ref43978773 \r \h </w:instrText>
      </w:r>
      <w:r>
        <w:fldChar w:fldCharType="separate"/>
      </w:r>
      <w:r>
        <w:t>10</w:t>
      </w:r>
      <w:r>
        <w:fldChar w:fldCharType="end"/>
      </w:r>
      <w:r>
        <w:t>) and translation (§</w:t>
      </w:r>
      <w:r>
        <w:fldChar w:fldCharType="begin"/>
      </w:r>
      <w:r>
        <w:instrText xml:space="preserve"> REF _Ref43978780 \r \h </w:instrText>
      </w:r>
      <w:r>
        <w:fldChar w:fldCharType="separate"/>
      </w:r>
      <w:r>
        <w:t>11</w:t>
      </w:r>
      <w:r>
        <w:fldChar w:fldCharType="end"/>
      </w:r>
      <w:r>
        <w:t>) included in a digital edition replicates the structure of the text itself, so if an edition contains textpart divisions, then corresponding textparts must also be created in the critical apparatus and the translation. In order to keep encoding complexity within limits, the use of textpart is limited in DHARMA practice to a small range of cases where this is deemed to be warranted (§</w:t>
      </w:r>
      <w:r>
        <w:fldChar w:fldCharType="begin"/>
      </w:r>
      <w:r>
        <w:instrText xml:space="preserve"> REF _Ref225759775 \r \h </w:instrText>
      </w:r>
      <w:r>
        <w:fldChar w:fldCharType="separate"/>
      </w:r>
      <w:r>
        <w:t>4.7.3</w:t>
      </w:r>
      <w:r>
        <w:fldChar w:fldCharType="end"/>
      </w:r>
      <w:r>
        <w:t>).</w:t>
      </w:r>
    </w:p>
    <w:p w14:paraId="1B0A1C2B" w14:textId="77777777">
      <w:pPr>
        <w:pStyle w:val="Cmsor3"/>
      </w:pPr>
      <w:bookmarkStart w:id="177" w:name="_Ref225342022"/>
      <w:bookmarkStart w:id="178" w:name="_Toc243900263"/>
      <w:r>
        <w:lastRenderedPageBreak/>
        <w:t>Encoding as textpart divisions</w:t>
      </w:r>
      <w:bookmarkEnd w:id="177"/>
      <w:bookmarkEnd w:id="178"/>
    </w:p>
    <w:tbl>
      <w:tblPr>
        <w:tblStyle w:val="CodeSampleTable"/>
        <w:tblpPr w:leftFromText="181" w:rightFromText="181" w:vertAnchor="text" w:horzAnchor="margin" w:tblpXSpec="right" w:tblpY="1"/>
        <w:tblOverlap w:val="never"/>
        <w:tblW w:w="4253" w:type="dxa"/>
        <w:tblLook w:val="04A0" w:firstRow="1" w:lastRow="0" w:firstColumn="1" w:lastColumn="0" w:noHBand="0" w:noVBand="1"/>
      </w:tblPr>
      <w:tblGrid>
        <w:gridCol w:w="4253"/>
      </w:tblGrid>
      <w:tr w14:paraId="5F556FC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DE75930" w14:textId="77777777">
            <w:pPr>
              <w:pStyle w:val="Kpalrs"/>
            </w:pPr>
            <w:bookmarkStart w:id="179" w:name="_Ref225342504"/>
            <w:bookmarkStart w:id="180" w:name="_Ref225342497"/>
            <w:r>
              <w:t xml:space="preserve">Exhibit </w:t>
            </w:r>
            <w:fldSimple w:instr=" STYLEREF 2 \s ">
              <w:r>
                <w:rPr>
                  <w:noProof/>
                </w:rPr>
                <w:t>4.2</w:t>
              </w:r>
            </w:fldSimple>
            <w:r>
              <w:t>.</w:t>
            </w:r>
            <w:fldSimple w:instr=" SEQ Exhibit \* ALPHABETIC \s 2 ">
              <w:r>
                <w:rPr>
                  <w:noProof/>
                </w:rPr>
                <w:t>A</w:t>
              </w:r>
            </w:fldSimple>
            <w:bookmarkEnd w:id="179"/>
            <w:r>
              <w:t>: minimal encoding of textpart divisions</w:t>
            </w:r>
            <w:bookmarkEnd w:id="180"/>
          </w:p>
        </w:tc>
      </w:tr>
      <w:tr w14:paraId="3C3EFE5C" w14:textId="77777777">
        <w:tc>
          <w:tcPr>
            <w:tcW w:w="5000" w:type="pct"/>
          </w:tcPr>
          <w:p w14:paraId="6BAE5AD8" w14:textId="77777777">
            <w:pPr>
              <w:pStyle w:val="CodeParagraph"/>
              <w:keepNext/>
              <w:keepLines/>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1ADFEEBB" w14:textId="77777777">
            <w:pPr>
              <w:pStyle w:val="CodeParagraph"/>
              <w:keepNext/>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p>
          <w:p w14:paraId="1BD642E5" w14:textId="77777777">
            <w:pPr>
              <w:pStyle w:val="CodeParagraph"/>
              <w:keepNext/>
              <w:keepLines/>
              <w:rPr>
                <w:rStyle w:val="Code"/>
              </w:rPr>
            </w:pPr>
            <w:r>
              <w:rPr>
                <w:rStyle w:val="Code"/>
              </w:rPr>
              <w:t xml:space="preserve">  &lt;/div&gt;</w:t>
            </w:r>
          </w:p>
          <w:p w14:paraId="05D0FF32" w14:textId="77777777">
            <w:pPr>
              <w:pStyle w:val="CodeParagraph"/>
              <w:keepNext/>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p>
          <w:p w14:paraId="3DDAD6E3" w14:textId="77777777">
            <w:pPr>
              <w:pStyle w:val="CodeParagraph"/>
              <w:rPr>
                <w:rStyle w:val="Code"/>
              </w:rPr>
            </w:pPr>
            <w:r>
              <w:rPr>
                <w:rStyle w:val="Code"/>
              </w:rPr>
              <w:t xml:space="preserve">  &lt;/div&gt;</w:t>
            </w:r>
          </w:p>
          <w:p w14:paraId="0F72A560" w14:textId="77777777">
            <w:pPr>
              <w:pStyle w:val="CodeParagraph"/>
            </w:pPr>
            <w:r>
              <w:rPr>
                <w:rStyle w:val="Code"/>
              </w:rPr>
              <w:t>&lt;/div&gt;</w:t>
            </w:r>
          </w:p>
        </w:tc>
      </w:tr>
    </w:tbl>
    <w:p w14:paraId="57B0E8E3" w14:textId="77777777">
      <w:pPr>
        <w:pStyle w:val="Lista"/>
      </w:pPr>
      <w:r>
        <w:t xml:space="preserve">each boxlike unit must be wrapped in the element </w:t>
      </w:r>
      <w:r>
        <w:rPr>
          <w:rStyle w:val="Code"/>
        </w:rPr>
        <w:t>&lt;div&gt;</w:t>
      </w:r>
      <w:r>
        <w:t xml:space="preserve"> as in </w:t>
      </w:r>
      <w:r>
        <w:fldChar w:fldCharType="begin"/>
      </w:r>
      <w:r>
        <w:instrText xml:space="preserve"> REF _Ref225342504 \h </w:instrText>
      </w:r>
      <w:r>
        <w:fldChar w:fldCharType="separate"/>
      </w:r>
      <w:r>
        <w:t xml:space="preserve">Exhibit </w:t>
      </w:r>
      <w:r>
        <w:rPr>
          <w:noProof/>
        </w:rPr>
        <w:t>4.2</w:t>
      </w:r>
      <w:r>
        <w:t>.</w:t>
      </w:r>
      <w:r>
        <w:rPr>
          <w:noProof/>
        </w:rPr>
        <w:t>A</w:t>
      </w:r>
      <w:r>
        <w:fldChar w:fldCharType="end"/>
      </w:r>
      <w:r>
        <w:t>, with the following attributes</w:t>
      </w:r>
    </w:p>
    <w:p w14:paraId="38E321A9" w14:textId="77777777">
      <w:pPr>
        <w:pStyle w:val="Lista2"/>
      </w:pPr>
      <w:r>
        <w:t xml:space="preserve">mandatorily, </w:t>
      </w:r>
      <w:r>
        <w:rPr>
          <w:rStyle w:val="Codeattribute"/>
        </w:rPr>
        <w:t>@type</w:t>
      </w:r>
      <w:r>
        <w:rPr>
          <w:rStyle w:val="Code"/>
        </w:rPr>
        <w:t>=</w:t>
      </w:r>
      <w:r>
        <w:rPr>
          <w:rStyle w:val="Codevalue"/>
        </w:rPr>
        <w:t>"textpart"</w:t>
      </w:r>
    </w:p>
    <w:p w14:paraId="7C8F1806" w14:textId="77777777">
      <w:pPr>
        <w:pStyle w:val="Lista2"/>
      </w:pPr>
      <w:r>
        <w:t xml:space="preserve">mandatorily, </w:t>
      </w:r>
      <w:r>
        <w:rPr>
          <w:rStyle w:val="Codeattribute"/>
        </w:rPr>
        <w:t>@n</w:t>
      </w:r>
      <w:r>
        <w:t xml:space="preserve"> as per §</w:t>
      </w:r>
      <w:r>
        <w:fldChar w:fldCharType="begin"/>
      </w:r>
      <w:r>
        <w:instrText xml:space="preserve"> REF _Ref182236772 \r \h </w:instrText>
      </w:r>
      <w:r>
        <w:fldChar w:fldCharType="separate"/>
      </w:r>
      <w:r>
        <w:t>4.2.1.1</w:t>
      </w:r>
      <w:r>
        <w:fldChar w:fldCharType="end"/>
      </w:r>
    </w:p>
    <w:p w14:paraId="189990E6" w14:textId="77777777">
      <w:pPr>
        <w:pStyle w:val="Lista2"/>
      </w:pPr>
      <w:r>
        <w:t xml:space="preserve">optionally, </w:t>
      </w:r>
      <w:r>
        <w:rPr>
          <w:rStyle w:val="Codeattribute"/>
        </w:rPr>
        <w:t>@subtype</w:t>
      </w:r>
      <w:r>
        <w:t xml:space="preserve"> as per §</w:t>
      </w:r>
      <w:r>
        <w:fldChar w:fldCharType="begin"/>
      </w:r>
      <w:r>
        <w:instrText xml:space="preserve"> REF _Ref182236825 \r \h </w:instrText>
      </w:r>
      <w:r>
        <w:fldChar w:fldCharType="separate"/>
      </w:r>
      <w:r>
        <w:t>4.2.1.2</w:t>
      </w:r>
      <w:r>
        <w:fldChar w:fldCharType="end"/>
      </w:r>
    </w:p>
    <w:p w14:paraId="56587EA0" w14:textId="77777777">
      <w:pPr>
        <w:pStyle w:val="Lista"/>
      </w:pPr>
      <w:r>
        <w:t>the encoding represents only the existence and demarcation of a textpart but says nothing about its physical aspects such as size or position on the support</w:t>
      </w:r>
    </w:p>
    <w:p w14:paraId="1BFEAD5F" w14:textId="77777777">
      <w:pPr>
        <w:pStyle w:val="Lista2"/>
      </w:pPr>
      <w:r>
        <w:t>the latter information shall be described for human readers in the annotation</w:t>
      </w:r>
    </w:p>
    <w:p w14:paraId="144DE8E9" w14:textId="77777777">
      <w:pPr>
        <w:pStyle w:val="Lista2"/>
      </w:pPr>
      <w:r>
        <w:t>the use cases in §</w:t>
      </w:r>
      <w:r>
        <w:fldChar w:fldCharType="begin"/>
      </w:r>
      <w:r>
        <w:instrText xml:space="preserve"> REF _Ref225759775 \r \h </w:instrText>
      </w:r>
      <w:r>
        <w:fldChar w:fldCharType="separate"/>
      </w:r>
      <w:r>
        <w:t>4.7.3</w:t>
      </w:r>
      <w:r>
        <w:fldChar w:fldCharType="end"/>
      </w:r>
      <w:r>
        <w:t xml:space="preserve"> give some illustrations of various topological arrangements and additional encoding examples</w:t>
      </w:r>
    </w:p>
    <w:p w14:paraId="0BECEC7E" w14:textId="77777777">
      <w:pPr>
        <w:pStyle w:val="Lista"/>
      </w:pPr>
      <w:r>
        <w:t xml:space="preserve">if your </w:t>
      </w:r>
      <w:r>
        <w:rPr>
          <w:rStyle w:val="Code"/>
        </w:rPr>
        <w:t xml:space="preserve">&lt;div </w:t>
      </w:r>
      <w:r>
        <w:rPr>
          <w:rStyle w:val="Codeattribute"/>
        </w:rPr>
        <w:t>type</w:t>
      </w:r>
      <w:r>
        <w:rPr>
          <w:rStyle w:val="Code"/>
        </w:rPr>
        <w:t>=</w:t>
      </w:r>
      <w:r>
        <w:rPr>
          <w:rStyle w:val="Codevalue"/>
        </w:rPr>
        <w:t>"edition"</w:t>
      </w:r>
      <w:r>
        <w:rPr>
          <w:rStyle w:val="Code"/>
        </w:rPr>
        <w:t>&gt;</w:t>
      </w:r>
      <w:r>
        <w:t xml:space="preserve"> includes a </w:t>
      </w:r>
      <w:r>
        <w:rPr>
          <w:rStyle w:val="Code"/>
        </w:rPr>
        <w:t xml:space="preserve">&lt;div </w:t>
      </w:r>
      <w:r>
        <w:rPr>
          <w:rStyle w:val="Codeattribute"/>
        </w:rPr>
        <w:t>type</w:t>
      </w:r>
      <w:r>
        <w:rPr>
          <w:rStyle w:val="Code"/>
        </w:rPr>
        <w:t>=</w:t>
      </w:r>
      <w:r>
        <w:rPr>
          <w:rStyle w:val="Codevalue"/>
        </w:rPr>
        <w:t>"textpart"</w:t>
      </w:r>
      <w:r>
        <w:rPr>
          <w:rStyle w:val="Code"/>
        </w:rPr>
        <w:t>&gt;</w:t>
      </w:r>
      <w:r>
        <w:t>, then the textpart divisions must tessellate, meaning that everything within the edition must be also within one textpart or another</w:t>
      </w:r>
    </w:p>
    <w:p w14:paraId="1B3959F2" w14:textId="77777777">
      <w:pPr>
        <w:pStyle w:val="Lista"/>
      </w:pPr>
      <w:r>
        <w:t>textparts shall be arranged in the order you deem to be the logical reading order of the text as a whole, or its best approximation</w:t>
      </w:r>
    </w:p>
    <w:p w14:paraId="023C46ED" w14:textId="77777777">
      <w:pPr>
        <w:pStyle w:val="Cmsor4"/>
      </w:pPr>
      <w:bookmarkStart w:id="181" w:name="_82q10pa3ovwa" w:colFirst="0" w:colLast="0"/>
      <w:bookmarkStart w:id="182" w:name="_Ref182236772"/>
      <w:bookmarkStart w:id="183" w:name="_Ref182318135"/>
      <w:bookmarkEnd w:id="181"/>
      <w:r>
        <w:t>Textpart numbering</w:t>
      </w:r>
      <w:bookmarkEnd w:id="182"/>
      <w:bookmarkEnd w:id="183"/>
    </w:p>
    <w:p w14:paraId="5D799370" w14:textId="77777777">
      <w:pPr>
        <w:pStyle w:val="Lista"/>
      </w:pPr>
      <w:r>
        <w:t xml:space="preserve">every textpart division must carry the mandatory attribute </w:t>
      </w:r>
      <w:r>
        <w:rPr>
          <w:rStyle w:val="Codeattribute"/>
        </w:rPr>
        <w:t>@n</w:t>
      </w:r>
      <w:r>
        <w:t>, the value of which must be unique through the XML document</w:t>
      </w:r>
    </w:p>
    <w:p w14:paraId="1C1A2960" w14:textId="77777777">
      <w:pPr>
        <w:pStyle w:val="Lista"/>
      </w:pPr>
      <w:r>
        <w:t xml:space="preserve">the value of </w:t>
      </w:r>
      <w:r>
        <w:rPr>
          <w:rStyle w:val="Codeattribute"/>
        </w:rPr>
        <w:t>@n</w:t>
      </w:r>
      <w:r>
        <w:t xml:space="preserve"> is utilised in display for automatically generated headings (§</w:t>
      </w:r>
      <w:r>
        <w:fldChar w:fldCharType="begin"/>
      </w:r>
      <w:r>
        <w:instrText xml:space="preserve"> REF _Ref225177909 \r \h </w:instrText>
      </w:r>
      <w:r>
        <w:fldChar w:fldCharType="separate"/>
      </w:r>
      <w:r>
        <w:t>4.2.1.3</w:t>
      </w:r>
      <w:r>
        <w:fldChar w:fldCharType="end"/>
      </w:r>
      <w:r>
        <w:t>)</w:t>
      </w:r>
    </w:p>
    <w:p w14:paraId="32B211C1" w14:textId="77777777">
      <w:pPr>
        <w:pStyle w:val="Lista"/>
      </w:pPr>
      <w:r>
        <w:t>uppercase Latin letters are generally recommended for numeration, but any scheme may be used depending on your preference and the conventions of your specific field, including</w:t>
      </w:r>
    </w:p>
    <w:p w14:paraId="745FF6B2" w14:textId="77777777">
      <w:pPr>
        <w:pStyle w:val="Lista2"/>
      </w:pPr>
      <w:r>
        <w:t>Arabic numbers</w:t>
      </w:r>
    </w:p>
    <w:p w14:paraId="208805D9" w14:textId="77777777">
      <w:pPr>
        <w:pStyle w:val="Lista2"/>
      </w:pPr>
      <w:r>
        <w:t>a combination of uppercase and lowercase Latin letters to represent major and minor faces of a three-dimensional object in the same way as for pagelike milestones (§</w:t>
      </w:r>
      <w:r>
        <w:fldChar w:fldCharType="begin"/>
      </w:r>
      <w:r>
        <w:instrText xml:space="preserve"> REF _Ref182318136 \r \h </w:instrText>
      </w:r>
      <w:r>
        <w:fldChar w:fldCharType="separate"/>
      </w:r>
      <w:r>
        <w:t>4.4.3.1</w:t>
      </w:r>
      <w:r>
        <w:fldChar w:fldCharType="end"/>
      </w:r>
      <w:r>
        <w:t>)</w:t>
      </w:r>
    </w:p>
    <w:p w14:paraId="1D5520FD" w14:textId="77777777">
      <w:pPr>
        <w:pStyle w:val="Cmsor4"/>
      </w:pPr>
      <w:bookmarkStart w:id="184" w:name="_Ref182236825"/>
      <w:r>
        <w:t>Textpart subtypes</w:t>
      </w:r>
      <w:bookmarkEnd w:id="184"/>
    </w:p>
    <w:p w14:paraId="65DF4481" w14:textId="77777777">
      <w:pPr>
        <w:pStyle w:val="Lista"/>
      </w:pPr>
      <w:r>
        <w:t xml:space="preserve">the optional attribute </w:t>
      </w:r>
      <w:r>
        <w:rPr>
          <w:rStyle w:val="Codeattribute"/>
        </w:rPr>
        <w:t>@subtype</w:t>
      </w:r>
      <w:r>
        <w:t xml:space="preserve"> may be used to encode the physical nature of textparts</w:t>
      </w:r>
    </w:p>
    <w:p w14:paraId="4153E45A" w14:textId="77777777">
      <w:pPr>
        <w:pStyle w:val="Lista2"/>
      </w:pPr>
      <w:r>
        <w:t>the use of this attribute is recommended as a simple means of indicating the nature of a partition that can also be displayed as a title (§</w:t>
      </w:r>
      <w:r>
        <w:fldChar w:fldCharType="begin"/>
      </w:r>
      <w:r>
        <w:instrText xml:space="preserve"> REF _Ref225177909 \r \h </w:instrText>
      </w:r>
      <w:r>
        <w:fldChar w:fldCharType="separate"/>
      </w:r>
      <w:r>
        <w:t>4.2.1.3</w:t>
      </w:r>
      <w:r>
        <w:fldChar w:fldCharType="end"/>
      </w:r>
      <w:r>
        <w:t>)</w:t>
      </w:r>
    </w:p>
    <w:p w14:paraId="4A6C2238" w14:textId="77777777">
      <w:pPr>
        <w:pStyle w:val="Lista"/>
      </w:pPr>
      <w:r>
        <w:t xml:space="preserve">the value of </w:t>
      </w:r>
      <w:r>
        <w:rPr>
          <w:rStyle w:val="Codeattribute"/>
        </w:rPr>
        <w:t>@subtype</w:t>
      </w:r>
      <w:r>
        <w:t xml:space="preserve"> is utilised in display for automatically generated headings (§</w:t>
      </w:r>
      <w:r>
        <w:fldChar w:fldCharType="begin"/>
      </w:r>
      <w:r>
        <w:instrText xml:space="preserve"> REF _Ref225177909 \r \h </w:instrText>
      </w:r>
      <w:r>
        <w:fldChar w:fldCharType="separate"/>
      </w:r>
      <w:r>
        <w:t>4.2.1.3</w:t>
      </w:r>
      <w:r>
        <w:fldChar w:fldCharType="end"/>
      </w:r>
      <w:r>
        <w:t>)</w:t>
      </w:r>
    </w:p>
    <w:p w14:paraId="316989CC" w14:textId="77777777">
      <w:pPr>
        <w:pStyle w:val="Lista"/>
      </w:pPr>
      <w:r>
        <w:t xml:space="preserve">the value of </w:t>
      </w:r>
      <w:r>
        <w:rPr>
          <w:rStyle w:val="Codeattribute"/>
        </w:rPr>
        <w:t>@subtype</w:t>
      </w:r>
      <w:r>
        <w:t xml:space="preserve"> shall normally indicate the physical nature of the corresponding partition of extrinsic structure, disregarding its visual appearance, topological position relative to other textparts, and semantic function in intrinsic structure</w:t>
      </w:r>
    </w:p>
    <w:p w14:paraId="38D82D94" w14:textId="77777777">
      <w:pPr>
        <w:pStyle w:val="Lista"/>
      </w:pPr>
      <w:r>
        <w:t xml:space="preserve">the permitted values of </w:t>
      </w:r>
      <w:r>
        <w:rPr>
          <w:rStyle w:val="Codeattribute"/>
        </w:rPr>
        <w:t>@subtype</w:t>
      </w:r>
      <w:r>
        <w:t xml:space="preserve"> are listed below, while specific instructions for when </w:t>
      </w:r>
      <w:r>
        <w:rPr>
          <w:rStyle w:val="Codeattribute"/>
        </w:rPr>
        <w:t>@subtype</w:t>
      </w:r>
      <w:r>
        <w:t xml:space="preserve"> should be used and with what values are found in the subsections of §</w:t>
      </w:r>
      <w:r>
        <w:fldChar w:fldCharType="begin"/>
      </w:r>
      <w:r>
        <w:instrText xml:space="preserve"> REF _Ref225759775 \r \h </w:instrText>
      </w:r>
      <w:r>
        <w:fldChar w:fldCharType="separate"/>
      </w:r>
      <w:r>
        <w:t>4.7.3</w:t>
      </w:r>
      <w:r>
        <w:fldChar w:fldCharType="end"/>
      </w:r>
      <w:r>
        <w:t xml:space="preserve"> </w:t>
      </w:r>
    </w:p>
    <w:p w14:paraId="585951C5" w14:textId="77777777">
      <w:pPr>
        <w:pStyle w:val="Lista2"/>
      </w:pPr>
      <w:r>
        <w:rPr>
          <w:rStyle w:val="Codevalue"/>
        </w:rPr>
        <w:t>"column"</w:t>
      </w:r>
      <w:r>
        <w:t xml:space="preserve"> for zones placed side by side and generally taller than they are wide</w:t>
      </w:r>
    </w:p>
    <w:p w14:paraId="75A2C596" w14:textId="77777777">
      <w:pPr>
        <w:pStyle w:val="Lista2"/>
      </w:pPr>
      <w:r>
        <w:rPr>
          <w:rStyle w:val="Codevalue"/>
        </w:rPr>
        <w:t>"face"</w:t>
      </w:r>
      <w:r>
        <w:t xml:space="preserve"> for a physically contiguous surface of a three-dimensional object of any shape and any number of sides</w:t>
      </w:r>
    </w:p>
    <w:p w14:paraId="0082EF3A" w14:textId="77777777">
      <w:pPr>
        <w:pStyle w:val="Lista2"/>
      </w:pPr>
      <w:r>
        <w:rPr>
          <w:rStyle w:val="Codevalue"/>
        </w:rPr>
        <w:t>"faces"</w:t>
      </w:r>
      <w:r>
        <w:t xml:space="preserve"> for two or more contiguous surfaces that together comprise a box of text, such as the frontal and lateral face of a four-sided stele</w:t>
      </w:r>
    </w:p>
    <w:p w14:paraId="3A202E8E" w14:textId="77777777">
      <w:pPr>
        <w:pStyle w:val="Lista2"/>
      </w:pPr>
      <w:r>
        <w:rPr>
          <w:rStyle w:val="Codevalue"/>
        </w:rPr>
        <w:t>"fragment"</w:t>
      </w:r>
      <w:r>
        <w:t xml:space="preserve"> for physical fragments as per §</w:t>
      </w:r>
      <w:r>
        <w:fldChar w:fldCharType="begin"/>
      </w:r>
      <w:r>
        <w:instrText xml:space="preserve"> REF _Ref225346692 \r \h </w:instrText>
      </w:r>
      <w:r>
        <w:fldChar w:fldCharType="separate"/>
      </w:r>
      <w:r>
        <w:t>4.7.3.2</w:t>
      </w:r>
      <w:r>
        <w:fldChar w:fldCharType="end"/>
      </w:r>
    </w:p>
    <w:p w14:paraId="7FA6D70C" w14:textId="77777777">
      <w:pPr>
        <w:pStyle w:val="Lista2"/>
      </w:pPr>
      <w:r>
        <w:rPr>
          <w:rStyle w:val="Codevalue"/>
        </w:rPr>
        <w:t>"item"</w:t>
      </w:r>
      <w:r>
        <w:t xml:space="preserve"> for physically separate objects such as architectural elements, e.g. when an inscription is engraved on two pillars or doorjambs</w:t>
      </w:r>
    </w:p>
    <w:p w14:paraId="3E94EE61" w14:textId="77777777">
      <w:pPr>
        <w:pStyle w:val="Lista2"/>
      </w:pPr>
      <w:r>
        <w:rPr>
          <w:rStyle w:val="Codevalue"/>
        </w:rPr>
        <w:t>"trial"</w:t>
      </w:r>
      <w:r>
        <w:t xml:space="preserve"> for trial engravings as per §</w:t>
      </w:r>
      <w:r>
        <w:fldChar w:fldCharType="begin"/>
      </w:r>
      <w:r>
        <w:instrText xml:space="preserve"> REF _Ref225178060 \r \h </w:instrText>
      </w:r>
      <w:r>
        <w:fldChar w:fldCharType="separate"/>
      </w:r>
      <w:r>
        <w:t>4.7.3.3</w:t>
      </w:r>
      <w:r>
        <w:fldChar w:fldCharType="end"/>
      </w:r>
    </w:p>
    <w:p w14:paraId="7289E55D" w14:textId="77777777">
      <w:pPr>
        <w:pStyle w:val="Lista2"/>
      </w:pPr>
      <w:r>
        <w:rPr>
          <w:rStyle w:val="Codevalue"/>
        </w:rPr>
        <w:t>"zone"</w:t>
      </w:r>
      <w:r>
        <w:t xml:space="preserve"> for visually distinct zones that do not readily meet any of the specific definitions above</w:t>
      </w:r>
    </w:p>
    <w:p w14:paraId="2F3110BB" w14:textId="77777777">
      <w:pPr>
        <w:pStyle w:val="Lista3"/>
      </w:pPr>
      <w:r>
        <w:t>a zone is generally conceived of as being on a single contiguous surface, but in inscriptions with a complex topology, this unit may also be used for a visually distinct area occupying two or more surfaces</w:t>
      </w:r>
    </w:p>
    <w:p w14:paraId="085B97CD" w14:textId="77777777">
      <w:pPr>
        <w:pStyle w:val="Lista2"/>
      </w:pPr>
      <w:r>
        <w:lastRenderedPageBreak/>
        <w:t xml:space="preserve">this list of values is largely identical to the values permitted for of </w:t>
      </w:r>
      <w:r>
        <w:rPr>
          <w:rStyle w:val="Codeattribute"/>
        </w:rPr>
        <w:t>@unit</w:t>
      </w:r>
      <w:r>
        <w:t xml:space="preserve"> on </w:t>
      </w:r>
      <w:r>
        <w:rPr>
          <w:rStyle w:val="Code"/>
        </w:rPr>
        <w:t>&lt;milestone&gt;</w:t>
      </w:r>
    </w:p>
    <w:p w14:paraId="3CDB39FC" w14:textId="77777777">
      <w:pPr>
        <w:pStyle w:val="Lista3"/>
      </w:pPr>
      <w:r>
        <w:t>these are discussed in §</w:t>
      </w:r>
      <w:r>
        <w:fldChar w:fldCharType="begin"/>
      </w:r>
      <w:r>
        <w:instrText xml:space="preserve"> REF _Ref182815315 \r \h </w:instrText>
      </w:r>
      <w:r>
        <w:fldChar w:fldCharType="separate"/>
      </w:r>
      <w:r>
        <w:t>4.3.1</w:t>
      </w:r>
      <w:r>
        <w:fldChar w:fldCharType="end"/>
      </w:r>
      <w:r>
        <w:t>, where you will also find pointers to illustrations</w:t>
      </w:r>
    </w:p>
    <w:p w14:paraId="414C6053" w14:textId="77777777">
      <w:pPr>
        <w:pStyle w:val="Lista2"/>
      </w:pPr>
      <w:r>
        <w:t>only the values listed above may be used, even though earlier versions of this Guide permitted using custom values</w:t>
      </w:r>
    </w:p>
    <w:p w14:paraId="2A181995" w14:textId="77777777">
      <w:pPr>
        <w:pStyle w:val="Cmsor4"/>
      </w:pPr>
      <w:bookmarkStart w:id="185" w:name="_Ref225177909"/>
      <w:r>
        <w:t>Titles for textparts</w:t>
      </w:r>
      <w:bookmarkEnd w:id="185"/>
    </w:p>
    <w:p w14:paraId="799A4344" w14:textId="77777777">
      <w:r>
        <w:t>When an XML edition is rendered for display in the DHARMA environment, headings for textpart divisions will be automatically generated from the subtype (if present) and the number. When these automatic headings are deemed insufficient, an optional custom heading may be added to the encoding, which will replace the auto-generated title.</w:t>
      </w:r>
    </w:p>
    <w:p w14:paraId="2E137540" w14:textId="77777777">
      <w:pPr>
        <w:pStyle w:val="Lista"/>
      </w:pPr>
      <w:r>
        <w:t xml:space="preserve">auto-generated headings will consist of the value of </w:t>
      </w:r>
      <w:r>
        <w:rPr>
          <w:rStyle w:val="Codeattribute"/>
        </w:rPr>
        <w:t>@subtype</w:t>
      </w:r>
      <w:r>
        <w:t xml:space="preserve"> (with the initial letter changed to uppercase), followed by the value of </w:t>
      </w:r>
      <w:r>
        <w:rPr>
          <w:rStyle w:val="Codeattribute"/>
        </w:rPr>
        <w:t>@n</w:t>
      </w:r>
      <w:r>
        <w:t xml:space="preserve"> (unchanged), for example as follows</w:t>
      </w:r>
    </w:p>
    <w:p w14:paraId="3B85E14E"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t xml:space="preserve"> → “A”</w:t>
      </w:r>
    </w:p>
    <w:p w14:paraId="1A214B00"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"1"</w:t>
      </w:r>
      <w:r>
        <w:rPr>
          <w:rStyle w:val="Code"/>
        </w:rPr>
        <w:t>&gt;</w:t>
      </w:r>
      <w:r>
        <w:t xml:space="preserve"> → “Fragment 1”</w:t>
      </w:r>
    </w:p>
    <w:p w14:paraId="0A46F46D" w14:textId="77777777">
      <w:pPr>
        <w:pStyle w:val="Lista2"/>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t xml:space="preserve"> → “Face a”</w:t>
      </w:r>
    </w:p>
    <w:p w14:paraId="5F1BC0A1" w14:textId="77777777">
      <w:pPr>
        <w:pStyle w:val="Lista"/>
      </w:pPr>
      <w:r>
        <w:t xml:space="preserve">to create a custom heading for a textpart division, use the optional element </w:t>
      </w:r>
      <w:r>
        <w:rPr>
          <w:rStyle w:val="Code"/>
        </w:rPr>
        <w:t xml:space="preserve">&lt;head </w:t>
      </w:r>
      <w:r>
        <w:rPr>
          <w:rStyle w:val="Codeattribute"/>
        </w:rPr>
        <w:t>xml:lang</w:t>
      </w:r>
      <w:r>
        <w:rPr>
          <w:rStyle w:val="Code"/>
        </w:rPr>
        <w:t>=</w:t>
      </w:r>
      <w:r>
        <w:rPr>
          <w:rStyle w:val="Codevalue"/>
        </w:rPr>
        <w:t>"eng"</w:t>
      </w:r>
      <w:r>
        <w:rPr>
          <w:rStyle w:val="Code"/>
        </w:rPr>
        <w:t>&gt;</w:t>
      </w:r>
      <w:r>
        <w:t xml:space="preserve"> immediately after the start tag of a textpart division</w:t>
      </w:r>
    </w:p>
    <w:p w14:paraId="46B9C1D2" w14:textId="77777777">
      <w:pPr>
        <w:pStyle w:val="Lista2"/>
      </w:pPr>
      <w:r>
        <w:t>such elements in our editions will by default be regarded as editorial and therefore need not be marked up explicitly as such</w:t>
      </w:r>
    </w:p>
    <w:p w14:paraId="5F4D6D41" w14:textId="77777777">
      <w:pPr>
        <w:pStyle w:val="Lista3"/>
      </w:pPr>
      <w:r>
        <w:t>the mandatory language attribute (§</w:t>
      </w:r>
      <w:r>
        <w:fldChar w:fldCharType="begin"/>
      </w:r>
      <w:r>
        <w:instrText xml:space="preserve"> REF _Ref233727317 \r \h </w:instrText>
      </w:r>
      <w:r>
        <w:fldChar w:fldCharType="separate"/>
      </w:r>
      <w:r>
        <w:t>14.4.1</w:t>
      </w:r>
      <w:r>
        <w:fldChar w:fldCharType="end"/>
      </w:r>
      <w:r>
        <w:t>) makes it sufficiently clear that their content is not part of the original text</w:t>
      </w:r>
    </w:p>
    <w:p w14:paraId="386539E5" w14:textId="77777777">
      <w:pPr>
        <w:pStyle w:val="Lista2"/>
      </w:pPr>
      <w:r>
        <w:t>the use of this element is recommended when the textparts of an inscription are different in nature, so they cannot be conveniently described by a combination of subtype and number</w:t>
      </w:r>
    </w:p>
    <w:p w14:paraId="1E6AD385" w14:textId="77777777">
      <w:pPr>
        <w:pStyle w:val="Lista3"/>
      </w:pPr>
      <w:r>
        <w:t xml:space="preserve">in this case add a </w:t>
      </w:r>
      <w:r>
        <w:rPr>
          <w:rStyle w:val="Code"/>
        </w:rPr>
        <w:t>&lt;head&gt;</w:t>
      </w:r>
      <w:r>
        <w:t xml:space="preserve"> element and optionally omit </w:t>
      </w:r>
      <w:r>
        <w:rPr>
          <w:rStyle w:val="Codeattribute"/>
        </w:rPr>
        <w:t>@subtype</w:t>
      </w:r>
    </w:p>
    <w:p w14:paraId="03415A2E" w14:textId="77777777">
      <w:pPr>
        <w:pStyle w:val="Lista2"/>
      </w:pPr>
      <w:r>
        <w:t xml:space="preserve">when multiple textparts are of the same nature, the use of </w:t>
      </w:r>
      <w:r>
        <w:rPr>
          <w:rStyle w:val="Codeattribute"/>
        </w:rPr>
        <w:t>@subtype</w:t>
      </w:r>
      <w:r>
        <w:t xml:space="preserve"> remains recommended even if </w:t>
      </w:r>
      <w:r>
        <w:rPr>
          <w:rStyle w:val="Code"/>
        </w:rPr>
        <w:t>&lt;head&gt;</w:t>
      </w:r>
      <w:r>
        <w:t xml:space="preserve"> elements are also added</w:t>
      </w:r>
    </w:p>
    <w:p w14:paraId="7D2D4769" w14:textId="77777777">
      <w:pPr>
        <w:pStyle w:val="Lista2"/>
      </w:pPr>
      <w:r>
        <w:t xml:space="preserve">the attribute </w:t>
      </w:r>
      <w:r>
        <w:rPr>
          <w:rStyle w:val="Codeattribute"/>
        </w:rPr>
        <w:t>@n</w:t>
      </w:r>
      <w:r>
        <w:t xml:space="preserve"> on the </w:t>
      </w:r>
      <w:r>
        <w:rPr>
          <w:rStyle w:val="Code"/>
        </w:rPr>
        <w:t>&lt;div&gt;</w:t>
      </w:r>
      <w:r>
        <w:t xml:space="preserve"> element remains mandatory even if a </w:t>
      </w:r>
      <w:r>
        <w:rPr>
          <w:rStyle w:val="Code"/>
        </w:rPr>
        <w:t>&lt;head&gt;</w:t>
      </w:r>
      <w:r>
        <w:t xml:space="preserve"> is present </w:t>
      </w:r>
    </w:p>
    <w:p w14:paraId="4D1989E5" w14:textId="77777777">
      <w:pPr>
        <w:pStyle w:val="Lista2"/>
      </w:pPr>
      <w:r>
        <w:t xml:space="preserve">see </w:t>
      </w:r>
      <w:r>
        <w:fldChar w:fldCharType="begin"/>
      </w:r>
      <w:r>
        <w:instrText xml:space="preserve"> REF _Ref44078271 \h </w:instrText>
      </w:r>
      <w:r>
        <w:fldChar w:fldCharType="separate"/>
      </w:r>
      <w:r>
        <w:t xml:space="preserve">Exhibit </w:t>
      </w:r>
      <w:r>
        <w:rPr>
          <w:noProof/>
        </w:rPr>
        <w:t>4.2</w:t>
      </w:r>
      <w:r>
        <w:t>.</w:t>
      </w:r>
      <w:r>
        <w:rPr>
          <w:noProof/>
        </w:rPr>
        <w:t>B</w:t>
      </w:r>
      <w:r>
        <w:fldChar w:fldCharType="end"/>
      </w:r>
      <w:r>
        <w:t xml:space="preserve"> for an illustration</w:t>
      </w:r>
    </w:p>
    <w:p w14:paraId="67CC059C" w14:textId="77777777">
      <w:pPr>
        <w:pStyle w:val="Lista"/>
      </w:pPr>
      <w:r>
        <w:t>it is generally recommended that you stick to concise headings in English, and in particular to the suggestions in the subsections of §</w:t>
      </w:r>
      <w:r>
        <w:fldChar w:fldCharType="begin"/>
      </w:r>
      <w:r>
        <w:instrText xml:space="preserve"> REF _Ref224742342 \r \h </w:instrText>
      </w:r>
      <w:r>
        <w:fldChar w:fldCharType="separate"/>
      </w:r>
      <w:r>
        <w:t>4.2.1.4</w:t>
      </w:r>
      <w:r>
        <w:fldChar w:fldCharType="end"/>
      </w:r>
      <w:r>
        <w:t xml:space="preserve"> for specific use cases</w:t>
      </w:r>
    </w:p>
    <w:p w14:paraId="19000F56" w14:textId="77777777">
      <w:pPr>
        <w:pStyle w:val="Lista2"/>
      </w:pPr>
      <w:r>
        <w:t xml:space="preserve">the editorial heading will be neither altered in display, nor supplemented with the value of </w:t>
      </w:r>
      <w:r>
        <w:rPr>
          <w:rStyle w:val="Codeattribute"/>
        </w:rPr>
        <w:t>@n</w:t>
      </w:r>
      <w:r>
        <w:t>, so when creating custom headings,</w:t>
      </w:r>
    </w:p>
    <w:p w14:paraId="32590BAB" w14:textId="77777777">
      <w:pPr>
        <w:pStyle w:val="Lista3"/>
      </w:pPr>
      <w:r>
        <w:t>use a capital initial and feel free to include spaces, additional capitals and punctuation as necessary</w:t>
      </w:r>
    </w:p>
    <w:p w14:paraId="2558C780" w14:textId="0C74B056">
      <w:pPr>
        <w:pStyle w:val="Lista3"/>
      </w:pPr>
      <w:r>
        <w:t xml:space="preserve">however, to avoid complications, do not use any further markup within this element, except the element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which you may employ if you deem necessary</w:t>
      </w:r>
    </w:p>
    <w:tbl>
      <w:tblPr>
        <w:tblStyle w:val="CodeSampleTable"/>
        <w:tblW w:w="5000" w:type="pct"/>
        <w:tblLook w:val="04A0" w:firstRow="1" w:lastRow="0" w:firstColumn="1" w:lastColumn="0" w:noHBand="0" w:noVBand="1"/>
      </w:tblPr>
      <w:tblGrid>
        <w:gridCol w:w="9628"/>
      </w:tblGrid>
      <w:tr w14:paraId="0D44258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9EA5177" w14:textId="77777777">
            <w:pPr>
              <w:pStyle w:val="Kpalrs"/>
            </w:pPr>
            <w:bookmarkStart w:id="186" w:name="_Ref44078271"/>
            <w:r>
              <w:t xml:space="preserve">Exhibit </w:t>
            </w:r>
            <w:fldSimple w:instr=" STYLEREF 2 \s ">
              <w:r>
                <w:rPr>
                  <w:noProof/>
                </w:rPr>
                <w:t>4.2</w:t>
              </w:r>
            </w:fldSimple>
            <w:r>
              <w:t>.</w:t>
            </w:r>
            <w:fldSimple w:instr=" SEQ Exhibit \* ALPHABETIC \s 2 ">
              <w:r>
                <w:rPr>
                  <w:noProof/>
                </w:rPr>
                <w:t>B</w:t>
              </w:r>
            </w:fldSimple>
            <w:bookmarkEnd w:id="186"/>
            <w:r>
              <w:t>: non-contiguous fragments with custom headings</w:t>
            </w:r>
          </w:p>
        </w:tc>
      </w:tr>
      <w:tr w14:paraId="4FD8F977" w14:textId="77777777">
        <w:tc>
          <w:tcPr>
            <w:tcW w:w="5000" w:type="pct"/>
          </w:tcPr>
          <w:p w14:paraId="0A5FDFEB" w14:textId="77777777">
            <w:pPr>
              <w:pStyle w:val="CodeParagraph"/>
              <w:keepNext/>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"1"</w:t>
            </w:r>
            <w:r>
              <w:rPr>
                <w:rStyle w:val="Code"/>
              </w:rPr>
              <w:t>&gt;</w:t>
            </w:r>
          </w:p>
          <w:p w14:paraId="1B1DFF3C" w14:textId="77777777">
            <w:pPr>
              <w:pStyle w:val="CodeParagraph"/>
              <w:keepNext/>
              <w:rPr>
                <w:rStyle w:val="Code"/>
              </w:rPr>
            </w:pPr>
            <w:r>
              <w:rPr>
                <w:rStyle w:val="Code"/>
              </w:rPr>
              <w:t xml:space="preserve">&lt;head </w:t>
            </w:r>
            <w:r>
              <w:rPr>
                <w:rStyle w:val="Codeattribute"/>
              </w:rPr>
              <w:t>xml:lang</w:t>
            </w:r>
            <w:r>
              <w:rPr>
                <w:rStyle w:val="Code"/>
              </w:rPr>
              <w:t>=</w:t>
            </w:r>
            <w:r>
              <w:rPr>
                <w:rStyle w:val="Codevalue"/>
              </w:rPr>
              <w:t>"eng"</w:t>
            </w:r>
            <w:r>
              <w:rPr>
                <w:rStyle w:val="Code"/>
              </w:rPr>
              <w:t>&gt;</w:t>
            </w:r>
            <w:r>
              <w:rPr>
                <w:rStyle w:val="Codetext"/>
              </w:rPr>
              <w:t>Upper left corner</w:t>
            </w:r>
            <w:r>
              <w:rPr>
                <w:rStyle w:val="Code"/>
              </w:rPr>
              <w:t>&lt;/head&gt;</w:t>
            </w:r>
            <w:r>
              <w:rPr>
                <w:rStyle w:val="Codetext"/>
              </w:rPr>
              <w:br/>
              <w:t xml:space="preserve">  ...</w:t>
            </w:r>
            <w:r>
              <w:rPr>
                <w:rStyle w:val="Codetext"/>
              </w:rPr>
              <w:br/>
            </w:r>
            <w:r>
              <w:rPr>
                <w:rStyle w:val="Code"/>
              </w:rPr>
              <w:t>&lt;/div&gt;</w:t>
            </w:r>
          </w:p>
          <w:p w14:paraId="68D55180" w14:textId="77777777">
            <w:pPr>
              <w:pStyle w:val="CodeParagraph"/>
              <w:keepNext/>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"2"</w:t>
            </w:r>
            <w:r>
              <w:rPr>
                <w:rStyle w:val="Code"/>
              </w:rPr>
              <w:t>&gt;</w:t>
            </w:r>
          </w:p>
          <w:p w14:paraId="5AA477E3" w14:textId="77777777">
            <w:pPr>
              <w:pStyle w:val="CodeParagraph"/>
              <w:keepNext/>
              <w:rPr>
                <w:rStyle w:val="Codetext"/>
              </w:rPr>
            </w:pPr>
            <w:r>
              <w:rPr>
                <w:rStyle w:val="Code"/>
              </w:rPr>
              <w:t xml:space="preserve">&lt;head </w:t>
            </w:r>
            <w:r>
              <w:rPr>
                <w:rStyle w:val="Codeattribute"/>
              </w:rPr>
              <w:t>xml:lang</w:t>
            </w:r>
            <w:r>
              <w:rPr>
                <w:rStyle w:val="Code"/>
              </w:rPr>
              <w:t>=</w:t>
            </w:r>
            <w:r>
              <w:rPr>
                <w:rStyle w:val="Codevalue"/>
              </w:rPr>
              <w:t>"eng"</w:t>
            </w:r>
            <w:r>
              <w:rPr>
                <w:rStyle w:val="Code"/>
              </w:rPr>
              <w:t>&gt;</w:t>
            </w:r>
            <w:r>
              <w:rPr>
                <w:rStyle w:val="Codetext"/>
              </w:rPr>
              <w:t>A small piece not adjacent to any edge</w:t>
            </w:r>
            <w:r>
              <w:rPr>
                <w:rStyle w:val="Code"/>
              </w:rPr>
              <w:t>&lt;/head&gt;</w:t>
            </w:r>
            <w:r>
              <w:rPr>
                <w:rStyle w:val="Codetext"/>
              </w:rPr>
              <w:br/>
              <w:t xml:space="preserve">  ...</w:t>
            </w:r>
          </w:p>
          <w:p w14:paraId="729817E1" w14:textId="77777777">
            <w:pPr>
              <w:pStyle w:val="CodeParagraph"/>
              <w:keepNext/>
              <w:rPr>
                <w:rFonts w:ascii="Consolas" w:hAnsi="Consolas" w:cs="Consolas"/>
                <w:noProof/>
                <w:color w:val="002060"/>
                <w:shd w:val="clear" w:color="auto" w:fill="F2F2F2" w:themeFill="background1" w:themeFillShade="F2"/>
              </w:rPr>
            </w:pPr>
            <w:r>
              <w:rPr>
                <w:rStyle w:val="Code"/>
              </w:rPr>
              <w:t>&lt;/div&gt;</w:t>
            </w:r>
          </w:p>
        </w:tc>
      </w:tr>
      <w:tr w14:paraId="2B8D9625" w14:textId="77777777">
        <w:tc>
          <w:tcPr>
            <w:tcW w:w="5000" w:type="pct"/>
          </w:tcPr>
          <w:p w14:paraId="51E72544" w14:textId="77777777">
            <w:pPr>
              <w:pStyle w:val="TableNote"/>
            </w:pPr>
            <w:r>
              <w:t>explicitly encoded headings will show “Upper left corner” and “A small piece not adjacent to any edge”</w:t>
            </w:r>
          </w:p>
        </w:tc>
      </w:tr>
    </w:tbl>
    <w:p w14:paraId="71C5C741" w14:textId="77777777">
      <w:pPr>
        <w:pStyle w:val="Cmsor4"/>
      </w:pPr>
      <w:bookmarkStart w:id="187" w:name="_ntlxakteb3wm" w:colFirst="0" w:colLast="0"/>
      <w:bookmarkStart w:id="188" w:name="_u4tz39yk0lmz" w:colFirst="0" w:colLast="0"/>
      <w:bookmarkStart w:id="189" w:name="_v01oqe9wesr6" w:colFirst="0" w:colLast="0"/>
      <w:bookmarkStart w:id="190" w:name="_suh8lewninkg" w:colFirst="0" w:colLast="0"/>
      <w:bookmarkStart w:id="191" w:name="_ro2q56korov1" w:colFirst="0" w:colLast="0"/>
      <w:bookmarkStart w:id="192" w:name="_fh0zn6srq43l" w:colFirst="0" w:colLast="0"/>
      <w:bookmarkStart w:id="193" w:name="_Ref225324541"/>
      <w:bookmarkStart w:id="194" w:name="_Ref224742342"/>
      <w:bookmarkStart w:id="195" w:name="_Ref43986747"/>
      <w:bookmarkEnd w:id="187"/>
      <w:bookmarkEnd w:id="188"/>
      <w:bookmarkEnd w:id="189"/>
      <w:bookmarkEnd w:id="190"/>
      <w:bookmarkEnd w:id="191"/>
      <w:bookmarkEnd w:id="192"/>
      <w:r>
        <w:t>Numbering elements within textparts</w:t>
      </w:r>
      <w:bookmarkEnd w:id="193"/>
    </w:p>
    <w:p w14:paraId="4B7A0332" w14:textId="77777777">
      <w:pPr>
        <w:rPr>
          <w:lang w:eastAsia="en-US" w:bidi="ar-SA"/>
        </w:rPr>
      </w:pPr>
      <w:r>
        <w:rPr>
          <w:lang w:eastAsia="en-US" w:bidi="ar-SA"/>
        </w:rPr>
        <w:t>The numbering of structural elements serves for reference, implying that the number of any represented entity should be unique. However, uniqueness is only a criterion within each textpart, since a reference unique across the entire edition can still be created by combining the textpart number with the number of the entity in question. For example, even if textpart A and textpart B both have a line 1, these can still be identified unambiguously as “line 1 of textpart A” and “line 1 of textpart B”.</w:t>
      </w:r>
    </w:p>
    <w:p w14:paraId="22D9754D" w14:textId="77777777">
      <w:pPr>
        <w:pStyle w:val="Normlbehzs"/>
      </w:pPr>
      <w:r>
        <w:rPr>
          <w:lang w:eastAsia="en-US" w:bidi="ar-SA"/>
        </w:rPr>
        <w:lastRenderedPageBreak/>
        <w:t xml:space="preserve">Because textpart divisions are essentially independent editions, for the sake of clarity and consistency we recommend restarting numeration in each textpart for any structural entities present in more than one textpart (typically: physical lines and stanzas). Doing so is especially warranted when there is no </w:t>
      </w:r>
      <w:r>
        <w:t>straightforward sequence of progression from one textpart to another, but restarting never does any harm. Therefore, employ consecutive numbering through textparts only when you have a strong reason to do so.</w:t>
      </w:r>
    </w:p>
    <w:p w14:paraId="0B75C02D" w14:textId="77777777">
      <w:pPr>
        <w:pStyle w:val="Cmsor2"/>
      </w:pPr>
      <w:bookmarkStart w:id="196" w:name="_Ref225327729"/>
      <w:bookmarkStart w:id="197" w:name="_Toc243900264"/>
      <w:bookmarkEnd w:id="194"/>
      <w:bookmarkEnd w:id="195"/>
      <w:r>
        <w:t>Encoding with milestones</w:t>
      </w:r>
      <w:bookmarkEnd w:id="196"/>
      <w:bookmarkEnd w:id="197"/>
    </w:p>
    <w:p w14:paraId="3F5A307A" w14:textId="77777777">
      <w:r>
        <w:t>As introduced in §</w:t>
      </w:r>
      <w:r>
        <w:fldChar w:fldCharType="begin"/>
      </w:r>
      <w:r>
        <w:instrText xml:space="preserve"> REF _Ref182923075 \r \h </w:instrText>
      </w:r>
      <w:r>
        <w:fldChar w:fldCharType="separate"/>
      </w:r>
      <w:r>
        <w:t>4.1</w:t>
      </w:r>
      <w:r>
        <w:fldChar w:fldCharType="end"/>
      </w:r>
      <w:r>
        <w:t xml:space="preserve">, we employ empty elements to indicate points of transition relevant to extrinsic structure. This kind of empty element is called a milestone in TEI parlance. The generic </w:t>
      </w:r>
      <w:r>
        <w:rPr>
          <w:rStyle w:val="Code"/>
        </w:rPr>
        <w:t>&lt;milestone/&gt;</w:t>
      </w:r>
      <w:r>
        <w:t xml:space="preserve"> element, when used for extrinsic structure, must always carry the attribute </w:t>
      </w:r>
      <w:r>
        <w:rPr>
          <w:rStyle w:val="Codeattribute"/>
        </w:rPr>
        <w:t>@unit</w:t>
      </w:r>
      <w:r>
        <w:t xml:space="preserve"> (§</w:t>
      </w:r>
      <w:r>
        <w:fldChar w:fldCharType="begin"/>
      </w:r>
      <w:r>
        <w:instrText xml:space="preserve"> REF _Ref182815315 \r \h </w:instrText>
      </w:r>
      <w:r>
        <w:fldChar w:fldCharType="separate"/>
      </w:r>
      <w:r>
        <w:t>4.3.1</w:t>
      </w:r>
      <w:r>
        <w:fldChar w:fldCharType="end"/>
      </w:r>
      <w:r>
        <w:t xml:space="preserve">) to encode what kind of transition it represents. TEI also provides several specialised milestone elements, where the unit is implicit in the element’s name and does not need to be encoded explicitly. Of these, our encoding makes use of </w:t>
      </w:r>
      <w:r>
        <w:rPr>
          <w:rStyle w:val="Code"/>
        </w:rPr>
        <w:t>&lt;pb/&gt;</w:t>
      </w:r>
      <w:r>
        <w:t xml:space="preserve"> “Page Beginning” (§</w:t>
      </w:r>
      <w:r>
        <w:fldChar w:fldCharType="begin"/>
      </w:r>
      <w:r>
        <w:instrText xml:space="preserve"> REF _Ref183083979 \r \h </w:instrText>
      </w:r>
      <w:r>
        <w:fldChar w:fldCharType="separate"/>
      </w:r>
      <w:r>
        <w:t>4.4.2</w:t>
      </w:r>
      <w:r>
        <w:fldChar w:fldCharType="end"/>
      </w:r>
      <w:r>
        <w:t xml:space="preserve">) and </w:t>
      </w:r>
      <w:r>
        <w:rPr>
          <w:rStyle w:val="Code"/>
        </w:rPr>
        <w:t>&lt;lb/&gt;</w:t>
      </w:r>
      <w:r>
        <w:t xml:space="preserve"> “Line Beginning” (§</w:t>
      </w:r>
      <w:r>
        <w:fldChar w:fldCharType="begin"/>
      </w:r>
      <w:r>
        <w:instrText xml:space="preserve"> REF _Ref224720139 \r \h </w:instrText>
      </w:r>
      <w:r>
        <w:fldChar w:fldCharType="separate"/>
      </w:r>
      <w:r>
        <w:t>4.5</w:t>
      </w:r>
      <w:r>
        <w:fldChar w:fldCharType="end"/>
      </w:r>
      <w:r>
        <w:t xml:space="preserve">), while the generic </w:t>
      </w:r>
      <w:r>
        <w:rPr>
          <w:rStyle w:val="Code"/>
        </w:rPr>
        <w:t>&lt;milestone/&gt;</w:t>
      </w:r>
      <w:r>
        <w:t xml:space="preserve"> element is used with </w:t>
      </w:r>
      <w:r>
        <w:rPr>
          <w:rStyle w:val="Codeattribute"/>
        </w:rPr>
        <w:t>@type=</w:t>
      </w:r>
      <w:r>
        <w:rPr>
          <w:rStyle w:val="Codevalue"/>
        </w:rPr>
        <w:t>"pagelike"</w:t>
      </w:r>
      <w:r>
        <w:t xml:space="preserve"> to represent pagelike partitions other than actual pages (§</w:t>
      </w:r>
      <w:r>
        <w:fldChar w:fldCharType="begin"/>
      </w:r>
      <w:r>
        <w:instrText xml:space="preserve"> REF _Ref43986679 \r \h </w:instrText>
      </w:r>
      <w:r>
        <w:fldChar w:fldCharType="separate"/>
      </w:r>
      <w:r>
        <w:t>4.4.2.1</w:t>
      </w:r>
      <w:r>
        <w:fldChar w:fldCharType="end"/>
      </w:r>
      <w:r>
        <w:t xml:space="preserve">), and without </w:t>
      </w:r>
      <w:r>
        <w:rPr>
          <w:rStyle w:val="Codeattribute"/>
        </w:rPr>
        <w:t>@type</w:t>
      </w:r>
      <w:r>
        <w:t xml:space="preserve"> to represent gridlike partitions (§</w:t>
      </w:r>
      <w:r>
        <w:fldChar w:fldCharType="begin"/>
      </w:r>
      <w:r>
        <w:instrText xml:space="preserve"> REF _Ref182310382 \r \h </w:instrText>
      </w:r>
      <w:r>
        <w:fldChar w:fldCharType="separate"/>
      </w:r>
      <w:r>
        <w:t>4.6.1</w:t>
      </w:r>
      <w:r>
        <w:fldChar w:fldCharType="end"/>
      </w:r>
      <w:r>
        <w:t>).</w:t>
      </w:r>
      <w:r>
        <w:rPr>
          <w:rStyle w:val="Lbjegyzet-hivatkozs"/>
        </w:rPr>
        <w:footnoteReference w:id="14"/>
      </w:r>
      <w:r>
        <w:t xml:space="preserve"> Milestone-type elements representing extrinsic structure are always numbered in our editions, with numeration schemes for each kind discussed in the relevant sections. The present section gathers instructions that apply in general to the structural milestones we use.</w:t>
      </w:r>
    </w:p>
    <w:p w14:paraId="02027FA8" w14:textId="77777777">
      <w:pPr>
        <w:pStyle w:val="Cmsor3"/>
      </w:pPr>
      <w:bookmarkStart w:id="198" w:name="_2po8nsoeevw0" w:colFirst="0" w:colLast="0"/>
      <w:bookmarkStart w:id="199" w:name="_Ref182815315"/>
      <w:bookmarkStart w:id="200" w:name="_Toc243900265"/>
      <w:bookmarkStart w:id="201" w:name="_Ref43979481"/>
      <w:bookmarkStart w:id="202" w:name="_Ref182580598"/>
      <w:bookmarkStart w:id="203" w:name="_Ref182580609"/>
      <w:bookmarkStart w:id="204" w:name="_Ref182580645"/>
      <w:bookmarkStart w:id="205" w:name="_Ref182580657"/>
      <w:bookmarkStart w:id="206" w:name="_Ref182580801"/>
      <w:bookmarkEnd w:id="198"/>
      <w:r>
        <w:t>Milestone units</w:t>
      </w:r>
      <w:bookmarkEnd w:id="199"/>
      <w:bookmarkEnd w:id="200"/>
    </w:p>
    <w:p w14:paraId="34E80083" w14:textId="77777777">
      <w:pPr>
        <w:pStyle w:val="Lista"/>
      </w:pPr>
      <w:r>
        <w:t xml:space="preserve">the attribute </w:t>
      </w:r>
      <w:r>
        <w:rPr>
          <w:rStyle w:val="Codeattribute"/>
        </w:rPr>
        <w:t>@unit</w:t>
      </w:r>
      <w:r>
        <w:t xml:space="preserve"> is mandatory for all </w:t>
      </w:r>
      <w:r>
        <w:rPr>
          <w:rStyle w:val="Code"/>
        </w:rPr>
        <w:t>&lt;milestone&gt;</w:t>
      </w:r>
      <w:r>
        <w:t xml:space="preserve"> elements representing extrinsic structure</w:t>
      </w:r>
    </w:p>
    <w:p w14:paraId="43686913" w14:textId="77777777">
      <w:pPr>
        <w:pStyle w:val="Lista"/>
      </w:pPr>
      <w:r>
        <w:t xml:space="preserve">the value of this attribute shall be a single word describing the nature of the partition analogously to the (optional) </w:t>
      </w:r>
      <w:r>
        <w:rPr>
          <w:rStyle w:val="Codeattribute"/>
        </w:rPr>
        <w:t>@subtype</w:t>
      </w:r>
      <w:r>
        <w:t xml:space="preserve"> of textpart divisions </w:t>
      </w:r>
      <w:r>
        <w:rPr>
          <w:noProof/>
        </w:rPr>
        <w:t>(</w:t>
      </w:r>
      <w:r>
        <w:t>§</w:t>
      </w:r>
      <w:r>
        <w:fldChar w:fldCharType="begin"/>
      </w:r>
      <w:r>
        <w:instrText xml:space="preserve"> REF _Ref182236825 \r \h </w:instrText>
      </w:r>
      <w:r>
        <w:fldChar w:fldCharType="separate"/>
      </w:r>
      <w:r>
        <w:t>4.2.1.2</w:t>
      </w:r>
      <w:r>
        <w:fldChar w:fldCharType="end"/>
      </w:r>
      <w:r>
        <w:t>), based on the physical nature of the corresponding partition of extrinsic structure, disregarding its visual appearance, topological position relative to other textparts, and semantic function in intrinsic structure</w:t>
      </w:r>
    </w:p>
    <w:p w14:paraId="1793D353" w14:textId="77777777">
      <w:pPr>
        <w:pStyle w:val="Lista"/>
      </w:pPr>
      <w:r>
        <w:t xml:space="preserve">the permitted values of </w:t>
      </w:r>
      <w:r>
        <w:rPr>
          <w:rStyle w:val="Codeattribute"/>
        </w:rPr>
        <w:t>@unit</w:t>
      </w:r>
      <w:r>
        <w:t>, applicable to both pagelike (§</w:t>
      </w:r>
      <w:r>
        <w:fldChar w:fldCharType="begin"/>
      </w:r>
      <w:r>
        <w:instrText xml:space="preserve"> REF _Ref43986679 \r \h </w:instrText>
      </w:r>
      <w:r>
        <w:fldChar w:fldCharType="separate"/>
      </w:r>
      <w:r>
        <w:t>4.4.2.1</w:t>
      </w:r>
      <w:r>
        <w:fldChar w:fldCharType="end"/>
      </w:r>
      <w:r>
        <w:t>) and gridlike (§</w:t>
      </w:r>
      <w:r>
        <w:fldChar w:fldCharType="begin"/>
      </w:r>
      <w:r>
        <w:instrText xml:space="preserve"> REF _Ref182310382 \r \h </w:instrText>
      </w:r>
      <w:r>
        <w:fldChar w:fldCharType="separate"/>
      </w:r>
      <w:r>
        <w:t>4.6.1</w:t>
      </w:r>
      <w:r>
        <w:fldChar w:fldCharType="end"/>
      </w:r>
      <w:r>
        <w:t xml:space="preserve">) </w:t>
      </w:r>
      <w:r>
        <w:rPr>
          <w:rStyle w:val="Code"/>
        </w:rPr>
        <w:t>&lt;milestone&gt;</w:t>
      </w:r>
      <w:r>
        <w:t xml:space="preserve"> elements, are as follows:</w:t>
      </w:r>
    </w:p>
    <w:p w14:paraId="1D1ECD54" w14:textId="77777777">
      <w:pPr>
        <w:pStyle w:val="Lista2"/>
      </w:pPr>
      <w:r>
        <w:rPr>
          <w:rStyle w:val="Codevalue"/>
        </w:rPr>
        <w:t>"block"</w:t>
      </w:r>
      <w:r>
        <w:t xml:space="preserve"> for inscriptions on separable architectural blocks in a larger element such as a wall (gridlike: </w:t>
      </w:r>
      <w:r>
        <w:fldChar w:fldCharType="begin"/>
      </w:r>
      <w:r>
        <w:instrText xml:space="preserve"> REF _Ref44078533 \h </w:instrText>
      </w:r>
      <w:r>
        <w:fldChar w:fldCharType="separate"/>
      </w:r>
      <w:r>
        <w:t xml:space="preserve">Exhibit </w:t>
      </w:r>
      <w:r>
        <w:rPr>
          <w:noProof/>
        </w:rPr>
        <w:t>4.7</w:t>
      </w:r>
      <w:r>
        <w:t>.</w:t>
      </w:r>
      <w:r>
        <w:rPr>
          <w:noProof/>
        </w:rPr>
        <w:t>O</w:t>
      </w:r>
      <w:r>
        <w:fldChar w:fldCharType="end"/>
      </w:r>
      <w:r>
        <w:t>)</w:t>
      </w:r>
    </w:p>
    <w:p w14:paraId="41B7CF81" w14:textId="77777777">
      <w:pPr>
        <w:pStyle w:val="Lista2"/>
      </w:pPr>
      <w:r>
        <w:rPr>
          <w:rStyle w:val="Codevalue"/>
        </w:rPr>
        <w:t>"column"</w:t>
      </w:r>
      <w:r>
        <w:t xml:space="preserve"> for zones placed side by side and generally taller than they are wide</w:t>
      </w:r>
    </w:p>
    <w:p w14:paraId="43A06659" w14:textId="77777777">
      <w:pPr>
        <w:pStyle w:val="Lista3"/>
      </w:pPr>
      <w:r>
        <w:rPr>
          <w:noProof/>
        </w:rPr>
        <w:t xml:space="preserve">resembling </w:t>
      </w:r>
      <w:r>
        <w:t xml:space="preserve">the columns of newsprint for pagelike partitions,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p>
    <w:p w14:paraId="7B83400A" w14:textId="77777777">
      <w:pPr>
        <w:pStyle w:val="Lista3"/>
      </w:pPr>
      <w:r>
        <w:t xml:space="preserve">resembling verse with metrical subunits arranged into quasi-columns for gridlike partitions, as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xml:space="preserve"> and the Case Study in </w:t>
      </w:r>
      <w:r>
        <w:fldChar w:fldCharType="begin"/>
      </w:r>
      <w:r>
        <w:instrText xml:space="preserve"> REF _Ref239843991 \r \h </w:instrText>
      </w:r>
      <w:r>
        <w:fldChar w:fldCharType="separate"/>
      </w:r>
      <w:r>
        <w:t>Appendix A.6</w:t>
      </w:r>
      <w:r>
        <w:fldChar w:fldCharType="end"/>
      </w:r>
    </w:p>
    <w:p w14:paraId="753CCC6C" w14:textId="77777777">
      <w:pPr>
        <w:pStyle w:val="Lista2"/>
      </w:pPr>
      <w:r>
        <w:rPr>
          <w:rStyle w:val="Codevalue"/>
        </w:rPr>
        <w:t>"face"</w:t>
      </w:r>
      <w:r>
        <w:t xml:space="preserve"> for a physically contiguous surface of a three-dimensional object of any shape and any number of sides (gridlike: </w:t>
      </w:r>
      <w:r>
        <w:fldChar w:fldCharType="begin"/>
      </w:r>
      <w:r>
        <w:instrText xml:space="preserve"> REF _Ref182822234 \h </w:instrText>
      </w:r>
      <w:r>
        <w:fldChar w:fldCharType="separate"/>
      </w:r>
      <w:r>
        <w:t xml:space="preserve">Exhibit </w:t>
      </w:r>
      <w:r>
        <w:rPr>
          <w:noProof/>
        </w:rPr>
        <w:t>4.7</w:t>
      </w:r>
      <w:r>
        <w:t>.</w:t>
      </w:r>
      <w:r>
        <w:rPr>
          <w:noProof/>
        </w:rPr>
        <w:t>R</w:t>
      </w:r>
      <w:r>
        <w:fldChar w:fldCharType="end"/>
      </w:r>
      <w:r>
        <w:t xml:space="preserve">; see also the Case Study in </w:t>
      </w:r>
      <w:r>
        <w:fldChar w:fldCharType="begin"/>
      </w:r>
      <w:r>
        <w:instrText xml:space="preserve"> REF _Ref239843991 \r \h </w:instrText>
      </w:r>
      <w:r>
        <w:fldChar w:fldCharType="separate"/>
      </w:r>
      <w:r>
        <w:t>Appendix A.6</w:t>
      </w:r>
      <w:r>
        <w:fldChar w:fldCharType="end"/>
      </w:r>
      <w:r>
        <w:t xml:space="preserve"> for pagelike faces subdivided into gridlike columns)</w:t>
      </w:r>
    </w:p>
    <w:p w14:paraId="387B30C3" w14:textId="77777777">
      <w:pPr>
        <w:pStyle w:val="Lista2"/>
      </w:pPr>
      <w:r>
        <w:rPr>
          <w:rStyle w:val="Codevalue"/>
        </w:rPr>
        <w:t>"faces"</w:t>
      </w:r>
      <w:r>
        <w:t xml:space="preserve"> in texts where each pagelike zone involves lines continuing across two or more surfaces such as the frontal and lateral face of a four-sided stele</w:t>
      </w:r>
    </w:p>
    <w:p w14:paraId="690A8779" w14:textId="77777777">
      <w:pPr>
        <w:pStyle w:val="Lista3"/>
      </w:pPr>
      <w:r>
        <w:t xml:space="preserve">this unit is not normally applicable to gridlike partitions, but a gridlike partition with </w:t>
      </w:r>
      <w:r>
        <w:rPr>
          <w:rStyle w:val="Codeattribute"/>
        </w:rPr>
        <w:t>@unit=</w:t>
      </w:r>
      <w:r>
        <w:rPr>
          <w:rStyle w:val="Codevalue"/>
        </w:rPr>
        <w:t>"face"</w:t>
      </w:r>
      <w:r>
        <w:t xml:space="preserve"> may be used to encode the boundary of each face constituting a pagelike zone of this kind, as in the Case Study in </w:t>
      </w:r>
      <w:r>
        <w:fldChar w:fldCharType="begin"/>
      </w:r>
      <w:r>
        <w:instrText xml:space="preserve"> REF _Ref239844040 \r \h </w:instrText>
      </w:r>
      <w:r>
        <w:fldChar w:fldCharType="separate"/>
      </w:r>
      <w:r>
        <w:t>Appendix A.5</w:t>
      </w:r>
      <w:r>
        <w:fldChar w:fldCharType="end"/>
      </w:r>
      <w:r>
        <w:t xml:space="preserve"> </w:t>
      </w:r>
    </w:p>
    <w:p w14:paraId="53FC169B" w14:textId="77777777">
      <w:pPr>
        <w:pStyle w:val="Lista2"/>
      </w:pPr>
      <w:r>
        <w:rPr>
          <w:rStyle w:val="Codevalue"/>
        </w:rPr>
        <w:t>"fragment"</w:t>
      </w:r>
      <w:r>
        <w:t xml:space="preserve"> for objects with two or more extant inscribed fragments</w:t>
      </w:r>
    </w:p>
    <w:p w14:paraId="08FC167F" w14:textId="77777777">
      <w:pPr>
        <w:pStyle w:val="Lista3"/>
      </w:pPr>
      <w:r>
        <w:t xml:space="preserve">fragmentation generally engenders gridlike partitions as in </w:t>
      </w:r>
      <w:r>
        <w:fldChar w:fldCharType="begin"/>
      </w:r>
      <w:r>
        <w:instrText xml:space="preserve"> REF _Ref182834408 \h </w:instrText>
      </w:r>
      <w:r>
        <w:fldChar w:fldCharType="separate"/>
      </w:r>
      <w:r>
        <w:t xml:space="preserve">Exhibit </w:t>
      </w:r>
      <w:r>
        <w:rPr>
          <w:noProof/>
        </w:rPr>
        <w:t>4.7</w:t>
      </w:r>
      <w:r>
        <w:t>.</w:t>
      </w:r>
      <w:r>
        <w:rPr>
          <w:noProof/>
        </w:rPr>
        <w:t>W</w:t>
      </w:r>
      <w:r>
        <w:fldChar w:fldCharType="end"/>
      </w:r>
      <w:r>
        <w:t xml:space="preserve">, but may occasionally result in a pagelike partition as in </w:t>
      </w:r>
      <w:r>
        <w:fldChar w:fldCharType="begin"/>
      </w:r>
      <w:r>
        <w:instrText xml:space="preserve"> REF _Ref182822467 \h </w:instrText>
      </w:r>
      <w:r>
        <w:fldChar w:fldCharType="separate"/>
      </w:r>
      <w:r>
        <w:t xml:space="preserve">Exhibit </w:t>
      </w:r>
      <w:r>
        <w:rPr>
          <w:noProof/>
        </w:rPr>
        <w:t>4.7</w:t>
      </w:r>
      <w:r>
        <w:t>.</w:t>
      </w:r>
      <w:r>
        <w:rPr>
          <w:noProof/>
        </w:rPr>
        <w:t>X</w:t>
      </w:r>
      <w:r>
        <w:fldChar w:fldCharType="end"/>
      </w:r>
      <w:r>
        <w:t xml:space="preserve"> as well as in a boxlike one as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p>
    <w:p w14:paraId="49F7C5FA" w14:textId="77777777">
      <w:pPr>
        <w:pStyle w:val="Lista2"/>
      </w:pPr>
      <w:r>
        <w:rPr>
          <w:rStyle w:val="Codevalue"/>
        </w:rPr>
        <w:t>"item"</w:t>
      </w:r>
      <w:r>
        <w:t xml:space="preserve"> for physically separate objects such as architectural elements, e.g. when an inscription is engraved on two pillars or doorjambs (pagelike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w:t>
      </w:r>
    </w:p>
    <w:p w14:paraId="4172D85E" w14:textId="77777777">
      <w:pPr>
        <w:pStyle w:val="Lista3"/>
      </w:pPr>
      <w:r>
        <w:t>this unit is not normally applicable to gridlike partitions</w:t>
      </w:r>
    </w:p>
    <w:p w14:paraId="6DE3721A" w14:textId="77777777">
      <w:pPr>
        <w:pStyle w:val="Lista2"/>
      </w:pPr>
      <w:r>
        <w:rPr>
          <w:rStyle w:val="Codevalue"/>
        </w:rPr>
        <w:t>"zone"</w:t>
      </w:r>
      <w:r>
        <w:t xml:space="preserve"> for visually distinct zones that do not readily meet any of the specific definitions above</w:t>
      </w:r>
    </w:p>
    <w:p w14:paraId="499D351F" w14:textId="77777777">
      <w:pPr>
        <w:pStyle w:val="Lista3"/>
      </w:pPr>
      <w:r>
        <w:lastRenderedPageBreak/>
        <w:t>a zone is generally conceived of as being on a single contiguous surface, but in inscriptions with a complex topology, this unit may also be used for a visually distinct area occupying two or more surfaces</w:t>
      </w:r>
    </w:p>
    <w:p w14:paraId="2F0BD2D6" w14:textId="77777777">
      <w:pPr>
        <w:pStyle w:val="Lista2"/>
      </w:pPr>
      <w:bookmarkStart w:id="207" w:name="_Ref225352317"/>
      <w:bookmarkStart w:id="208" w:name="_Ref225324572"/>
      <w:r>
        <w:t>only the values listed above may be used, even though earlier versions of this Guide permitted using custom values</w:t>
      </w:r>
    </w:p>
    <w:p w14:paraId="73A416C8" w14:textId="77777777">
      <w:pPr>
        <w:pStyle w:val="Cmsor3"/>
      </w:pPr>
      <w:bookmarkStart w:id="209" w:name="_Toc243900266"/>
      <w:r>
        <w:t xml:space="preserve">Milestones interrupting </w:t>
      </w:r>
      <w:bookmarkEnd w:id="207"/>
      <w:r>
        <w:t>the text</w:t>
      </w:r>
      <w:bookmarkEnd w:id="209"/>
    </w:p>
    <w:p w14:paraId="790AFBF3" w14:textId="77777777">
      <w:pPr>
        <w:rPr>
          <w:lang w:eastAsia="en-US" w:bidi="ar-SA"/>
        </w:rPr>
      </w:pPr>
      <w:r>
        <w:rPr>
          <w:lang w:eastAsia="en-US" w:bidi="ar-SA"/>
        </w:rPr>
        <w:t>When a milestone for extrinsic structure falls inside a word, this must be encoded as per §</w:t>
      </w:r>
      <w:r>
        <w:fldChar w:fldCharType="begin"/>
      </w:r>
      <w:r>
        <w:instrText xml:space="preserve"> REF _Ref225519777 \r \h </w:instrText>
      </w:r>
      <w:r>
        <w:fldChar w:fldCharType="separate"/>
      </w:r>
      <w:r>
        <w:t>4.3.2.1</w:t>
      </w:r>
      <w:r>
        <w:fldChar w:fldCharType="end"/>
      </w:r>
      <w:r>
        <w:t xml:space="preserve"> to show that the structural break is not also a word break. In situations where a structural boundary — typically a fracture, but occasionally also a transition to another surface of a three-dimensional object — splits one or more atomic </w:t>
      </w:r>
      <w:r>
        <w:rPr>
          <w:rStyle w:val="Foreign"/>
        </w:rPr>
        <w:t>akṣara</w:t>
      </w:r>
      <w:r>
        <w:rPr>
          <w:noProof/>
        </w:rPr>
        <w:t>s</w:t>
      </w:r>
      <w:r>
        <w:t xml:space="preserve"> of the text, the target graphemes corresponding to the split </w:t>
      </w:r>
      <w:r>
        <w:rPr>
          <w:rStyle w:val="Foreign"/>
        </w:rPr>
        <w:t>akṣara</w:t>
      </w:r>
      <w:r>
        <w:t xml:space="preserve"> shall be arbitrarily allocated to one side of the partition or the other. Specific guidelines for this are given in §</w:t>
      </w:r>
      <w:r>
        <w:fldChar w:fldCharType="begin"/>
      </w:r>
      <w:r>
        <w:instrText xml:space="preserve"> REF _Ref182813737 \r \h </w:instrText>
      </w:r>
      <w:r>
        <w:fldChar w:fldCharType="separate"/>
      </w:r>
      <w:r>
        <w:t>4.7.6.1</w:t>
      </w:r>
      <w:r>
        <w:fldChar w:fldCharType="end"/>
      </w:r>
      <w:r>
        <w:t xml:space="preserve">. When a theoretically atomic </w:t>
      </w:r>
      <w:r>
        <w:rPr>
          <w:rStyle w:val="Foreign"/>
        </w:rPr>
        <w:t>akṣara</w:t>
      </w:r>
      <w:r>
        <w:t xml:space="preserve"> is deliberately separated into its constituent parts by the scribe, this can be encoded as per §</w:t>
      </w:r>
      <w:r>
        <w:fldChar w:fldCharType="begin"/>
      </w:r>
      <w:r>
        <w:instrText xml:space="preserve"> REF _Ref43987165 \r \h </w:instrText>
      </w:r>
      <w:r>
        <w:fldChar w:fldCharType="separate"/>
      </w:r>
      <w:r>
        <w:t>5.1.4</w:t>
      </w:r>
      <w:r>
        <w:fldChar w:fldCharType="end"/>
      </w:r>
      <w:r>
        <w:t>.</w:t>
      </w:r>
    </w:p>
    <w:p w14:paraId="35709EE0" w14:textId="77777777">
      <w:pPr>
        <w:pStyle w:val="Cmsor4"/>
      </w:pPr>
      <w:bookmarkStart w:id="210" w:name="_Ref225519777"/>
      <w:r>
        <w:t>Milestones interrupting words</w:t>
      </w:r>
      <w:bookmarkEnd w:id="210"/>
    </w:p>
    <w:p w14:paraId="3C8BCC1F" w14:textId="77777777">
      <w:pPr>
        <w:pStyle w:val="Lista"/>
      </w:pPr>
      <w:r>
        <w:t xml:space="preserve">a structural transition interrupts a word if it occurs at a point other than between two independent words, i.e. at any place where cannot add an editorial space </w:t>
      </w:r>
      <w:r>
        <w:rPr>
          <w:noProof/>
        </w:rPr>
        <w:t>(</w:t>
      </w:r>
      <w:r>
        <w:t>TG §7.3.2), including cases</w:t>
      </w:r>
    </w:p>
    <w:p w14:paraId="5A228572" w14:textId="77777777">
      <w:pPr>
        <w:pStyle w:val="Lista2"/>
      </w:pPr>
      <w:r>
        <w:t xml:space="preserve">where the words before and after the transition are compounded to one another </w:t>
      </w:r>
      <w:r>
        <w:rPr>
          <w:noProof/>
        </w:rPr>
        <w:t>(</w:t>
      </w:r>
      <w:r>
        <w:t xml:space="preserve">e.g. </w:t>
      </w:r>
      <w:r>
        <w:rPr>
          <w:rStyle w:val="Foreign"/>
        </w:rPr>
        <w:t>mahā/rāja</w:t>
      </w:r>
      <w:r>
        <w:t>)</w:t>
      </w:r>
    </w:p>
    <w:p w14:paraId="79664B7D" w14:textId="77777777">
      <w:pPr>
        <w:pStyle w:val="Lista2"/>
      </w:pPr>
      <w:r>
        <w:t xml:space="preserve">where an initial vowel is fused in sandhi to the vowel before the transition </w:t>
      </w:r>
      <w:r>
        <w:rPr>
          <w:noProof/>
        </w:rPr>
        <w:t>(</w:t>
      </w:r>
      <w:r>
        <w:t xml:space="preserve">e.g. </w:t>
      </w:r>
      <w:r>
        <w:rPr>
          <w:rStyle w:val="Foreign"/>
        </w:rPr>
        <w:t>tathā/pi</w:t>
      </w:r>
      <w:r>
        <w:t xml:space="preserve">, </w:t>
      </w:r>
      <w:r>
        <w:rPr>
          <w:rStyle w:val="Foreign"/>
        </w:rPr>
        <w:t>atre/yam</w:t>
      </w:r>
      <w:r>
        <w:t xml:space="preserve">, </w:t>
      </w:r>
      <w:r>
        <w:rPr>
          <w:rStyle w:val="Foreign"/>
        </w:rPr>
        <w:t>tatho/ktam</w:t>
      </w:r>
      <w:r>
        <w:t xml:space="preserve">; but not </w:t>
      </w:r>
      <w:r>
        <w:rPr>
          <w:rStyle w:val="Foreign"/>
        </w:rPr>
        <w:t>so/yam</w:t>
      </w:r>
      <w:r>
        <w:t>, where the sandhi does not involve vowel fusion)</w:t>
      </w:r>
    </w:p>
    <w:p w14:paraId="646AFBE2" w14:textId="77777777">
      <w:pPr>
        <w:pStyle w:val="Lista2"/>
      </w:pPr>
      <w:r>
        <w:t>unlike the boundaries of intrinsic structure (§</w:t>
      </w:r>
      <w:r>
        <w:fldChar w:fldCharType="begin"/>
      </w:r>
      <w:r>
        <w:instrText xml:space="preserve"> REF _Ref225328264 \r \h </w:instrText>
      </w:r>
      <w:r>
        <w:fldChar w:fldCharType="separate"/>
      </w:r>
      <w:r>
        <w:t>3.2.4.1</w:t>
      </w:r>
      <w:r>
        <w:fldChar w:fldCharType="end"/>
      </w:r>
      <w:r>
        <w:t xml:space="preserve">), extrinsic structure can interrupt words which are separable in transliteration, when the separation of the source’s </w:t>
      </w:r>
      <w:r>
        <w:rPr>
          <w:rStyle w:val="Foreign"/>
        </w:rPr>
        <w:t>akṣara</w:t>
      </w:r>
      <w:r>
        <w:rPr>
          <w:rStyle w:val="Foreign"/>
          <w:i w:val="0"/>
          <w:iCs w:val="0"/>
        </w:rPr>
        <w:t>s</w:t>
      </w:r>
      <w:r>
        <w:t xml:space="preserve"> does not coincide with the structural transition because a final vowel has been reduced in sandhi to a semivowel</w:t>
      </w:r>
    </w:p>
    <w:p w14:paraId="774E0881" w14:textId="77777777">
      <w:pPr>
        <w:pStyle w:val="Lista3"/>
      </w:pPr>
      <w:r>
        <w:t xml:space="preserve">e.g. </w:t>
      </w:r>
      <w:r>
        <w:rPr>
          <w:rStyle w:val="Foreign"/>
        </w:rPr>
        <w:t>a/sty atra</w:t>
      </w:r>
      <w:r>
        <w:t xml:space="preserve">, </w:t>
      </w:r>
      <w:r>
        <w:rPr>
          <w:rStyle w:val="Foreign"/>
        </w:rPr>
        <w:t>asty a/tra</w:t>
      </w:r>
      <w:r>
        <w:t xml:space="preserve">, </w:t>
      </w:r>
      <w:r>
        <w:rPr>
          <w:rStyle w:val="Foreign"/>
        </w:rPr>
        <w:t>asā/v api</w:t>
      </w:r>
      <w:r>
        <w:t xml:space="preserve">, </w:t>
      </w:r>
      <w:r>
        <w:rPr>
          <w:rStyle w:val="Foreign"/>
        </w:rPr>
        <w:t>asāv a/pi</w:t>
      </w:r>
    </w:p>
    <w:p w14:paraId="07A9434A" w14:textId="77777777">
      <w:pPr>
        <w:pStyle w:val="Lista2"/>
      </w:pPr>
      <w:r>
        <w:t>a structural transition is understood to interrupt a word even if the word is also interrupted by another feature at the same spot, such as</w:t>
      </w:r>
    </w:p>
    <w:p w14:paraId="03871C44" w14:textId="77777777">
      <w:pPr>
        <w:pStyle w:val="Lista3"/>
      </w:pPr>
      <w:r>
        <w:t xml:space="preserve">connector symbols </w:t>
      </w:r>
      <w:r>
        <w:rPr>
          <w:noProof/>
        </w:rPr>
        <w:t>(</w:t>
      </w:r>
      <w:r>
        <w:t>§</w:t>
      </w:r>
      <w:r>
        <w:fldChar w:fldCharType="begin"/>
      </w:r>
      <w:r>
        <w:instrText xml:space="preserve"> REF _Ref226038881 \r \h </w:instrText>
      </w:r>
      <w:r>
        <w:fldChar w:fldCharType="separate"/>
      </w:r>
      <w:r>
        <w:t>5.3.2.3</w:t>
      </w:r>
      <w:r>
        <w:fldChar w:fldCharType="end"/>
      </w:r>
      <w:r>
        <w:t>) before the transition</w:t>
      </w:r>
    </w:p>
    <w:p w14:paraId="715420E3" w14:textId="77777777">
      <w:pPr>
        <w:pStyle w:val="Lista3"/>
      </w:pPr>
      <w:r>
        <w:t xml:space="preserve">a space imposed by physical features </w:t>
      </w:r>
      <w:r>
        <w:rPr>
          <w:noProof/>
        </w:rPr>
        <w:t>(</w:t>
      </w:r>
      <w:r>
        <w:t>§</w:t>
      </w:r>
      <w:r>
        <w:fldChar w:fldCharType="begin"/>
      </w:r>
      <w:r>
        <w:instrText xml:space="preserve"> REF _Ref43985107 \w \h  \* MERGEFORMAT </w:instrText>
      </w:r>
      <w:r>
        <w:fldChar w:fldCharType="separate"/>
      </w:r>
      <w:r>
        <w:t>5.4.2.2</w:t>
      </w:r>
      <w:r>
        <w:fldChar w:fldCharType="end"/>
      </w:r>
      <w:r>
        <w:t>) before or after the transition</w:t>
      </w:r>
    </w:p>
    <w:p w14:paraId="437E898B" w14:textId="77777777">
      <w:pPr>
        <w:pStyle w:val="Lista3"/>
      </w:pPr>
      <w:r>
        <w:t xml:space="preserve">pre-modern deletion </w:t>
      </w:r>
      <w:r>
        <w:rPr>
          <w:noProof/>
        </w:rPr>
        <w:t>(</w:t>
      </w:r>
      <w:r>
        <w:t>§</w:t>
      </w:r>
      <w:r>
        <w:fldChar w:fldCharType="begin"/>
      </w:r>
      <w:r>
        <w:instrText xml:space="preserve"> REF _Ref43985171 \w \h  \* MERGEFORMAT </w:instrText>
      </w:r>
      <w:r>
        <w:fldChar w:fldCharType="separate"/>
      </w:r>
      <w:r>
        <w:t>5.5.1</w:t>
      </w:r>
      <w:r>
        <w:fldChar w:fldCharType="end"/>
      </w:r>
      <w:r>
        <w:t>) before or after the transition</w:t>
      </w:r>
    </w:p>
    <w:p w14:paraId="686F74AF" w14:textId="77777777">
      <w:pPr>
        <w:pStyle w:val="Lista3"/>
      </w:pPr>
      <w:r>
        <w:t xml:space="preserve">a lacuna </w:t>
      </w:r>
      <w:r>
        <w:rPr>
          <w:noProof/>
        </w:rPr>
        <w:t>(</w:t>
      </w:r>
      <w:r>
        <w:t>§</w:t>
      </w:r>
      <w:r>
        <w:fldChar w:fldCharType="begin"/>
      </w:r>
      <w:r>
        <w:instrText xml:space="preserve"> REF _Ref228460110 \r \h </w:instrText>
      </w:r>
      <w:r>
        <w:fldChar w:fldCharType="separate"/>
      </w:r>
      <w:r>
        <w:t>6.5</w:t>
      </w:r>
      <w:r>
        <w:fldChar w:fldCharType="end"/>
      </w:r>
      <w:r>
        <w:t xml:space="preserve">) before or after the transition, provided that the original presence of an interrupted word can be inferred with fair likelihood </w:t>
      </w:r>
      <w:r>
        <w:rPr>
          <w:noProof/>
        </w:rPr>
        <w:t>(</w:t>
      </w:r>
      <w:r>
        <w:t>see §</w:t>
      </w:r>
      <w:r>
        <w:fldChar w:fldCharType="begin"/>
      </w:r>
      <w:r>
        <w:instrText xml:space="preserve"> REF _Ref182580157 \r \h </w:instrText>
      </w:r>
      <w:r>
        <w:fldChar w:fldCharType="separate"/>
      </w:r>
      <w:r>
        <w:t>4.3.2.2</w:t>
      </w:r>
      <w:r>
        <w:fldChar w:fldCharType="end"/>
      </w:r>
      <w:r>
        <w:t xml:space="preserve"> for details)</w:t>
      </w:r>
    </w:p>
    <w:p w14:paraId="16DC3997" w14:textId="77777777">
      <w:pPr>
        <w:pStyle w:val="Lista"/>
      </w:pPr>
      <w:r>
        <w:t xml:space="preserve">when a structural transition interrupts a word, then any and all milestone tags representing that transition must take the attribute </w:t>
      </w:r>
      <w:r>
        <w:rPr>
          <w:rStyle w:val="Codeattribute"/>
        </w:rPr>
        <w:t>@break</w:t>
      </w:r>
      <w:r>
        <w:t xml:space="preserve"> with the value </w:t>
      </w:r>
      <w:r>
        <w:rPr>
          <w:rStyle w:val="Codevalue"/>
        </w:rPr>
        <w:t>"no"</w:t>
      </w:r>
      <w:r>
        <w:t xml:space="preserve"> to encode the fact that the structural break does not also signify a break in the text</w:t>
      </w:r>
    </w:p>
    <w:p w14:paraId="199A0B6F" w14:textId="77777777">
      <w:pPr>
        <w:pStyle w:val="Lista2"/>
      </w:pPr>
      <w:r>
        <w:t xml:space="preserve">if several kinds of milestone occur together at such a point, each of them must be redundantly encoded with </w:t>
      </w:r>
      <w:r>
        <w:rPr>
          <w:rStyle w:val="Codeattribute"/>
        </w:rPr>
        <w:t>@break=</w:t>
      </w:r>
      <w:r>
        <w:rPr>
          <w:rStyle w:val="Codevalue"/>
        </w:rPr>
        <w:t>"no"</w:t>
      </w:r>
      <w:r>
        <w:t xml:space="preserve">, as in </w:t>
      </w:r>
      <w:r>
        <w:fldChar w:fldCharType="begin"/>
      </w:r>
      <w:r>
        <w:instrText xml:space="preserve"> REF _Ref182316564 \h </w:instrText>
      </w:r>
      <w:r>
        <w:fldChar w:fldCharType="separate"/>
      </w:r>
      <w:r>
        <w:t xml:space="preserve">Exhibit </w:t>
      </w:r>
      <w:r>
        <w:rPr>
          <w:noProof/>
        </w:rPr>
        <w:t>4.3</w:t>
      </w:r>
      <w:r>
        <w:t>.</w:t>
      </w:r>
      <w:r>
        <w:rPr>
          <w:noProof/>
        </w:rPr>
        <w:t>A</w:t>
      </w:r>
      <w:r>
        <w:fldChar w:fldCharType="end"/>
      </w:r>
    </w:p>
    <w:p w14:paraId="45B54FEE" w14:textId="77777777">
      <w:pPr>
        <w:pStyle w:val="Lista"/>
      </w:pPr>
      <w:r>
        <w:t xml:space="preserve">occasionally, a partition can result in the splitting of an atomic </w:t>
      </w:r>
      <w:r>
        <w:rPr>
          <w:rStyle w:val="Foreign"/>
        </w:rPr>
        <w:t>akṣara</w:t>
      </w:r>
      <w:r>
        <w:t xml:space="preserve">, in which case </w:t>
      </w:r>
      <w:r>
        <w:rPr>
          <w:rStyle w:val="Codeattribute"/>
        </w:rPr>
        <w:t>@break=</w:t>
      </w:r>
      <w:r>
        <w:rPr>
          <w:rStyle w:val="Codevalue"/>
        </w:rPr>
        <w:t>"no"</w:t>
      </w:r>
      <w:r>
        <w:t xml:space="preserve"> is of course also applicable; in addition,</w:t>
      </w:r>
    </w:p>
    <w:p w14:paraId="57C8368D" w14:textId="77777777">
      <w:pPr>
        <w:pStyle w:val="Lista2"/>
      </w:pPr>
      <w:r>
        <w:rPr>
          <w:rStyle w:val="Foreign"/>
        </w:rPr>
        <w:t>akṣara</w:t>
      </w:r>
      <w:r>
        <w:t>s deliberately divided by the engraver into two parts across a physical feature such as a line break are to be handled as per §</w:t>
      </w:r>
      <w:r>
        <w:fldChar w:fldCharType="begin"/>
      </w:r>
      <w:r>
        <w:instrText xml:space="preserve"> REF _Ref43987165 \r \h </w:instrText>
      </w:r>
      <w:r>
        <w:fldChar w:fldCharType="separate"/>
      </w:r>
      <w:r>
        <w:t>5.1.4</w:t>
      </w:r>
      <w:r>
        <w:fldChar w:fldCharType="end"/>
      </w:r>
    </w:p>
    <w:p w14:paraId="36E197F0" w14:textId="77777777">
      <w:pPr>
        <w:pStyle w:val="Lista2"/>
      </w:pPr>
      <w:r>
        <w:rPr>
          <w:rStyle w:val="Foreign"/>
        </w:rPr>
        <w:t>akṣara</w:t>
      </w:r>
      <w:r>
        <w:t>s inadvertently split by a gridlike feature such as fragmentation are to be handled as per §</w:t>
      </w:r>
      <w:r>
        <w:fldChar w:fldCharType="begin"/>
      </w:r>
      <w:r>
        <w:instrText xml:space="preserve"> REF _Ref182813737 \r \h </w:instrText>
      </w:r>
      <w:r>
        <w:fldChar w:fldCharType="separate"/>
      </w:r>
      <w:r>
        <w:t>4.7.6.1</w:t>
      </w:r>
      <w:r>
        <w:fldChar w:fldCharType="end"/>
      </w:r>
    </w:p>
    <w:p w14:paraId="078EAE6E" w14:textId="77777777">
      <w:pPr>
        <w:pStyle w:val="Lista"/>
      </w:pPr>
      <w:r>
        <w:t xml:space="preserve">when you have used </w:t>
      </w:r>
      <w:r>
        <w:rPr>
          <w:rStyle w:val="Codeattribute"/>
        </w:rPr>
        <w:t>@break=</w:t>
      </w:r>
      <w:r>
        <w:rPr>
          <w:rStyle w:val="Codevalue"/>
        </w:rPr>
        <w:t>"no"</w:t>
      </w:r>
      <w:r>
        <w:t xml:space="preserve"> on a milestone element,</w:t>
      </w:r>
    </w:p>
    <w:p w14:paraId="07C65615" w14:textId="77777777">
      <w:pPr>
        <w:pStyle w:val="Lista2"/>
      </w:pPr>
      <w:r>
        <w:t xml:space="preserve">do not start a new line of code or add a space before the milestone tag </w:t>
      </w:r>
      <w:r>
        <w:rPr>
          <w:noProof/>
        </w:rPr>
        <w:t>(</w:t>
      </w:r>
      <w:r>
        <w:t>see also §</w:t>
      </w:r>
      <w:r>
        <w:fldChar w:fldCharType="begin"/>
      </w:r>
      <w:r>
        <w:instrText xml:space="preserve"> REF _Ref225253138 \r \h </w:instrText>
      </w:r>
      <w:r>
        <w:fldChar w:fldCharType="separate"/>
      </w:r>
      <w:r>
        <w:t>4.3.3</w:t>
      </w:r>
      <w:r>
        <w:fldChar w:fldCharType="end"/>
      </w:r>
      <w:r>
        <w:t>)</w:t>
      </w:r>
    </w:p>
    <w:p w14:paraId="5EE105DF" w14:textId="77777777">
      <w:pPr>
        <w:pStyle w:val="Lista2"/>
      </w:pPr>
      <w:r>
        <w:t>never add a hyphen before the milestone tag to indicate that it breaks a word (this is to be indicated only in the encoding)</w:t>
      </w:r>
    </w:p>
    <w:p w14:paraId="79AB1639" w14:textId="77777777">
      <w:pPr>
        <w:pStyle w:val="Lista3"/>
      </w:pPr>
      <w:r>
        <w:t>however, if you use editorial hyphens for the segmentation of compounds (TG §7.3.5), then</w:t>
      </w:r>
    </w:p>
    <w:p w14:paraId="33807D39" w14:textId="77777777">
      <w:pPr>
        <w:pStyle w:val="Lista4"/>
      </w:pPr>
      <w:r>
        <w:t>boundaries marked by editorial hyphens must still be treated as being inside words</w:t>
      </w:r>
    </w:p>
    <w:p w14:paraId="6350B890" w14:textId="77777777">
      <w:pPr>
        <w:pStyle w:val="Lista4"/>
      </w:pPr>
      <w:r>
        <w:t>as per §</w:t>
      </w:r>
      <w:r>
        <w:fldChar w:fldCharType="begin"/>
      </w:r>
      <w:r>
        <w:instrText xml:space="preserve"> REF _Ref232156818 \r \h </w:instrText>
      </w:r>
      <w:r>
        <w:fldChar w:fldCharType="separate"/>
      </w:r>
      <w:r>
        <w:t>7.8.2</w:t>
      </w:r>
      <w:r>
        <w:fldChar w:fldCharType="end"/>
      </w:r>
      <w:r>
        <w:t xml:space="preserve">, the editorial hyphen must be placed after the milestone rather than before it, as in the last line of </w:t>
      </w:r>
      <w:r>
        <w:fldChar w:fldCharType="begin"/>
      </w:r>
      <w:r>
        <w:instrText xml:space="preserve"> REF _Ref182314695 \h </w:instrText>
      </w:r>
      <w:r>
        <w:fldChar w:fldCharType="separate"/>
      </w:r>
      <w:r>
        <w:t xml:space="preserve">Exhibit </w:t>
      </w:r>
      <w:r>
        <w:rPr>
          <w:noProof/>
        </w:rPr>
        <w:t>4.3</w:t>
      </w:r>
      <w:r>
        <w:t>.</w:t>
      </w:r>
      <w:r>
        <w:rPr>
          <w:noProof/>
        </w:rPr>
        <w:t>D</w:t>
      </w:r>
      <w:r>
        <w:fldChar w:fldCharType="end"/>
      </w:r>
    </w:p>
    <w:tbl>
      <w:tblPr>
        <w:tblStyle w:val="CodeSampleTable"/>
        <w:tblW w:w="5000" w:type="pct"/>
        <w:tblLook w:val="04A0" w:firstRow="1" w:lastRow="0" w:firstColumn="1" w:lastColumn="0" w:noHBand="0" w:noVBand="1"/>
      </w:tblPr>
      <w:tblGrid>
        <w:gridCol w:w="9628"/>
      </w:tblGrid>
      <w:tr w14:paraId="72767A6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AC569BE" w14:textId="77777777">
            <w:pPr>
              <w:pStyle w:val="Kpalrs"/>
            </w:pPr>
            <w:bookmarkStart w:id="211" w:name="_Ref182316564"/>
            <w:r>
              <w:lastRenderedPageBreak/>
              <w:t xml:space="preserve">Exhibit </w:t>
            </w:r>
            <w:fldSimple w:instr=" STYLEREF 2 \s ">
              <w:r>
                <w:rPr>
                  <w:noProof/>
                </w:rPr>
                <w:t>4.3</w:t>
              </w:r>
            </w:fldSimple>
            <w:r>
              <w:t>.</w:t>
            </w:r>
            <w:fldSimple w:instr=" SEQ Exhibit \* ALPHABETIC \s 2 ">
              <w:r>
                <w:rPr>
                  <w:noProof/>
                </w:rPr>
                <w:t>A</w:t>
              </w:r>
            </w:fldSimple>
            <w:bookmarkEnd w:id="211"/>
            <w:r>
              <w:t>: multiple milestones interrupting a word</w:t>
            </w:r>
          </w:p>
        </w:tc>
      </w:tr>
      <w:tr w14:paraId="40C2AFAB" w14:textId="77777777">
        <w:tc>
          <w:tcPr>
            <w:tcW w:w="5000" w:type="pct"/>
          </w:tcPr>
          <w:p w14:paraId="4642E68F" w14:textId="77777777">
            <w:pPr>
              <w:pStyle w:val="CodeParagraph"/>
              <w:rPr>
                <w:rStyle w:val="Code"/>
              </w:rPr>
            </w:pPr>
            <w:r>
              <w:rPr>
                <w:rStyle w:val="Codetext"/>
              </w:rPr>
              <w:t>...</w:t>
            </w:r>
            <w:r>
              <w:t xml:space="preserve"> </w:t>
            </w:r>
            <w:r>
              <w:rPr>
                <w:rStyle w:val="Codetext"/>
              </w:rPr>
              <w:t>tad viditvā yathocitaṁ bhāga-bhoga</w:t>
            </w:r>
            <w:r>
              <w:rPr>
                <w:rStyle w:val="Code"/>
              </w:rPr>
              <w:t xml:space="preserve">&lt;pb </w:t>
            </w:r>
          </w:p>
          <w:p w14:paraId="0F93E2AE" w14:textId="77777777">
            <w:pPr>
              <w:pStyle w:val="CodeParagraph"/>
              <w:rPr>
                <w:rStyle w:val="Code"/>
              </w:rPr>
            </w:pPr>
            <w:r>
              <w:rPr>
                <w:rStyle w:val="Codeattribute"/>
              </w:rPr>
              <w:t>n=</w:t>
            </w:r>
            <w:r>
              <w:rPr>
                <w:rStyle w:val="Codevalue"/>
              </w:rPr>
              <w:t>"3r"</w:t>
            </w:r>
            <w:r>
              <w:rPr>
                <w:rStyle w:val="Code"/>
              </w:rPr>
              <w:t xml:space="preserve"> </w:t>
            </w:r>
            <w:r>
              <w:rPr>
                <w:rStyle w:val="Codeattribute"/>
              </w:rPr>
              <w:t>break=</w:t>
            </w:r>
            <w:r>
              <w:rPr>
                <w:rStyle w:val="Codevalue"/>
              </w:rPr>
              <w:t>"no"</w:t>
            </w:r>
            <w:r>
              <w:rPr>
                <w:rStyle w:val="Code"/>
              </w:rPr>
              <w:t xml:space="preserve">/&gt;&lt;lb </w:t>
            </w:r>
          </w:p>
          <w:p w14:paraId="376BE1D0" w14:textId="77777777">
            <w:pPr>
              <w:pStyle w:val="CodeParagraph"/>
              <w:rPr>
                <w:rFonts w:ascii="Consolas" w:hAnsi="Consolas" w:cs="Consolas"/>
                <w:noProof/>
                <w:color w:val="000000" w:themeColor="text1"/>
                <w:shd w:val="clear" w:color="auto" w:fill="F2F2F2" w:themeFill="background1" w:themeFillShade="F2"/>
              </w:rPr>
            </w:pPr>
            <w:r>
              <w:rPr>
                <w:rStyle w:val="Codeattribute"/>
              </w:rPr>
              <w:t>n=</w:t>
            </w:r>
            <w:r>
              <w:rPr>
                <w:rStyle w:val="Codevalue"/>
              </w:rPr>
              <w:t>"19"</w:t>
            </w:r>
            <w:r>
              <w:rPr>
                <w:rStyle w:val="Code"/>
              </w:rPr>
              <w:t xml:space="preserve"> </w:t>
            </w:r>
            <w:r>
              <w:rPr>
                <w:rStyle w:val="Codeattribute"/>
              </w:rPr>
              <w:t>break=</w:t>
            </w:r>
            <w:r>
              <w:rPr>
                <w:rStyle w:val="Codevalue"/>
              </w:rPr>
              <w:t>"no"</w:t>
            </w:r>
            <w:r>
              <w:rPr>
                <w:rStyle w:val="Code"/>
              </w:rPr>
              <w:t>/&gt;</w:t>
            </w:r>
            <w:r>
              <w:rPr>
                <w:rStyle w:val="Codetext"/>
              </w:rPr>
              <w:t>m upanayantaḥ sukhaṁ prativasatha...</w:t>
            </w:r>
          </w:p>
        </w:tc>
      </w:tr>
    </w:tbl>
    <w:p w14:paraId="07DA1B6D" w14:textId="77777777">
      <w:pPr>
        <w:pStyle w:val="Cmsor4"/>
      </w:pPr>
      <w:bookmarkStart w:id="212" w:name="_Ref182318132"/>
      <w:bookmarkStart w:id="213" w:name="_Ref182318133"/>
      <w:bookmarkStart w:id="214" w:name="_Ref182380522"/>
      <w:bookmarkStart w:id="215" w:name="_Ref182580157"/>
      <w:bookmarkStart w:id="216" w:name="_Ref182580257"/>
      <w:r>
        <w:t>Judging word interruption in lacunose text</w:t>
      </w:r>
      <w:bookmarkEnd w:id="212"/>
      <w:bookmarkEnd w:id="213"/>
      <w:bookmarkEnd w:id="214"/>
      <w:bookmarkEnd w:id="215"/>
      <w:bookmarkEnd w:id="216"/>
    </w:p>
    <w:p w14:paraId="555AD214" w14:textId="77777777">
      <w:pPr>
        <w:pStyle w:val="Lista"/>
      </w:pPr>
      <w:r>
        <w:t xml:space="preserve">when text before or after a milestone is lost, badly damaged, or unintelligible for some other reason, then it may not be possible to decide for certain whether the milestone interrupts a word </w:t>
      </w:r>
    </w:p>
    <w:p w14:paraId="183A2CEC" w14:textId="77777777">
      <w:pPr>
        <w:pStyle w:val="Lista2"/>
      </w:pPr>
      <w:r>
        <w:t xml:space="preserve">in such cases, use </w:t>
      </w:r>
      <w:r>
        <w:rPr>
          <w:rStyle w:val="Codeattribute"/>
        </w:rPr>
        <w:t>@break</w:t>
      </w:r>
      <w:r>
        <w:rPr>
          <w:rStyle w:val="Code"/>
        </w:rPr>
        <w:t>=</w:t>
      </w:r>
      <w:r>
        <w:rPr>
          <w:rStyle w:val="Codevalue"/>
        </w:rPr>
        <w:t>"no"</w:t>
      </w:r>
      <w:r>
        <w:t xml:space="preserve"> when you are reasonably certain that an interruption is present</w:t>
      </w:r>
    </w:p>
    <w:p w14:paraId="0ADA238B" w14:textId="77777777">
      <w:pPr>
        <w:pStyle w:val="Lista2"/>
      </w:pPr>
      <w:r>
        <w:t xml:space="preserve">if you are uncertain, omit </w:t>
      </w:r>
      <w:r>
        <w:rPr>
          <w:rStyle w:val="Codeattribute"/>
        </w:rPr>
        <w:t>@break</w:t>
      </w:r>
      <w:r>
        <w:rPr>
          <w:rStyle w:val="Code"/>
        </w:rPr>
        <w:t>=</w:t>
      </w:r>
      <w:r>
        <w:rPr>
          <w:rStyle w:val="Codevalue"/>
        </w:rPr>
        <w:t>"no"</w:t>
      </w:r>
      <w:r>
        <w:t xml:space="preserve"> (thus making no explicit assertion) even if there is a chance that a word may be interrupted</w:t>
      </w:r>
    </w:p>
    <w:p w14:paraId="6D923BBF" w14:textId="77777777">
      <w:pPr>
        <w:pStyle w:val="Lista2"/>
      </w:pPr>
      <w:r>
        <w:t>observing the following guidelines</w:t>
      </w:r>
    </w:p>
    <w:p w14:paraId="1E0B0DB1" w14:textId="77777777">
      <w:pPr>
        <w:pStyle w:val="Lista"/>
      </w:pPr>
      <w:r>
        <w:t xml:space="preserve">when there is a </w:t>
      </w:r>
      <w:r>
        <w:rPr>
          <w:b/>
          <w:bCs/>
        </w:rPr>
        <w:t>lacuna before the transition</w:t>
      </w:r>
      <w:r>
        <w:t>,</w:t>
      </w:r>
    </w:p>
    <w:p w14:paraId="29190A28" w14:textId="77777777">
      <w:pPr>
        <w:pStyle w:val="Lista2"/>
      </w:pPr>
      <w:r>
        <w:t xml:space="preserve">use </w:t>
      </w:r>
      <w:r>
        <w:rPr>
          <w:rStyle w:val="Codeattribute"/>
        </w:rPr>
        <w:t>@break</w:t>
      </w:r>
      <w:r>
        <w:rPr>
          <w:rStyle w:val="Code"/>
        </w:rPr>
        <w:t>=</w:t>
      </w:r>
      <w:r>
        <w:rPr>
          <w:rStyle w:val="Codevalue"/>
        </w:rPr>
        <w:t>"no"</w:t>
      </w:r>
      <w:r>
        <w:t xml:space="preserve"> if the extant text begins with an incomplete indivisible morpheme or with the final part of what you are certain was a prefixed or compound word</w:t>
      </w:r>
    </w:p>
    <w:p w14:paraId="40A7659E" w14:textId="77777777">
      <w:pPr>
        <w:pStyle w:val="Lista2"/>
      </w:pPr>
      <w:r>
        <w:t xml:space="preserve">but do not use </w:t>
      </w:r>
      <w:r>
        <w:rPr>
          <w:rStyle w:val="Codeattribute"/>
        </w:rPr>
        <w:t>@break</w:t>
      </w:r>
      <w:r>
        <w:rPr>
          <w:rStyle w:val="Code"/>
        </w:rPr>
        <w:t>=</w:t>
      </w:r>
      <w:r>
        <w:rPr>
          <w:rStyle w:val="Codevalue"/>
        </w:rPr>
        <w:t>"no"</w:t>
      </w:r>
      <w:r>
        <w:t xml:space="preserve"> if the extant text is intelligible </w:t>
      </w:r>
      <w:r>
        <w:rPr>
          <w:noProof/>
        </w:rPr>
        <w:t>(</w:t>
      </w:r>
      <w:r>
        <w:t>and plausible in context) as it is, even if there is some chance that the previous line contained a prefix or a compound member attached to the first extant word</w:t>
      </w:r>
    </w:p>
    <w:p w14:paraId="70F22401" w14:textId="77777777">
      <w:pPr>
        <w:pStyle w:val="Lista"/>
      </w:pPr>
      <w:r>
        <w:t xml:space="preserve">when there is a </w:t>
      </w:r>
      <w:r>
        <w:rPr>
          <w:b/>
          <w:bCs/>
        </w:rPr>
        <w:t>lacuna after the transition</w:t>
      </w:r>
      <w:r>
        <w:t>,</w:t>
      </w:r>
    </w:p>
    <w:p w14:paraId="145C30C1" w14:textId="77777777">
      <w:pPr>
        <w:pStyle w:val="Lista2"/>
      </w:pPr>
      <w:r>
        <w:t xml:space="preserve">use </w:t>
      </w:r>
      <w:r>
        <w:rPr>
          <w:rStyle w:val="Codeattribute"/>
        </w:rPr>
        <w:t>@break</w:t>
      </w:r>
      <w:r>
        <w:rPr>
          <w:rStyle w:val="Code"/>
        </w:rPr>
        <w:t>=</w:t>
      </w:r>
      <w:r>
        <w:rPr>
          <w:rStyle w:val="Codevalue"/>
        </w:rPr>
        <w:t>"no"</w:t>
      </w:r>
      <w:r>
        <w:t xml:space="preserve"> if the end of the extant text is clearly not the end of an independent word</w:t>
      </w:r>
    </w:p>
    <w:p w14:paraId="2FC70F4A" w14:textId="77777777">
      <w:pPr>
        <w:pStyle w:val="Lista2"/>
      </w:pPr>
      <w:r>
        <w:t xml:space="preserve">but do not use </w:t>
      </w:r>
      <w:r>
        <w:rPr>
          <w:rStyle w:val="Codeattribute"/>
        </w:rPr>
        <w:t>@break</w:t>
      </w:r>
      <w:r>
        <w:rPr>
          <w:rStyle w:val="Code"/>
        </w:rPr>
        <w:t>=</w:t>
      </w:r>
      <w:r>
        <w:rPr>
          <w:rStyle w:val="Codevalue"/>
        </w:rPr>
        <w:t>"no"</w:t>
      </w:r>
      <w:r>
        <w:t xml:space="preserve"> if the end of the extant text may be the end of an independent word, even if there is a chance that this word continued in the current line</w:t>
      </w:r>
    </w:p>
    <w:p w14:paraId="02A2660C" w14:textId="77777777">
      <w:pPr>
        <w:pStyle w:val="Lista"/>
      </w:pPr>
      <w:r>
        <w:t xml:space="preserve">when there is a </w:t>
      </w:r>
      <w:r>
        <w:rPr>
          <w:b/>
          <w:bCs/>
        </w:rPr>
        <w:t>lacuna both before and after</w:t>
      </w:r>
      <w:r>
        <w:t xml:space="preserve"> the spot where a structural milestone is (expected to be) located, then in addition to uncertainty as to whether a word is interrupted, it may not be possible to determine the exact number of characters lost on either side of the transition</w:t>
      </w:r>
    </w:p>
    <w:p w14:paraId="2B319DDF" w14:textId="77777777">
      <w:pPr>
        <w:pStyle w:val="Lista2"/>
      </w:pPr>
      <w:r>
        <w:t xml:space="preserve">if the lacuna is not restored, do not use </w:t>
      </w:r>
      <w:r>
        <w:rPr>
          <w:rStyle w:val="Codeattribute"/>
        </w:rPr>
        <w:t>@break</w:t>
      </w:r>
      <w:r>
        <w:rPr>
          <w:rStyle w:val="Code"/>
        </w:rPr>
        <w:t>=</w:t>
      </w:r>
      <w:r>
        <w:rPr>
          <w:rStyle w:val="Codevalue"/>
        </w:rPr>
        <w:t>"no"</w:t>
      </w:r>
      <w:r>
        <w:t xml:space="preserve"> (which would assert that a word has been split by the milestone) and simply encode gaps </w:t>
      </w:r>
      <w:r>
        <w:rPr>
          <w:noProof/>
        </w:rPr>
        <w:t>(</w:t>
      </w:r>
      <w:r>
        <w:t>§</w:t>
      </w:r>
      <w:r>
        <w:fldChar w:fldCharType="begin"/>
      </w:r>
      <w:r>
        <w:instrText xml:space="preserve"> REF _Ref228460110 \r \h </w:instrText>
      </w:r>
      <w:r>
        <w:fldChar w:fldCharType="separate"/>
      </w:r>
      <w:r>
        <w:t>6.5</w:t>
      </w:r>
      <w:r>
        <w:fldChar w:fldCharType="end"/>
      </w:r>
      <w:r>
        <w:t>) of unknown or uncertain length on both sides of the milestone tag</w:t>
      </w:r>
    </w:p>
    <w:p w14:paraId="298240BE" w14:textId="77777777">
      <w:pPr>
        <w:pStyle w:val="Lista2"/>
      </w:pPr>
      <w:r>
        <w:t xml:space="preserve">if you supply the lost text </w:t>
      </w:r>
      <w:r>
        <w:rPr>
          <w:noProof/>
        </w:rPr>
        <w:t>(</w:t>
      </w:r>
      <w:r>
        <w:t>as per §</w:t>
      </w:r>
      <w:r>
        <w:fldChar w:fldCharType="begin"/>
      </w:r>
      <w:r>
        <w:instrText xml:space="preserve"> REF _Ref228459751 \r \h </w:instrText>
      </w:r>
      <w:r>
        <w:fldChar w:fldCharType="separate"/>
      </w:r>
      <w:r>
        <w:t>6.4</w:t>
      </w:r>
      <w:r>
        <w:fldChar w:fldCharType="end"/>
      </w:r>
      <w:r>
        <w:t xml:space="preserve">), create the milestone tag at its most likely position vis-à-vis the text and use or omit </w:t>
      </w:r>
      <w:r>
        <w:rPr>
          <w:rStyle w:val="Codeattribute"/>
        </w:rPr>
        <w:t>@break</w:t>
      </w:r>
      <w:r>
        <w:rPr>
          <w:rStyle w:val="Code"/>
        </w:rPr>
        <w:t>=</w:t>
      </w:r>
      <w:r>
        <w:rPr>
          <w:rStyle w:val="Codevalue"/>
        </w:rPr>
        <w:t>"no"</w:t>
      </w:r>
      <w:r>
        <w:t xml:space="preserve"> as dictated by the restored text</w:t>
      </w:r>
    </w:p>
    <w:p w14:paraId="04FA8382" w14:textId="77777777">
      <w:pPr>
        <w:pStyle w:val="Lista3"/>
      </w:pPr>
      <w:r>
        <w:t>if you feel that the uncertainty of this positioning matters, mention it in your annotation</w:t>
      </w:r>
      <w:r>
        <w:rPr>
          <w:rStyle w:val="Lbjegyzet-hivatkozs"/>
        </w:rPr>
        <w:footnoteReference w:id="15"/>
      </w:r>
    </w:p>
    <w:p w14:paraId="1993B479" w14:textId="77777777">
      <w:pPr>
        <w:pStyle w:val="Cmsor3"/>
      </w:pPr>
      <w:bookmarkStart w:id="217" w:name="_Ref225253138"/>
      <w:bookmarkStart w:id="218" w:name="_Toc243900267"/>
      <w:bookmarkStart w:id="219" w:name="_Ref225429145"/>
      <w:r>
        <w:t>Good encoding practice for milestone elements</w:t>
      </w:r>
      <w:bookmarkEnd w:id="217"/>
      <w:bookmarkEnd w:id="218"/>
    </w:p>
    <w:p w14:paraId="527F39CE" w14:textId="77777777">
      <w:r>
        <w:t>The milestones representing extrinsic structure are on the same hierarchical level as the edited text. As a result, situations where milestones coincide with breaks in intrinsic structure demand extra attention, as discussed in §</w:t>
      </w:r>
      <w:r>
        <w:fldChar w:fldCharType="begin"/>
      </w:r>
      <w:r>
        <w:instrText xml:space="preserve"> REF _Ref225503257 \r \h </w:instrText>
      </w:r>
      <w:r>
        <w:fldChar w:fldCharType="separate"/>
      </w:r>
      <w:r>
        <w:t>4.3.3.1</w:t>
      </w:r>
      <w:r>
        <w:fldChar w:fldCharType="end"/>
      </w:r>
      <w:r>
        <w:t xml:space="preserve">. When phrase-level elements wrap a chunk of text that contains a milestone, it is theoretically correct to include the milestone within the phrase-level element. However, in actual practice this is not permitted in EpiDoc for </w:t>
      </w:r>
      <w:r>
        <w:rPr>
          <w:rStyle w:val="Code"/>
        </w:rPr>
        <w:t>&lt;unclear&gt;</w:t>
      </w:r>
      <w:r>
        <w:t xml:space="preserve"> elements (§</w:t>
      </w:r>
      <w:r>
        <w:fldChar w:fldCharType="begin"/>
      </w:r>
      <w:r>
        <w:instrText xml:space="preserve"> REF _Ref232089485 \r \h </w:instrText>
      </w:r>
      <w:r>
        <w:fldChar w:fldCharType="separate"/>
      </w:r>
      <w:r>
        <w:t>6.3.1</w:t>
      </w:r>
      <w:r>
        <w:fldChar w:fldCharType="end"/>
      </w:r>
      <w:r>
        <w:t>) and can lead to undesirable complications in other cases, so we generally prefer to split phrase-level elements into two parts, before and after the milestone. For further details on the hierarchy of encoding and its practical implications, see §</w:t>
      </w:r>
      <w:r>
        <w:fldChar w:fldCharType="begin"/>
      </w:r>
      <w:r>
        <w:instrText xml:space="preserve"> REF _Ref43978660 \r \h </w:instrText>
      </w:r>
      <w:r>
        <w:fldChar w:fldCharType="separate"/>
      </w:r>
      <w:r>
        <w:t>16.2</w:t>
      </w:r>
      <w:r>
        <w:fldChar w:fldCharType="end"/>
      </w:r>
      <w:r>
        <w:t>.</w:t>
      </w:r>
    </w:p>
    <w:p w14:paraId="75D98859" w14:textId="77777777">
      <w:pPr>
        <w:pStyle w:val="Normlbehzs"/>
      </w:pPr>
      <w:r>
        <w:t xml:space="preserve">Milestone elements always mark the </w:t>
      </w:r>
      <w:r>
        <w:rPr>
          <w:i/>
          <w:iCs/>
        </w:rPr>
        <w:t>beginning</w:t>
      </w:r>
      <w:r>
        <w:t xml:space="preserve"> of a unit of extrinsic structure, and must accordingly be created for the start of the first extrinsic unit of any kind in a document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 xml:space="preserve">), not only for transitions to subsequent units. In DHARMA practice, line beginnings are mandatorily encoded, even for editions (or textpart divisions) consisting of only a single line. Other structural milestones are not mandatory: an inscription comprised of a single field is not perceived to be a page. </w:t>
      </w:r>
    </w:p>
    <w:p w14:paraId="3550A97B" w14:textId="77777777">
      <w:pPr>
        <w:pStyle w:val="Normlbehzs"/>
      </w:pPr>
      <w:r>
        <w:t>In a document with a hierarchical extrinsic structure, a transition point on a higher tier is always</w:t>
      </w:r>
      <w:r>
        <w:rPr>
          <w:rStyle w:val="Lbjegyzet-hivatkozs"/>
        </w:rPr>
        <w:footnoteReference w:id="16"/>
      </w:r>
      <w:r>
        <w:t xml:space="preserve"> accompanied by a transition on the lower tier(s); for instance, whenever a page begins, a new line begins </w:t>
      </w:r>
      <w:r>
        <w:lastRenderedPageBreak/>
        <w:t xml:space="preserve">too. At every such point, every applicable milestone must be explicitly encoded, in an order of decreasing hierarchical level, as in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w:t>
      </w:r>
    </w:p>
    <w:p w14:paraId="7282A3EE" w14:textId="77777777">
      <w:pPr>
        <w:pStyle w:val="Cmsor4"/>
      </w:pPr>
      <w:bookmarkStart w:id="220" w:name="_Ref225502709"/>
      <w:bookmarkStart w:id="221" w:name="_Ref225502994"/>
      <w:bookmarkStart w:id="222" w:name="_Ref225503257"/>
      <w:r>
        <w:t>Milestones and block-level elements</w:t>
      </w:r>
      <w:bookmarkEnd w:id="220"/>
      <w:bookmarkEnd w:id="221"/>
      <w:bookmarkEnd w:id="222"/>
    </w:p>
    <w:p w14:paraId="18D7CFE8" w14:textId="77777777">
      <w:bookmarkStart w:id="223" w:name="_Ref182316248"/>
      <w:r>
        <w:t>Milestone elements must be inside rather than outside block-level elements representing intrinsic structure (§</w:t>
      </w:r>
      <w:r>
        <w:fldChar w:fldCharType="begin"/>
      </w:r>
      <w:r>
        <w:instrText xml:space="preserve"> REF _Ref225500627 \r \h </w:instrText>
      </w:r>
      <w:r>
        <w:fldChar w:fldCharType="separate"/>
      </w:r>
      <w:r>
        <w:t>3.2</w:t>
      </w:r>
      <w:r>
        <w:fldChar w:fldCharType="end"/>
      </w:r>
      <w:r>
        <w:t xml:space="preserve">). Achieving this sometimes requires counterintuitive encoding logic. In the hierarchy of intrinsic structure represented solely with block-level elements, lower-level units are always contained within higher-level units. Likewise, in the hierarchy of extrinsic structure represented with milestones, higher-level milestones precede lower-level ones; for example, page beginnings precede line beginnings. However, when extrinsic and intrinsic boundaries coincide, such as when a stanza begins at the beginning of a physical line, the intuitive assumption may be to encode the milestone representing the extrinsic boundary (e.g. a line beginning) before the start-tag representing the intrinsic boundary (e.g. for a stanza), because by common sense, the stanza begins “inside” the line. Often, however, the opposite is true: many extrinsic boundaries fall inside intrinsic units. In order to make our encoding consistent, DHARMA editions therefore </w:t>
      </w:r>
      <w:r>
        <w:rPr>
          <w:i/>
          <w:iCs/>
        </w:rPr>
        <w:t>always</w:t>
      </w:r>
      <w:r>
        <w:t xml:space="preserve"> place milestone elements inside block-level containers, unless it is impossible to do so.</w:t>
      </w:r>
      <w:r>
        <w:rPr>
          <w:rStyle w:val="Lbjegyzet-hivatkozs"/>
        </w:rPr>
        <w:footnoteReference w:id="17"/>
      </w:r>
    </w:p>
    <w:p w14:paraId="519AF501" w14:textId="739D96C0">
      <w:pPr>
        <w:pStyle w:val="Normlbehzs"/>
      </w:pPr>
      <w:r>
        <w:t xml:space="preserve">Thus, at the start of an edition or a textpart division, any applicable milestone elements must be encoded after all applicable block-level elements have been opened, as in </w:t>
      </w:r>
      <w:r>
        <w:fldChar w:fldCharType="begin"/>
      </w:r>
      <w:r>
        <w:instrText xml:space="preserve"> REF _Ref182313052 \h </w:instrText>
      </w:r>
      <w:r>
        <w:fldChar w:fldCharType="separate"/>
      </w:r>
      <w:r>
        <w:t xml:space="preserve">Exhibit </w:t>
      </w:r>
      <w:r>
        <w:rPr>
          <w:noProof/>
        </w:rPr>
        <w:t>4.3</w:t>
      </w:r>
      <w:r>
        <w:t>.</w:t>
      </w:r>
      <w:r>
        <w:rPr>
          <w:noProof/>
        </w:rPr>
        <w:t>B</w:t>
      </w:r>
      <w:r>
        <w:fldChar w:fldCharType="end"/>
      </w:r>
      <w:r>
        <w:t xml:space="preserve">. When boundaries of extrinsic and intrinsic structure coincide, any and all applicable milestones shall be created after the start tag of any block-level elements beginning there (not before the end tag of the block-level element(s) ending there), as in </w:t>
      </w:r>
      <w:r>
        <w:fldChar w:fldCharType="begin"/>
      </w:r>
      <w:r>
        <w:instrText xml:space="preserve"> REF _Ref181694220 \h </w:instrText>
      </w:r>
      <w:r>
        <w:fldChar w:fldCharType="separate"/>
      </w:r>
      <w:r>
        <w:t xml:space="preserve">Exhibit </w:t>
      </w:r>
      <w:r>
        <w:rPr>
          <w:noProof/>
        </w:rPr>
        <w:t>4.3</w:t>
      </w:r>
      <w:r>
        <w:t>.</w:t>
      </w:r>
      <w:r>
        <w:rPr>
          <w:noProof/>
        </w:rPr>
        <w:t>C</w:t>
      </w:r>
      <w:r>
        <w:fldChar w:fldCharType="end"/>
      </w:r>
      <w:r>
        <w:t>.</w:t>
      </w:r>
    </w:p>
    <w:tbl>
      <w:tblPr>
        <w:tblStyle w:val="CodeSampleTable"/>
        <w:tblW w:w="5000" w:type="pct"/>
        <w:tblLook w:val="04A0" w:firstRow="1" w:lastRow="0" w:firstColumn="1" w:lastColumn="0" w:noHBand="0" w:noVBand="1"/>
      </w:tblPr>
      <w:tblGrid>
        <w:gridCol w:w="9628"/>
      </w:tblGrid>
      <w:tr w14:paraId="22502E71"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0B607A5" w14:textId="77777777">
            <w:pPr>
              <w:pStyle w:val="Kpalrs"/>
            </w:pPr>
            <w:bookmarkStart w:id="224" w:name="_Ref182313052"/>
            <w:r>
              <w:t xml:space="preserve">Exhibit </w:t>
            </w:r>
            <w:fldSimple w:instr=" STYLEREF 2 \s ">
              <w:r>
                <w:rPr>
                  <w:noProof/>
                </w:rPr>
                <w:t>4.3</w:t>
              </w:r>
            </w:fldSimple>
            <w:r>
              <w:t>.</w:t>
            </w:r>
            <w:fldSimple w:instr=" SEQ Exhibit \* ALPHABETIC \s 2 ">
              <w:r>
                <w:rPr>
                  <w:noProof/>
                </w:rPr>
                <w:t>B</w:t>
              </w:r>
            </w:fldSimple>
            <w:bookmarkEnd w:id="224"/>
            <w:r>
              <w:t>: several kinds of milestones at the beginning of an edition</w:t>
            </w:r>
          </w:p>
        </w:tc>
      </w:tr>
      <w:tr w14:paraId="46757BD7" w14:textId="77777777">
        <w:tc>
          <w:tcPr>
            <w:tcW w:w="5000" w:type="pct"/>
          </w:tcPr>
          <w:p w14:paraId="7912754C" w14:textId="77777777">
            <w:pPr>
              <w:pStyle w:val="CodeParagraph"/>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542AD30E" w14:textId="77777777">
            <w:pPr>
              <w:pStyle w:val="CodeParagraph"/>
              <w:rPr>
                <w:rStyle w:val="Code"/>
              </w:rPr>
            </w:pPr>
            <w:r>
              <w:rPr>
                <w:rStyle w:val="Code"/>
              </w:rPr>
              <w:t xml:space="preserve">  &lt;lg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"anuṣṭubh"</w:t>
            </w:r>
            <w:r>
              <w:rPr>
                <w:rStyle w:val="Code"/>
              </w:rPr>
              <w:t>&gt;</w:t>
            </w:r>
          </w:p>
          <w:p w14:paraId="09EF900A" w14:textId="77777777">
            <w:pPr>
              <w:pStyle w:val="CodeParagraph"/>
            </w:pPr>
            <w:r>
              <w:rPr>
                <w:rStyle w:val="Code"/>
              </w:rPr>
              <w:t xml:space="preserve">    &lt;l </w:t>
            </w:r>
            <w:r>
              <w:rPr>
                <w:rStyle w:val="Codeattribute"/>
              </w:rPr>
              <w:t>n</w:t>
            </w:r>
            <w:r>
              <w:rPr>
                <w:rStyle w:val="Code"/>
              </w:rPr>
              <w:t>=</w:t>
            </w:r>
            <w:r>
              <w:rPr>
                <w:rStyle w:val="Codevalue"/>
              </w:rPr>
              <w:t>"a"</w:t>
            </w:r>
            <w:r>
              <w:rPr>
                <w:rStyle w:val="Code"/>
              </w:rPr>
              <w:t xml:space="preserve">&gt;&lt;milestone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"zone"</w:t>
            </w:r>
            <w:r>
              <w:rPr>
                <w:rStyle w:val="Code"/>
              </w:rPr>
              <w:t xml:space="preserve">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Āsīt...</w:t>
            </w:r>
          </w:p>
        </w:tc>
      </w:tr>
    </w:tbl>
    <w:p w14:paraId="241CC764" w14:textId="77777777"/>
    <w:tbl>
      <w:tblPr>
        <w:tblStyle w:val="CodeSampleTable"/>
        <w:tblW w:w="5000" w:type="pct"/>
        <w:tblLook w:val="04A0" w:firstRow="1" w:lastRow="0" w:firstColumn="1" w:lastColumn="0" w:noHBand="0" w:noVBand="1"/>
      </w:tblPr>
      <w:tblGrid>
        <w:gridCol w:w="9628"/>
      </w:tblGrid>
      <w:tr w14:paraId="2510477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F1A0A76" w14:textId="77777777">
            <w:pPr>
              <w:pStyle w:val="Kpalrs"/>
            </w:pPr>
            <w:bookmarkStart w:id="225" w:name="_Ref181694220"/>
            <w:r>
              <w:t xml:space="preserve">Exhibit </w:t>
            </w:r>
            <w:fldSimple w:instr=" STYLEREF 2 \s ">
              <w:r>
                <w:rPr>
                  <w:noProof/>
                </w:rPr>
                <w:t>4.3</w:t>
              </w:r>
            </w:fldSimple>
            <w:r>
              <w:t>.</w:t>
            </w:r>
            <w:fldSimple w:instr=" SEQ Exhibit \* ALPHABETIC \s 2 ">
              <w:r>
                <w:rPr>
                  <w:noProof/>
                </w:rPr>
                <w:t>C</w:t>
              </w:r>
            </w:fldSimple>
            <w:bookmarkEnd w:id="225"/>
            <w:r>
              <w:t>: multiple milestones coinciding with nested block-level container boundaries</w:t>
            </w:r>
          </w:p>
        </w:tc>
      </w:tr>
      <w:tr w14:paraId="7B73C146" w14:textId="77777777">
        <w:tc>
          <w:tcPr>
            <w:tcW w:w="5000" w:type="pct"/>
          </w:tcPr>
          <w:p w14:paraId="7C9301D6" w14:textId="77777777">
            <w:pPr>
              <w:pStyle w:val="CodeParagraph"/>
              <w:rPr>
                <w:rStyle w:val="Code"/>
              </w:rPr>
            </w:pPr>
            <w:r>
              <w:rPr>
                <w:rStyle w:val="Code"/>
              </w:rPr>
              <w:t xml:space="preserve">&lt;lg </w:t>
            </w:r>
            <w:r>
              <w:rPr>
                <w:rStyle w:val="Codeattribute"/>
              </w:rPr>
              <w:t>n</w:t>
            </w:r>
            <w:r>
              <w:rPr>
                <w:rStyle w:val="Code"/>
              </w:rPr>
              <w:t>=</w:t>
            </w:r>
            <w:r>
              <w:rPr>
                <w:rStyle w:val="Codevalue"/>
              </w:rPr>
              <w:t>"5"</w:t>
            </w:r>
            <w:r>
              <w:rPr>
                <w:rStyle w:val="Code"/>
              </w:rPr>
              <w:t xml:space="preserve"> </w:t>
            </w:r>
            <w:r>
              <w:rPr>
                <w:rStyle w:val="Codeattribute"/>
              </w:rPr>
              <w:t>met</w:t>
            </w:r>
            <w:r>
              <w:rPr>
                <w:rStyle w:val="Code"/>
              </w:rPr>
              <w:t>=</w:t>
            </w:r>
            <w:r>
              <w:rPr>
                <w:rStyle w:val="Codevalue"/>
              </w:rPr>
              <w:t>"upajāti"</w:t>
            </w:r>
            <w:r>
              <w:rPr>
                <w:rStyle w:val="Code"/>
              </w:rPr>
              <w:t>&gt;</w:t>
            </w:r>
          </w:p>
          <w:p w14:paraId="2EBA6BE0" w14:textId="77777777">
            <w:pPr>
              <w:pStyle w:val="CodeParagraph"/>
              <w:rPr>
                <w:rStyle w:val="Codetext"/>
              </w:rPr>
            </w:pPr>
            <w:r>
              <w:rPr>
                <w:rStyle w:val="Codetext"/>
              </w:rPr>
              <w:t xml:space="preserve">  ...</w:t>
            </w:r>
          </w:p>
          <w:p w14:paraId="40C9310A" w14:textId="77777777">
            <w:pPr>
              <w:pStyle w:val="CodeParagraph"/>
              <w:rPr>
                <w:rStyle w:val="Code"/>
              </w:rPr>
            </w:pPr>
            <w:r>
              <w:rPr>
                <w:rStyle w:val="Codetext"/>
              </w:rPr>
              <w:t xml:space="preserve">  </w:t>
            </w:r>
            <w:r>
              <w:rPr>
                <w:rStyle w:val="Code"/>
              </w:rPr>
              <w:t xml:space="preserve">&lt;l </w:t>
            </w:r>
            <w:r>
              <w:rPr>
                <w:rStyle w:val="Codeattribute"/>
              </w:rPr>
              <w:t>n</w:t>
            </w:r>
            <w:r>
              <w:rPr>
                <w:rStyle w:val="Code"/>
              </w:rPr>
              <w:t>=</w:t>
            </w:r>
            <w:r>
              <w:rPr>
                <w:rStyle w:val="Codevalue"/>
              </w:rPr>
              <w:t>"d"</w:t>
            </w:r>
            <w:r>
              <w:rPr>
                <w:rStyle w:val="Code"/>
              </w:rPr>
              <w:t xml:space="preserve">&gt; </w:t>
            </w:r>
            <w:r>
              <w:rPr>
                <w:rStyle w:val="Codetext"/>
              </w:rPr>
              <w:t>... śāntiM</w:t>
            </w:r>
            <w:r>
              <w:rPr>
                <w:rStyle w:val="Code"/>
              </w:rPr>
              <w:t>&lt;/l&gt;</w:t>
            </w:r>
          </w:p>
          <w:p w14:paraId="016B1D1C" w14:textId="77777777">
            <w:pPr>
              <w:pStyle w:val="CodeParagraph"/>
              <w:rPr>
                <w:rStyle w:val="Code"/>
              </w:rPr>
            </w:pPr>
            <w:r>
              <w:rPr>
                <w:rStyle w:val="Code"/>
              </w:rPr>
              <w:t>&lt;/lg&gt;</w:t>
            </w:r>
          </w:p>
          <w:p w14:paraId="054871CC" w14:textId="77777777">
            <w:pPr>
              <w:pStyle w:val="CodeParagraph"/>
              <w:rPr>
                <w:rStyle w:val="Code"/>
              </w:rPr>
            </w:pPr>
            <w:r>
              <w:rPr>
                <w:rStyle w:val="Code"/>
              </w:rPr>
              <w:t xml:space="preserve">&lt;lg </w:t>
            </w:r>
            <w:r>
              <w:rPr>
                <w:rStyle w:val="Codeattribute"/>
              </w:rPr>
              <w:t>n</w:t>
            </w:r>
            <w:r>
              <w:rPr>
                <w:rStyle w:val="Code"/>
              </w:rPr>
              <w:t>=</w:t>
            </w:r>
            <w:r>
              <w:rPr>
                <w:rStyle w:val="Codevalue"/>
              </w:rPr>
              <w:t>"6"</w:t>
            </w:r>
            <w:r>
              <w:rPr>
                <w:rStyle w:val="Code"/>
              </w:rPr>
              <w:t xml:space="preserve"> </w:t>
            </w:r>
            <w:r>
              <w:rPr>
                <w:rStyle w:val="Codeattribute"/>
              </w:rPr>
              <w:t>met</w:t>
            </w:r>
            <w:r>
              <w:rPr>
                <w:rStyle w:val="Code"/>
              </w:rPr>
              <w:t>=</w:t>
            </w:r>
            <w:r>
              <w:rPr>
                <w:rStyle w:val="Codevalue"/>
              </w:rPr>
              <w:t>"upajāti"</w:t>
            </w:r>
            <w:r>
              <w:rPr>
                <w:rStyle w:val="Code"/>
              </w:rPr>
              <w:t>&gt;</w:t>
            </w:r>
          </w:p>
          <w:p w14:paraId="4742628C" w14:textId="77777777">
            <w:pPr>
              <w:pStyle w:val="CodeParagraph"/>
              <w:keepNext/>
              <w:rPr>
                <w:rStyle w:val="Code"/>
              </w:rPr>
            </w:pPr>
            <w:r>
              <w:rPr>
                <w:rStyle w:val="Code"/>
              </w:rPr>
              <w:t xml:space="preserve">  &lt;l </w:t>
            </w:r>
            <w:r>
              <w:rPr>
                <w:rStyle w:val="Codeattribute"/>
              </w:rPr>
              <w:t>n</w:t>
            </w:r>
            <w:r>
              <w:rPr>
                <w:rStyle w:val="Code"/>
              </w:rPr>
              <w:t>=</w:t>
            </w:r>
            <w:r>
              <w:rPr>
                <w:rStyle w:val="Codevalue"/>
              </w:rPr>
              <w:t>"a"</w:t>
            </w:r>
            <w:r>
              <w:rPr>
                <w:rStyle w:val="Code"/>
              </w:rPr>
              <w:t xml:space="preserve">&gt;&lt;pb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"9"</w:t>
            </w:r>
            <w:r>
              <w:rPr>
                <w:rStyle w:val="Code"/>
              </w:rPr>
              <w:t>/&gt;</w:t>
            </w:r>
            <w:r>
              <w:rPr>
                <w:rStyle w:val="Codetext"/>
              </w:rPr>
              <w:t>guptānvaya ...</w:t>
            </w:r>
          </w:p>
          <w:p w14:paraId="58CB661D" w14:textId="77777777">
            <w:pPr>
              <w:pStyle w:val="CodeParagraph"/>
              <w:keepNext/>
              <w:rPr>
                <w:rStyle w:val="Code"/>
              </w:rPr>
            </w:pPr>
            <w:r>
              <w:rPr>
                <w:rStyle w:val="Code"/>
              </w:rPr>
              <w:t xml:space="preserve">  ...</w:t>
            </w:r>
          </w:p>
          <w:p w14:paraId="0E194B8B" w14:textId="77777777">
            <w:pPr>
              <w:pStyle w:val="CodeParagraph"/>
              <w:keepNext/>
            </w:pPr>
            <w:r>
              <w:rPr>
                <w:rStyle w:val="Code"/>
              </w:rPr>
              <w:t>&lt;/lg&gt;</w:t>
            </w:r>
          </w:p>
        </w:tc>
      </w:tr>
      <w:tr w14:paraId="637B96CB" w14:textId="77777777">
        <w:tc>
          <w:tcPr>
            <w:tcW w:w="5000" w:type="pct"/>
          </w:tcPr>
          <w:p w14:paraId="22CA99F6" w14:textId="77777777">
            <w:pPr>
              <w:pStyle w:val="TableNote"/>
            </w:pPr>
            <w:r>
              <w:t>this stanza begins at the beginning of a page in a set of copper plates</w:t>
            </w:r>
          </w:p>
          <w:p w14:paraId="51812BD6" w14:textId="77777777">
            <w:pPr>
              <w:pStyle w:val="TableNote"/>
            </w:pPr>
            <w:r>
              <w:t xml:space="preserve">the milestones for the page beginning as well as the line beginning are the first items within the first </w:t>
            </w:r>
            <w:r>
              <w:rPr>
                <w:rStyle w:val="Code"/>
              </w:rPr>
              <w:t>&lt;l&gt;</w:t>
            </w:r>
            <w:r>
              <w:t xml:space="preserve"> element of the new stanza</w:t>
            </w:r>
          </w:p>
        </w:tc>
      </w:tr>
    </w:tbl>
    <w:bookmarkEnd w:id="223"/>
    <w:p w14:paraId="1754D2B9" w14:textId="77777777">
      <w:pPr>
        <w:pStyle w:val="Cmsor4"/>
      </w:pPr>
      <w:r>
        <w:t>Milestones and white space</w:t>
      </w:r>
    </w:p>
    <w:p w14:paraId="2C24C90B" w14:textId="77777777">
      <w:r>
        <w:rPr>
          <w:lang w:eastAsia="en-US" w:bidi="ar-SA"/>
        </w:rPr>
        <w:t>General instructions regarding spacing around XML elements are given in §</w:t>
      </w:r>
      <w:r>
        <w:rPr>
          <w:lang w:eastAsia="en-US" w:bidi="ar-SA"/>
        </w:rPr>
        <w:fldChar w:fldCharType="begin"/>
      </w:r>
      <w:r>
        <w:rPr>
          <w:lang w:eastAsia="en-US" w:bidi="ar-SA"/>
        </w:rPr>
        <w:instrText xml:space="preserve"> REF _Ref43989206 \r \h </w:instrText>
      </w:r>
      <w:r>
        <w:rPr>
          <w:lang w:eastAsia="en-US" w:bidi="ar-SA"/>
        </w:rPr>
      </w:r>
      <w:r>
        <w:rPr>
          <w:lang w:eastAsia="en-US" w:bidi="ar-SA"/>
        </w:rPr>
        <w:fldChar w:fldCharType="separate"/>
      </w:r>
      <w:r>
        <w:rPr>
          <w:lang w:eastAsia="en-US" w:bidi="ar-SA"/>
        </w:rPr>
        <w:t>16.1</w:t>
      </w:r>
      <w:r>
        <w:rPr>
          <w:lang w:eastAsia="en-US" w:bidi="ar-SA"/>
        </w:rPr>
        <w:fldChar w:fldCharType="end"/>
      </w:r>
      <w:r>
        <w:rPr>
          <w:lang w:eastAsia="en-US" w:bidi="ar-SA"/>
        </w:rPr>
        <w:t xml:space="preserve">. There is no technical need to separate milestones from adjacent text or elements with spaces, so spaces must only be used around milestone elements where the text (disregarding the milestone) would contain an editorial space, i.e. at a word break. Adding more than the necessary amount of space, as well as the use of new lines in the code, is not a technical problem but it can lead to undesirable consequences in processing. We therefore prefer to avoid using spaces on both sides of a milestone. If a partition encoded with a milestone coincides with an editorial space, the space shall be placed before the milestone. However, it is completely acceptable to insert </w:t>
      </w:r>
      <w:r>
        <w:t xml:space="preserve">new lines (carriage returns) within milestone tags, and doing so consistently for certain kinds of milestones will make your XML document easier to scan while working, as in </w:t>
      </w:r>
      <w:r>
        <w:fldChar w:fldCharType="begin"/>
      </w:r>
      <w:r>
        <w:instrText xml:space="preserve"> REF _Ref182314695 \h </w:instrText>
      </w:r>
      <w:r>
        <w:fldChar w:fldCharType="separate"/>
      </w:r>
      <w:r>
        <w:t xml:space="preserve">Exhibit </w:t>
      </w:r>
      <w:r>
        <w:rPr>
          <w:noProof/>
        </w:rPr>
        <w:t>4.3</w:t>
      </w:r>
      <w:r>
        <w:t>.</w:t>
      </w:r>
      <w:r>
        <w:rPr>
          <w:noProof/>
        </w:rPr>
        <w:t>D</w:t>
      </w:r>
      <w:r>
        <w:fldChar w:fldCharType="end"/>
      </w:r>
      <w:r>
        <w:t>.</w:t>
      </w:r>
    </w:p>
    <w:tbl>
      <w:tblPr>
        <w:tblStyle w:val="CodeSampleTable"/>
        <w:tblW w:w="5000" w:type="pct"/>
        <w:tblLook w:val="04A0" w:firstRow="1" w:lastRow="0" w:firstColumn="1" w:lastColumn="0" w:noHBand="0" w:noVBand="1"/>
      </w:tblPr>
      <w:tblGrid>
        <w:gridCol w:w="9628"/>
      </w:tblGrid>
      <w:tr w14:paraId="5A7B867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A416990" w14:textId="77777777">
            <w:pPr>
              <w:pStyle w:val="Kpalrs"/>
            </w:pPr>
            <w:bookmarkStart w:id="226" w:name="_Ref182314695"/>
            <w:bookmarkStart w:id="227" w:name="_Ref182316275"/>
            <w:bookmarkStart w:id="228" w:name="_Ref182312225"/>
            <w:r>
              <w:lastRenderedPageBreak/>
              <w:t xml:space="preserve">Exhibit </w:t>
            </w:r>
            <w:fldSimple w:instr=" STYLEREF 2 \s ">
              <w:r>
                <w:rPr>
                  <w:noProof/>
                </w:rPr>
                <w:t>4.3</w:t>
              </w:r>
            </w:fldSimple>
            <w:r>
              <w:t>.</w:t>
            </w:r>
            <w:fldSimple w:instr=" SEQ Exhibit \* ALPHABETIC \s 2 ">
              <w:r>
                <w:rPr>
                  <w:noProof/>
                </w:rPr>
                <w:t>D</w:t>
              </w:r>
            </w:fldSimple>
            <w:bookmarkEnd w:id="226"/>
            <w:r>
              <w:t>: carriage returns used within milestone tags</w:t>
            </w:r>
            <w:bookmarkEnd w:id="227"/>
          </w:p>
        </w:tc>
      </w:tr>
      <w:tr w14:paraId="779DF52D" w14:textId="77777777">
        <w:tc>
          <w:tcPr>
            <w:tcW w:w="5000" w:type="pct"/>
          </w:tcPr>
          <w:p w14:paraId="4FE346B2" w14:textId="77777777">
            <w:pPr>
              <w:pStyle w:val="CodeParagraph"/>
              <w:rPr>
                <w:rStyle w:val="Code"/>
              </w:rPr>
            </w:pPr>
            <w:r>
              <w:rPr>
                <w:rStyle w:val="Codetext"/>
              </w:rPr>
              <w:t xml:space="preserve">...manv-ādi-praṇīta-dharmmaśāstra-pracarita-vr̥ddhiḥ </w:t>
            </w:r>
            <w:r>
              <w:rPr>
                <w:rStyle w:val="Code"/>
              </w:rPr>
              <w:t xml:space="preserve">&lt;pb </w:t>
            </w:r>
          </w:p>
          <w:p w14:paraId="5D1BF9F9" w14:textId="77777777">
            <w:pPr>
              <w:pStyle w:val="CodeParagraph"/>
              <w:rPr>
                <w:rStyle w:val="Code"/>
              </w:rPr>
            </w:pPr>
            <w:r>
              <w:rPr>
                <w:rStyle w:val="Codeattribute"/>
              </w:rPr>
              <w:t>n=</w:t>
            </w:r>
            <w:r>
              <w:rPr>
                <w:rStyle w:val="Codevalue"/>
              </w:rPr>
              <w:t>"2r"</w:t>
            </w:r>
            <w:r>
              <w:rPr>
                <w:rStyle w:val="Code"/>
              </w:rPr>
              <w:t xml:space="preserve">/&gt;&lt;lb </w:t>
            </w:r>
          </w:p>
          <w:p w14:paraId="1551A119" w14:textId="77777777">
            <w:pPr>
              <w:pStyle w:val="CodeParagraph"/>
              <w:rPr>
                <w:rFonts w:ascii="Consolas" w:hAnsi="Consolas" w:cs="Consolas"/>
                <w:noProof/>
                <w:color w:val="000000" w:themeColor="text1"/>
                <w:shd w:val="clear" w:color="auto" w:fill="F2F2F2" w:themeFill="background1" w:themeFillShade="F2"/>
              </w:rPr>
            </w:pPr>
            <w:r>
              <w:rPr>
                <w:rStyle w:val="Codeattribute"/>
              </w:rPr>
              <w:t>n=</w:t>
            </w:r>
            <w:r>
              <w:rPr>
                <w:rStyle w:val="Codevalue"/>
              </w:rPr>
              <w:t>"7"</w:t>
            </w:r>
            <w:r>
              <w:rPr>
                <w:rStyle w:val="Code"/>
              </w:rPr>
              <w:t>/&gt;</w:t>
            </w:r>
            <w:r>
              <w:rPr>
                <w:rStyle w:val="Codetext"/>
              </w:rPr>
              <w:t>yudhiṣṭhira Iva satya-sandhaḥ br̥haspatir iva naya-jñaḥ mātā-pitr̥</w:t>
            </w:r>
            <w:r>
              <w:rPr>
                <w:rStyle w:val="Code"/>
              </w:rPr>
              <w:t>&lt;lb</w:t>
            </w:r>
            <w:r>
              <w:rPr>
                <w:rStyle w:val="Code"/>
              </w:rPr>
              <w:br/>
            </w:r>
            <w:r>
              <w:rPr>
                <w:rStyle w:val="Codeattribute"/>
              </w:rPr>
              <w:t>n=</w:t>
            </w:r>
            <w:r>
              <w:rPr>
                <w:rStyle w:val="Codevalue"/>
              </w:rPr>
              <w:t>"8"</w:t>
            </w:r>
            <w:r>
              <w:rPr>
                <w:rStyle w:val="Code"/>
              </w:rPr>
              <w:t xml:space="preserve"> </w:t>
            </w:r>
            <w:r>
              <w:rPr>
                <w:rStyle w:val="Codeattribute"/>
              </w:rPr>
              <w:t>break=</w:t>
            </w:r>
            <w:r>
              <w:rPr>
                <w:rStyle w:val="Codevalue"/>
              </w:rPr>
              <w:t>"no"</w:t>
            </w:r>
            <w:r>
              <w:rPr>
                <w:rStyle w:val="Code"/>
              </w:rPr>
              <w:t>/&gt;</w:t>
            </w:r>
            <w:r>
              <w:rPr>
                <w:rStyle w:val="Codetext"/>
              </w:rPr>
              <w:t>-pādānudhyātaḥ śrī-viṣṇuvarddhana-mahārājaḥ...</w:t>
            </w:r>
          </w:p>
        </w:tc>
      </w:tr>
    </w:tbl>
    <w:p w14:paraId="30043D07" w14:textId="77777777">
      <w:pPr>
        <w:pStyle w:val="Cmsor2"/>
      </w:pPr>
      <w:bookmarkStart w:id="229" w:name="_Ref233982406"/>
      <w:bookmarkStart w:id="230" w:name="_Toc243900268"/>
      <w:bookmarkEnd w:id="228"/>
      <w:r>
        <w:t>Pagelike partitions</w:t>
      </w:r>
      <w:bookmarkEnd w:id="201"/>
      <w:bookmarkEnd w:id="208"/>
      <w:bookmarkEnd w:id="219"/>
      <w:bookmarkEnd w:id="229"/>
      <w:bookmarkEnd w:id="230"/>
    </w:p>
    <w:p w14:paraId="2DA6007A" w14:textId="77777777">
      <w:bookmarkStart w:id="231" w:name="_h6ikg2hg8g9u" w:colFirst="0" w:colLast="0"/>
      <w:bookmarkEnd w:id="231"/>
      <w:r>
        <w:t>Recall from §</w:t>
      </w:r>
      <w:r>
        <w:fldChar w:fldCharType="begin"/>
      </w:r>
      <w:r>
        <w:instrText xml:space="preserve"> REF _Ref182923075 \r \h </w:instrText>
      </w:r>
      <w:r>
        <w:fldChar w:fldCharType="separate"/>
      </w:r>
      <w:r>
        <w:t>4.1</w:t>
      </w:r>
      <w:r>
        <w:fldChar w:fldCharType="end"/>
      </w:r>
      <w:r>
        <w:t xml:space="preserve"> that a pagelike partition is what happens when the text continues from the end of a zone to the beginning of the next, typically without a major semantic boundary,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/2. The text of all such partitions together comprises a single virtual field that is an integral whole, while the chunks of text in the individual partitions are not complete in themselves. We call these partitions pagelike because each zone is analogous to a page in a book: the boundary is usually incidental and irrelevant to the text’s semantic structure, although it may also coincide with a semantic break. Since such a partition may occur inside a unit of intrinsic structure, the encoding equivalent of a pagelike partition must be an empty milestone element (§</w:t>
      </w:r>
      <w:r>
        <w:fldChar w:fldCharType="begin"/>
      </w:r>
      <w:r>
        <w:instrText xml:space="preserve"> REF _Ref225327729 \r \h </w:instrText>
      </w:r>
      <w:r>
        <w:fldChar w:fldCharType="separate"/>
      </w:r>
      <w:r>
        <w:t>4.3</w:t>
      </w:r>
      <w:r>
        <w:fldChar w:fldCharType="end"/>
      </w:r>
      <w:r>
        <w:t xml:space="preserve">). For the genuine pages of copperplate charters, we use </w:t>
      </w:r>
      <w:r>
        <w:rPr>
          <w:rStyle w:val="Code"/>
        </w:rPr>
        <w:t>&lt;pb/&gt;</w:t>
      </w:r>
      <w:r>
        <w:t xml:space="preserve"> elements (§</w:t>
      </w:r>
      <w:r>
        <w:fldChar w:fldCharType="begin"/>
      </w:r>
      <w:r>
        <w:instrText xml:space="preserve"> REF _Ref183083980 \r \h </w:instrText>
      </w:r>
      <w:r>
        <w:fldChar w:fldCharType="separate"/>
      </w:r>
      <w:r>
        <w:t>4.4.2</w:t>
      </w:r>
      <w:r>
        <w:fldChar w:fldCharType="end"/>
      </w:r>
      <w:r>
        <w:t xml:space="preserve">), while for other partitions of analogous nature we employ </w:t>
      </w:r>
      <w:r>
        <w:rPr>
          <w:rStyle w:val="Code"/>
        </w:rPr>
        <w:t xml:space="preserve">&lt;milestone </w:t>
      </w:r>
      <w:r>
        <w:rPr>
          <w:rStyle w:val="Codeattribute"/>
        </w:rPr>
        <w:t>type=</w:t>
      </w:r>
      <w:r>
        <w:rPr>
          <w:rStyle w:val="Codevalue"/>
        </w:rPr>
        <w:t>"pagelike"</w:t>
      </w:r>
      <w:r>
        <w:rPr>
          <w:rStyle w:val="Code"/>
        </w:rPr>
        <w:t>&gt;</w:t>
      </w:r>
      <w:r>
        <w:t xml:space="preserve"> (§</w:t>
      </w:r>
      <w:r>
        <w:fldChar w:fldCharType="begin"/>
      </w:r>
      <w:r>
        <w:instrText xml:space="preserve"> REF _Ref43986679 \r \h </w:instrText>
      </w:r>
      <w:r>
        <w:fldChar w:fldCharType="separate"/>
      </w:r>
      <w:r>
        <w:t>4.4.2.1</w:t>
      </w:r>
      <w:r>
        <w:fldChar w:fldCharType="end"/>
      </w:r>
      <w:r>
        <w:t xml:space="preserve">). </w:t>
      </w:r>
    </w:p>
    <w:p w14:paraId="546D0503" w14:textId="77777777">
      <w:pPr>
        <w:pStyle w:val="Normlbehzs"/>
      </w:pPr>
      <w:r>
        <w:t xml:space="preserve">There is no technical limit to the number of different kinds of pagelike partitions that a document may contain. However, to avoid complications in markup and referencing, our project policy is always to employ a maximum of one kind of pagelike partition per division (i.e. only one kind in an undivided edition, or only one kind in each textpart of a subdivided edition). Thus, an edition or textpart may contain either </w:t>
      </w:r>
      <w:r>
        <w:rPr>
          <w:rStyle w:val="Code"/>
        </w:rPr>
        <w:t>&lt;pb/&gt;</w:t>
      </w:r>
      <w:r>
        <w:t xml:space="preserve"> or </w:t>
      </w:r>
      <w:r>
        <w:rPr>
          <w:rStyle w:val="Code"/>
        </w:rPr>
        <w:t xml:space="preserve">&lt;milestone </w:t>
      </w:r>
      <w:r>
        <w:rPr>
          <w:rStyle w:val="Codeattribute"/>
        </w:rPr>
        <w:t>type=</w:t>
      </w:r>
      <w:r>
        <w:rPr>
          <w:rStyle w:val="Codevalue"/>
        </w:rPr>
        <w:t>"pagelike"</w:t>
      </w:r>
      <w:r>
        <w:rPr>
          <w:rStyle w:val="Code"/>
        </w:rPr>
        <w:t>&gt;</w:t>
      </w:r>
      <w:r>
        <w:t xml:space="preserve"> with one particular </w:t>
      </w:r>
      <w:r>
        <w:rPr>
          <w:rStyle w:val="Codeattribute"/>
        </w:rPr>
        <w:t>@unit</w:t>
      </w:r>
      <w:r>
        <w:t xml:space="preserve"> (§</w:t>
      </w:r>
      <w:r>
        <w:fldChar w:fldCharType="begin"/>
      </w:r>
      <w:r>
        <w:instrText xml:space="preserve"> REF _Ref182815315 \r \h </w:instrText>
      </w:r>
      <w:r>
        <w:fldChar w:fldCharType="separate"/>
      </w:r>
      <w:r>
        <w:t>4.3.1</w:t>
      </w:r>
      <w:r>
        <w:fldChar w:fldCharType="end"/>
      </w:r>
      <w:r>
        <w:t xml:space="preserve">), but not both, nor </w:t>
      </w:r>
      <w:r>
        <w:rPr>
          <w:rStyle w:val="Code"/>
        </w:rPr>
        <w:t xml:space="preserve">&lt;milestone </w:t>
      </w:r>
      <w:r>
        <w:rPr>
          <w:rStyle w:val="Codeattribute"/>
        </w:rPr>
        <w:t>type=</w:t>
      </w:r>
      <w:r>
        <w:rPr>
          <w:rStyle w:val="Codevalue"/>
        </w:rPr>
        <w:t>"pagelike"</w:t>
      </w:r>
      <w:r>
        <w:rPr>
          <w:rStyle w:val="Code"/>
        </w:rPr>
        <w:t>&gt;</w:t>
      </w:r>
      <w:r>
        <w:t xml:space="preserve"> with two or more different values of </w:t>
      </w:r>
      <w:r>
        <w:rPr>
          <w:rStyle w:val="Codeattribute"/>
        </w:rPr>
        <w:t>@unit</w:t>
      </w:r>
      <w:r>
        <w:t xml:space="preserve">. When encoding a structurally complex inscription, instead of resorting to multiple kinds of pagelike partitions, try to make the best use of </w:t>
      </w:r>
      <w:bookmarkStart w:id="232" w:name="_tnb25u59sdgt" w:colFirst="0" w:colLast="0"/>
      <w:bookmarkStart w:id="233" w:name="_Ref43978346"/>
      <w:bookmarkStart w:id="234" w:name="_Ref182580155"/>
      <w:bookmarkStart w:id="235" w:name="_Ref182580158"/>
      <w:bookmarkStart w:id="236" w:name="_Ref182580228"/>
      <w:bookmarkEnd w:id="232"/>
      <w:r>
        <w:t>other encoding solutions. Considerations for some such situations are discussed in §</w:t>
      </w:r>
      <w:r>
        <w:fldChar w:fldCharType="begin"/>
      </w:r>
      <w:r>
        <w:instrText xml:space="preserve"> REF _Ref225350898 \r \h </w:instrText>
      </w:r>
      <w:r>
        <w:fldChar w:fldCharType="separate"/>
      </w:r>
      <w:r>
        <w:t>4.7</w:t>
      </w:r>
      <w:r>
        <w:fldChar w:fldCharType="end"/>
      </w:r>
      <w:r>
        <w:t>.</w:t>
      </w:r>
    </w:p>
    <w:p w14:paraId="756622DF" w14:textId="77777777">
      <w:pPr>
        <w:pStyle w:val="Cmsor4"/>
      </w:pPr>
      <w:r>
        <w:t>Terminology for pages and related entities</w:t>
      </w:r>
    </w:p>
    <w:p w14:paraId="6A54BC98" w14:textId="77777777">
      <w:r>
        <w:t>In this section and elsewhere when discussing pages and pagelike entities, we use the following terms in the following specific senses.</w:t>
      </w:r>
    </w:p>
    <w:p w14:paraId="4FD40F86" w14:textId="77777777">
      <w:pPr>
        <w:pStyle w:val="Lista"/>
      </w:pPr>
      <w:r>
        <w:t xml:space="preserve">a </w:t>
      </w:r>
      <w:r>
        <w:rPr>
          <w:b/>
          <w:bCs/>
        </w:rPr>
        <w:t>plate</w:t>
      </w:r>
      <w:r>
        <w:t xml:space="preserve"> is one discrete plate of copper (or other substance) bearing an inscription or part thereof</w:t>
      </w:r>
    </w:p>
    <w:p w14:paraId="15646EA2" w14:textId="77777777">
      <w:pPr>
        <w:pStyle w:val="Lista"/>
      </w:pPr>
      <w:r>
        <w:t xml:space="preserve">a </w:t>
      </w:r>
      <w:r>
        <w:rPr>
          <w:b/>
          <w:bCs/>
        </w:rPr>
        <w:t>face</w:t>
      </w:r>
      <w:r>
        <w:t xml:space="preserve"> is the physical surface on one side of a plate</w:t>
      </w:r>
    </w:p>
    <w:p w14:paraId="48F5065B" w14:textId="77777777">
      <w:pPr>
        <w:pStyle w:val="Lista2"/>
      </w:pPr>
      <w:r>
        <w:t>in other contexts, a face is one largely flat surface on any three-dimensional object</w:t>
      </w:r>
    </w:p>
    <w:p w14:paraId="7B01B22A" w14:textId="77777777">
      <w:pPr>
        <w:pStyle w:val="Lista"/>
      </w:pPr>
      <w:r>
        <w:t xml:space="preserve">the </w:t>
      </w:r>
      <w:r>
        <w:rPr>
          <w:b/>
          <w:bCs/>
        </w:rPr>
        <w:t>recto</w:t>
      </w:r>
      <w:r>
        <w:t xml:space="preserve"> face of a plate or sheet is the obverse, the face that comes first in sequence</w:t>
      </w:r>
    </w:p>
    <w:p w14:paraId="0B1CDEAF" w14:textId="77777777">
      <w:pPr>
        <w:pStyle w:val="Lista"/>
      </w:pPr>
      <w:r>
        <w:t xml:space="preserve">the </w:t>
      </w:r>
      <w:r>
        <w:rPr>
          <w:b/>
          <w:bCs/>
        </w:rPr>
        <w:t>verso</w:t>
      </w:r>
      <w:r>
        <w:t xml:space="preserve"> face of a plate or sheet is the reverse, the face that comes next in sequence</w:t>
      </w:r>
    </w:p>
    <w:p w14:paraId="6D97A8ED" w14:textId="77777777">
      <w:pPr>
        <w:pStyle w:val="Lista"/>
      </w:pPr>
      <w:r>
        <w:t xml:space="preserve">a </w:t>
      </w:r>
      <w:r>
        <w:rPr>
          <w:b/>
          <w:bCs/>
        </w:rPr>
        <w:t>page</w:t>
      </w:r>
      <w:r>
        <w:t xml:space="preserve"> is an abstract unit of text that is inscribed on one face of a plate or one side of a sheet of another substance</w:t>
      </w:r>
    </w:p>
    <w:p w14:paraId="6E3885A1" w14:textId="77777777">
      <w:pPr>
        <w:pStyle w:val="Lista"/>
      </w:pPr>
      <w:r>
        <w:t xml:space="preserve">a </w:t>
      </w:r>
      <w:r>
        <w:rPr>
          <w:b/>
          <w:bCs/>
        </w:rPr>
        <w:t>folio</w:t>
      </w:r>
      <w:r>
        <w:t xml:space="preserve"> as an abstract unit of text comprised of two pages that belong to a single plate or sheet</w:t>
      </w:r>
    </w:p>
    <w:p w14:paraId="096B634F" w14:textId="77777777">
      <w:pPr>
        <w:pStyle w:val="Cmsor3"/>
        <w:keepLines/>
        <w:pageBreakBefore/>
      </w:pPr>
      <w:bookmarkStart w:id="237" w:name="_Ref183083979"/>
      <w:bookmarkStart w:id="238" w:name="_Ref183083980"/>
      <w:bookmarkStart w:id="239" w:name="_Toc243900269"/>
      <w:r>
        <w:lastRenderedPageBreak/>
        <w:t>Marking up genuine pages</w:t>
      </w:r>
      <w:bookmarkEnd w:id="233"/>
      <w:bookmarkEnd w:id="234"/>
      <w:bookmarkEnd w:id="235"/>
      <w:bookmarkEnd w:id="236"/>
      <w:bookmarkEnd w:id="237"/>
      <w:bookmarkEnd w:id="238"/>
      <w:bookmarkEnd w:id="239"/>
    </w:p>
    <w:tbl>
      <w:tblPr>
        <w:tblStyle w:val="CodeSampleTable"/>
        <w:tblpPr w:leftFromText="181" w:rightFromText="181" w:vertAnchor="text" w:tblpXSpec="right" w:tblpY="1"/>
        <w:tblOverlap w:val="never"/>
        <w:tblW w:w="4536" w:type="dxa"/>
        <w:tblLook w:val="04A0" w:firstRow="1" w:lastRow="0" w:firstColumn="1" w:lastColumn="0" w:noHBand="0" w:noVBand="1"/>
      </w:tblPr>
      <w:tblGrid>
        <w:gridCol w:w="4536"/>
      </w:tblGrid>
      <w:tr w14:paraId="0158C59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164568B" w14:textId="77777777">
            <w:pPr>
              <w:pStyle w:val="Kpalrs"/>
              <w:keepLines/>
            </w:pPr>
            <w:bookmarkStart w:id="240" w:name="_Ref225356253"/>
            <w:r>
              <w:t xml:space="preserve">Exhibit </w:t>
            </w:r>
            <w:r>
              <w:fldChar w:fldCharType="begin"/>
            </w:r>
            <w:r>
              <w:instrText xml:space="preserve"> STYLEREF 2 \s </w:instrText>
            </w:r>
            <w:r>
              <w:fldChar w:fldCharType="separate"/>
            </w:r>
            <w:r>
              <w:rPr>
                <w:noProof/>
              </w:rPr>
              <w:t>4.4</w:t>
            </w:r>
            <w:r>
              <w:rPr>
                <w:noProof/>
              </w:rPr>
              <w:fldChar w:fldCharType="end"/>
            </w:r>
            <w:r>
              <w:t>.</w:t>
            </w:r>
            <w:r>
              <w:fldChar w:fldCharType="begin"/>
            </w:r>
            <w:r>
              <w:instrText xml:space="preserve"> SEQ Exhibit \* ALPHABETIC \s 2 </w:instrText>
            </w:r>
            <w:r>
              <w:fldChar w:fldCharType="separate"/>
            </w:r>
            <w:r>
              <w:rPr>
                <w:noProof/>
              </w:rPr>
              <w:t>A</w:t>
            </w:r>
            <w:r>
              <w:rPr>
                <w:noProof/>
              </w:rPr>
              <w:fldChar w:fldCharType="end"/>
            </w:r>
            <w:bookmarkEnd w:id="240"/>
            <w:r>
              <w:t>: generic encoding for page beginnings</w:t>
            </w:r>
          </w:p>
        </w:tc>
      </w:tr>
      <w:tr w14:paraId="5917CC6C" w14:textId="77777777">
        <w:tc>
          <w:tcPr>
            <w:tcW w:w="5000" w:type="pct"/>
          </w:tcPr>
          <w:p w14:paraId="45A153C7" w14:textId="77777777">
            <w:pPr>
              <w:pStyle w:val="Image"/>
              <w:keepLines/>
            </w:pPr>
            <w:r>
              <w:drawing>
                <wp:inline distT="0" distB="0" distL="0" distR="0" wp14:anchorId="020D24F7" wp14:editId="4D4FCBBB">
                  <wp:extent cx="2700000" cy="1080000"/>
                  <wp:effectExtent l="0" t="0" r="5715" b="6350"/>
                  <wp:docPr id="1888968169" name="Kép 1888968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968169" name="Kép 1888968169"/>
                          <pic:cNvPicPr>
                            <a:picLocks noChangeAspect="1" noChangeArrowheads="1"/>
                          </pic:cNvPicPr>
                        </pic:nvPicPr>
                        <pic:blipFill>
                          <a:blip r:embed="rId16"/>
                          <a:stretch>
                            <a:fillRect/>
                          </a:stretch>
                        </pic:blipFill>
                        <pic:spPr bwMode="auto">
                          <a:xfrm>
                            <a:off x="0" y="0"/>
                            <a:ext cx="2700000" cy="1080000"/>
                          </a:xfrm>
                          <a:prstGeom prst="rect">
                            <a:avLst/>
                          </a:prstGeom>
                          <a:noFill/>
                          <a:ln>
                            <a:noFill/>
                          </a:ln>
                        </pic:spPr>
                      </pic:pic>
                    </a:graphicData>
                  </a:graphic>
                </wp:inline>
              </w:drawing>
            </w:r>
          </w:p>
        </w:tc>
      </w:tr>
      <w:tr w14:paraId="6EFFEBCB" w14:textId="77777777">
        <w:tc>
          <w:tcPr>
            <w:tcW w:w="5000" w:type="pct"/>
          </w:tcPr>
          <w:p w14:paraId="010A35A3" w14:textId="77777777">
            <w:pPr>
              <w:pStyle w:val="CodeParagraph"/>
              <w:keepNext/>
              <w:keepLines/>
              <w:rPr>
                <w:rStyle w:val="Codetext"/>
              </w:rPr>
            </w:pPr>
            <w:r>
              <w:rPr>
                <w:rStyle w:val="Code"/>
              </w:rPr>
              <w:t xml:space="preserve">&lt;p&gt;&lt;pb </w:t>
            </w:r>
            <w:r>
              <w:rPr>
                <w:rStyle w:val="Codeattribute"/>
              </w:rPr>
              <w:t>n</w:t>
            </w:r>
            <w:r>
              <w:rPr>
                <w:rStyle w:val="Code"/>
              </w:rPr>
              <w:t>=</w:t>
            </w:r>
            <w:r>
              <w:rPr>
                <w:rStyle w:val="Codevalue"/>
              </w:rPr>
              <w:t>"1"</w:t>
            </w:r>
            <w:r>
              <w:rPr>
                <w:rStyle w:val="Code"/>
              </w:rPr>
              <w:t xml:space="preserve">/&gt;&lt;lb </w:t>
            </w:r>
            <w:r>
              <w:rPr>
                <w:rStyle w:val="Codeattribute"/>
              </w:rPr>
              <w:t>n</w:t>
            </w:r>
            <w:r>
              <w:rPr>
                <w:rStyle w:val="Code"/>
              </w:rPr>
              <w:t>=</w:t>
            </w:r>
            <w:r>
              <w:rPr>
                <w:rStyle w:val="Codevalue"/>
              </w:rPr>
              <w:t>"1"</w:t>
            </w:r>
            <w:r>
              <w:rPr>
                <w:rStyle w:val="Code"/>
              </w:rPr>
              <w:t>/&gt;</w:t>
            </w:r>
            <w:r>
              <w:rPr>
                <w:rStyle w:val="Codetext"/>
              </w:rPr>
              <w:t>...</w:t>
            </w:r>
          </w:p>
          <w:p w14:paraId="7FB85EFD"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w:t>
            </w:r>
          </w:p>
          <w:p w14:paraId="5F2119A1"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"3"</w:t>
            </w:r>
            <w:r>
              <w:rPr>
                <w:rStyle w:val="Code"/>
              </w:rPr>
              <w:t>/&gt;</w:t>
            </w:r>
            <w:r>
              <w:rPr>
                <w:rStyle w:val="Codetext"/>
              </w:rPr>
              <w:t>...</w:t>
            </w:r>
          </w:p>
          <w:p w14:paraId="13E11553" w14:textId="77777777">
            <w:pPr>
              <w:pStyle w:val="CodeParagraph"/>
              <w:keepNext/>
              <w:keepLines/>
              <w:rPr>
                <w:rStyle w:val="Codetext"/>
              </w:rPr>
            </w:pPr>
            <w:r>
              <w:rPr>
                <w:rStyle w:val="Code"/>
              </w:rPr>
              <w:t xml:space="preserve">  &lt;pb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"4"</w:t>
            </w:r>
            <w:r>
              <w:rPr>
                <w:rStyle w:val="Code"/>
              </w:rPr>
              <w:t>/&gt;</w:t>
            </w:r>
            <w:r>
              <w:rPr>
                <w:rStyle w:val="Codetext"/>
              </w:rPr>
              <w:t>...</w:t>
            </w:r>
          </w:p>
          <w:p w14:paraId="3CFBD0D8" w14:textId="77777777">
            <w:pPr>
              <w:pStyle w:val="CodeParagraph"/>
              <w:keepNext/>
              <w:keepLines/>
              <w:rPr>
                <w:rStyle w:val="Code"/>
              </w:rPr>
            </w:pPr>
            <w:r>
              <w:rPr>
                <w:rStyle w:val="Code"/>
              </w:rPr>
              <w:t xml:space="preserve">  &lt;lb </w:t>
            </w:r>
            <w:r>
              <w:rPr>
                <w:rStyle w:val="Codeattribute"/>
              </w:rPr>
              <w:t>n</w:t>
            </w:r>
            <w:r>
              <w:rPr>
                <w:rStyle w:val="Code"/>
              </w:rPr>
              <w:t>=</w:t>
            </w:r>
            <w:r>
              <w:rPr>
                <w:rStyle w:val="Codevalue"/>
              </w:rPr>
              <w:t>"5"</w:t>
            </w:r>
            <w:r>
              <w:rPr>
                <w:rStyle w:val="Code"/>
              </w:rPr>
              <w:t>/&gt;</w:t>
            </w:r>
            <w:r>
              <w:rPr>
                <w:rStyle w:val="Codetext"/>
              </w:rPr>
              <w:t>...</w:t>
            </w:r>
          </w:p>
          <w:p w14:paraId="2387B115" w14:textId="77777777">
            <w:pPr>
              <w:pStyle w:val="CodeParagraph"/>
              <w:keepNext/>
              <w:keepLines/>
              <w:rPr>
                <w:rStyle w:val="Codetext"/>
              </w:rPr>
            </w:pPr>
            <w:r>
              <w:rPr>
                <w:rStyle w:val="Codetext"/>
              </w:rPr>
              <w:t xml:space="preserve">  ...</w:t>
            </w:r>
          </w:p>
          <w:p w14:paraId="27A13877" w14:textId="77777777">
            <w:pPr>
              <w:pStyle w:val="CodeParagraph"/>
              <w:keepNext/>
              <w:keepLines/>
              <w:rPr>
                <w:rFonts w:ascii="Consolas" w:hAnsi="Consolas" w:cs="Consolas"/>
                <w:noProof/>
                <w:color w:val="002060"/>
                <w:shd w:val="clear" w:color="auto" w:fill="F2F2F2" w:themeFill="background1" w:themeFillShade="F2"/>
              </w:rPr>
            </w:pPr>
            <w:r>
              <w:rPr>
                <w:rStyle w:val="Code"/>
              </w:rPr>
              <w:t>&lt;/p&gt;</w:t>
            </w:r>
          </w:p>
        </w:tc>
      </w:tr>
      <w:tr w14:paraId="5661D3F4" w14:textId="77777777">
        <w:tc>
          <w:tcPr>
            <w:tcW w:w="5000" w:type="pct"/>
          </w:tcPr>
          <w:p w14:paraId="6B05BE49" w14:textId="77777777">
            <w:pPr>
              <w:pStyle w:val="TableNote"/>
              <w:keepNext/>
              <w:keepLines/>
              <w:rPr>
                <w:rStyle w:val="Code"/>
              </w:rPr>
            </w:pPr>
            <w:r>
              <w:t xml:space="preserve">complete encoded illustration: </w:t>
            </w:r>
            <w:r>
              <w:fldChar w:fldCharType="begin"/>
            </w:r>
            <w:r>
              <w:instrText xml:space="preserve"> REF _Ref239844102 \r \h </w:instrText>
            </w:r>
            <w:r>
              <w:fldChar w:fldCharType="separate"/>
            </w:r>
            <w:r>
              <w:t>Appendix A.2</w:t>
            </w:r>
            <w:r>
              <w:fldChar w:fldCharType="end"/>
            </w:r>
          </w:p>
        </w:tc>
      </w:tr>
    </w:tbl>
    <w:p w14:paraId="77CD7DE0" w14:textId="77777777">
      <w:pPr>
        <w:pStyle w:val="Lista"/>
      </w:pPr>
      <w:r>
        <w:t xml:space="preserve">to encode genuine pages, as in copper plates, use the empty element </w:t>
      </w:r>
      <w:r>
        <w:rPr>
          <w:rStyle w:val="Code"/>
        </w:rPr>
        <w:t>&lt;pb/&gt;</w:t>
      </w:r>
      <w:r>
        <w:t xml:space="preserve"> as in </w:t>
      </w:r>
      <w:r>
        <w:fldChar w:fldCharType="begin"/>
      </w:r>
      <w:r>
        <w:instrText xml:space="preserve"> REF _Ref225356253 \h </w:instrText>
      </w:r>
      <w:r>
        <w:fldChar w:fldCharType="separate"/>
      </w:r>
      <w:r>
        <w:t xml:space="preserve">Exhibit </w:t>
      </w:r>
      <w:r>
        <w:rPr>
          <w:noProof/>
        </w:rPr>
        <w:t>4.4</w:t>
      </w:r>
      <w:r>
        <w:t>.</w:t>
      </w:r>
      <w:r>
        <w:rPr>
          <w:noProof/>
        </w:rPr>
        <w:t>A</w:t>
      </w:r>
      <w:r>
        <w:fldChar w:fldCharType="end"/>
      </w:r>
      <w:r>
        <w:t>, with the following attributes</w:t>
      </w:r>
    </w:p>
    <w:p w14:paraId="2162F2B6" w14:textId="77777777">
      <w:pPr>
        <w:pStyle w:val="Lista2"/>
      </w:pPr>
      <w:bookmarkStart w:id="241" w:name="_Ref182299386"/>
      <w:r>
        <w:t xml:space="preserve">mandatorily, </w:t>
      </w:r>
      <w:r>
        <w:rPr>
          <w:rStyle w:val="Codeattribute"/>
        </w:rPr>
        <w:t>@n</w:t>
      </w:r>
      <w:r>
        <w:t xml:space="preserve"> as per §</w:t>
      </w:r>
      <w:r>
        <w:fldChar w:fldCharType="begin"/>
      </w:r>
      <w:r>
        <w:instrText xml:space="preserve"> REF _Ref182310225 \r \h </w:instrText>
      </w:r>
      <w:r>
        <w:fldChar w:fldCharType="separate"/>
      </w:r>
      <w:r>
        <w:t>4.4.2.1</w:t>
      </w:r>
      <w:r>
        <w:fldChar w:fldCharType="end"/>
      </w:r>
    </w:p>
    <w:p w14:paraId="6C05FF2A" w14:textId="77777777">
      <w:pPr>
        <w:pStyle w:val="Lista2"/>
      </w:pPr>
      <w:r>
        <w:t xml:space="preserve">as applicable, </w:t>
      </w:r>
      <w:r>
        <w:rPr>
          <w:rStyle w:val="Codeattribute"/>
        </w:rPr>
        <w:t>@break</w:t>
      </w:r>
      <w:r>
        <w:t xml:space="preserve"> for page beginnings interrupting words as per §</w:t>
      </w:r>
      <w:r>
        <w:fldChar w:fldCharType="begin"/>
      </w:r>
      <w:r>
        <w:instrText xml:space="preserve"> REF _Ref225519777 \r \h </w:instrText>
      </w:r>
      <w:r>
        <w:fldChar w:fldCharType="separate"/>
      </w:r>
      <w:r>
        <w:t>4.3.2.1</w:t>
      </w:r>
      <w:r>
        <w:fldChar w:fldCharType="end"/>
      </w:r>
    </w:p>
    <w:p w14:paraId="3D1AE04D" w14:textId="77777777">
      <w:pPr>
        <w:pStyle w:val="Lista"/>
      </w:pPr>
      <w:r>
        <w:rPr>
          <w:rStyle w:val="Code"/>
        </w:rPr>
        <w:t>&lt;pb/&gt;</w:t>
      </w:r>
      <w:r>
        <w:t xml:space="preserve"> marks page beginnings (rather than transitions) and thus, when pages are present in a document, the element must be created at the start of each page</w:t>
      </w:r>
    </w:p>
    <w:p w14:paraId="4B1BAF22" w14:textId="77777777">
      <w:pPr>
        <w:pStyle w:val="Lista2"/>
      </w:pPr>
      <w:r>
        <w:t>including the first page</w:t>
      </w:r>
    </w:p>
    <w:p w14:paraId="001A77EF" w14:textId="0947A107">
      <w:pPr>
        <w:pStyle w:val="Lista2"/>
      </w:pPr>
      <w:r>
        <w:t>and including pages without text (§</w:t>
      </w:r>
      <w:r>
        <w:fldChar w:fldCharType="begin"/>
      </w:r>
      <w:r>
        <w:instrText xml:space="preserve"> REF _Ref182318940 \r \h </w:instrText>
      </w:r>
      <w:r>
        <w:fldChar w:fldCharType="separate"/>
      </w:r>
      <w:r>
        <w:t>4.4.2.2</w:t>
      </w:r>
      <w:r>
        <w:fldChar w:fldCharType="end"/>
      </w:r>
      <w:r>
        <w:t>)</w:t>
      </w:r>
    </w:p>
    <w:p w14:paraId="1277B15E" w14:textId="77777777">
      <w:pPr>
        <w:pStyle w:val="Lista"/>
      </w:pPr>
      <w:r>
        <w:t>good practice considerations applicable to structural milestones (§</w:t>
      </w:r>
      <w:r>
        <w:fldChar w:fldCharType="begin"/>
      </w:r>
      <w:r>
        <w:instrText xml:space="preserve"> REF _Ref225253138 \r \h </w:instrText>
      </w:r>
      <w:r>
        <w:fldChar w:fldCharType="separate"/>
      </w:r>
      <w:r>
        <w:t>4.3.3</w:t>
      </w:r>
      <w:r>
        <w:fldChar w:fldCharType="end"/>
      </w:r>
      <w:r>
        <w:t>) apply equally to page beginnings</w:t>
      </w:r>
    </w:p>
    <w:p w14:paraId="33EE7B6B" w14:textId="77777777">
      <w:pPr>
        <w:pStyle w:val="Cmsor4"/>
      </w:pPr>
      <w:bookmarkStart w:id="242" w:name="_t032kyf4wcza" w:colFirst="0" w:colLast="0"/>
      <w:bookmarkStart w:id="243" w:name="_Ref182310225"/>
      <w:bookmarkStart w:id="244" w:name="_Ref182299822"/>
      <w:bookmarkStart w:id="245" w:name="_Ref43986679"/>
      <w:bookmarkEnd w:id="241"/>
      <w:bookmarkEnd w:id="242"/>
      <w:r>
        <w:t>Page numbering</w:t>
      </w:r>
      <w:bookmarkEnd w:id="243"/>
    </w:p>
    <w:p w14:paraId="5F017CF4" w14:textId="77777777">
      <w:r>
        <w:t xml:space="preserve">Pages are numbered for reference. When an XML edition is rendered for display, labels for pages will be automatically generated from the encoded number. Unlike pagelike milestones, the </w:t>
      </w:r>
      <w:r>
        <w:rPr>
          <w:rStyle w:val="Code"/>
        </w:rPr>
        <w:t>&lt;label&gt;</w:t>
      </w:r>
      <w:r>
        <w:t xml:space="preserve"> element (§</w:t>
      </w:r>
      <w:r>
        <w:fldChar w:fldCharType="begin"/>
      </w:r>
      <w:r>
        <w:instrText xml:space="preserve"> REF _Ref182299869 \r \h </w:instrText>
      </w:r>
      <w:r>
        <w:fldChar w:fldCharType="separate"/>
      </w:r>
      <w:r>
        <w:t>4.4.3.2</w:t>
      </w:r>
      <w:r>
        <w:fldChar w:fldCharType="end"/>
      </w:r>
      <w:r>
        <w:t>) is not permitted in conjunction with page breaks.</w:t>
      </w:r>
    </w:p>
    <w:p w14:paraId="5723889C" w14:textId="77777777">
      <w:pPr>
        <w:pStyle w:val="Lista"/>
      </w:pPr>
      <w:r>
        <w:t>pages are mandatorily numbered in DHARMA editions</w:t>
      </w:r>
    </w:p>
    <w:p w14:paraId="093CBF10" w14:textId="77777777">
      <w:pPr>
        <w:pStyle w:val="Lista"/>
      </w:pPr>
      <w:r>
        <w:t>the recommended values for numbering pages are 1r, 1v, 2r, 2v etc.</w:t>
      </w:r>
    </w:p>
    <w:p w14:paraId="7A7A7BFC" w14:textId="77777777">
      <w:pPr>
        <w:pStyle w:val="Lista2"/>
      </w:pPr>
      <w:r>
        <w:t xml:space="preserve">the value of </w:t>
      </w:r>
      <w:r>
        <w:rPr>
          <w:rStyle w:val="Codeattribute"/>
        </w:rPr>
        <w:t>@n</w:t>
      </w:r>
      <w:r>
        <w:t xml:space="preserve"> is thus composed of</w:t>
      </w:r>
    </w:p>
    <w:p w14:paraId="47F37512" w14:textId="77777777">
      <w:pPr>
        <w:pStyle w:val="Lista3"/>
      </w:pPr>
      <w:r>
        <w:t>an Arabic numeral starting with 1 and proceeding in steps of 1 per plate (folio)</w:t>
      </w:r>
    </w:p>
    <w:p w14:paraId="61DF1D90" w14:textId="77777777">
      <w:pPr>
        <w:pStyle w:val="Lista3"/>
      </w:pPr>
      <w:r>
        <w:t xml:space="preserve">the abbreviation to identify the recto </w:t>
      </w:r>
      <w:r>
        <w:rPr>
          <w:noProof/>
        </w:rPr>
        <w:t>(</w:t>
      </w:r>
      <w:r>
        <w:t xml:space="preserve">obverse) and verso </w:t>
      </w:r>
      <w:r>
        <w:rPr>
          <w:noProof/>
        </w:rPr>
        <w:t>(</w:t>
      </w:r>
      <w:r>
        <w:t>reverse) face of each plate</w:t>
      </w:r>
    </w:p>
    <w:p w14:paraId="477DF7FA" w14:textId="77777777">
      <w:pPr>
        <w:pStyle w:val="Lista2"/>
      </w:pPr>
      <w:r>
        <w:t xml:space="preserve">e.g. </w:t>
      </w:r>
      <w:r>
        <w:rPr>
          <w:rStyle w:val="Code"/>
        </w:rPr>
        <w:t xml:space="preserve">&lt;pb </w:t>
      </w:r>
      <w:r>
        <w:rPr>
          <w:rStyle w:val="Codeattribute"/>
        </w:rPr>
        <w:t>n</w:t>
      </w:r>
      <w:r>
        <w:rPr>
          <w:rStyle w:val="Code"/>
        </w:rPr>
        <w:t>=</w:t>
      </w:r>
      <w:r>
        <w:rPr>
          <w:rStyle w:val="Codevalue"/>
        </w:rPr>
        <w:t>"1r"</w:t>
      </w:r>
      <w:r>
        <w:rPr>
          <w:rStyle w:val="Code"/>
        </w:rPr>
        <w:t>/&gt;</w:t>
      </w:r>
    </w:p>
    <w:p w14:paraId="469F036B" w14:textId="77777777">
      <w:pPr>
        <w:pStyle w:val="Lista"/>
      </w:pPr>
      <w:r>
        <w:t>if you have a good reason to do so, you may opt to use a different numbering scheme for pages with the following constraints:</w:t>
      </w:r>
    </w:p>
    <w:p w14:paraId="5D52F24A" w14:textId="77777777">
      <w:pPr>
        <w:pStyle w:val="Lista2"/>
      </w:pPr>
      <w:r>
        <w:t xml:space="preserve">the value of </w:t>
      </w:r>
      <w:r>
        <w:rPr>
          <w:rStyle w:val="Codeattribute"/>
        </w:rPr>
        <w:t>@n</w:t>
      </w:r>
      <w:r>
        <w:t xml:space="preserve"> must not contain a space </w:t>
      </w:r>
      <w:r>
        <w:rPr>
          <w:noProof/>
        </w:rPr>
        <w:t>(</w:t>
      </w:r>
      <w:r>
        <w:t>use an underscore _ instead if a space is essential)</w:t>
      </w:r>
    </w:p>
    <w:p w14:paraId="5225F997" w14:textId="77777777">
      <w:pPr>
        <w:pStyle w:val="Lista2"/>
      </w:pPr>
      <w:r>
        <w:t xml:space="preserve">each page must have a unique number within your edition </w:t>
      </w:r>
      <w:r>
        <w:rPr>
          <w:noProof/>
        </w:rPr>
        <w:t>(</w:t>
      </w:r>
      <w:r>
        <w:t>or, if applicable, within a textpart division)</w:t>
      </w:r>
    </w:p>
    <w:p w14:paraId="15E50799" w14:textId="77777777">
      <w:pPr>
        <w:pStyle w:val="Lista"/>
      </w:pPr>
      <w:r>
        <w:t>when several textpart divisions of an edition include pages, page numbers must be reset in each textpart (§</w:t>
      </w:r>
      <w:r>
        <w:fldChar w:fldCharType="begin"/>
      </w:r>
      <w:r>
        <w:instrText xml:space="preserve"> REF _Ref43986747 \r \h </w:instrText>
      </w:r>
      <w:r>
        <w:fldChar w:fldCharType="separate"/>
      </w:r>
      <w:r>
        <w:t>4.2.1.4</w:t>
      </w:r>
      <w:r>
        <w:fldChar w:fldCharType="end"/>
      </w:r>
      <w:r>
        <w:t>) unless there is a strong reason not to do so</w:t>
      </w:r>
    </w:p>
    <w:p w14:paraId="0E614816" w14:textId="77777777">
      <w:pPr>
        <w:pStyle w:val="Lista"/>
      </w:pPr>
      <w:r>
        <w:t>see §</w:t>
      </w:r>
      <w:r>
        <w:fldChar w:fldCharType="begin"/>
      </w:r>
      <w:r>
        <w:instrText xml:space="preserve"> REF _Ref43984607 \w \h  \* MERGEFORMAT </w:instrText>
      </w:r>
      <w:r>
        <w:fldChar w:fldCharType="separate"/>
      </w:r>
      <w:r>
        <w:t>4.7.2</w:t>
      </w:r>
      <w:r>
        <w:fldChar w:fldCharType="end"/>
      </w:r>
      <w:r>
        <w:t xml:space="preserve"> about encoding any original pagination or foliation</w:t>
      </w:r>
    </w:p>
    <w:p w14:paraId="45171CC1" w14:textId="77777777">
      <w:pPr>
        <w:pStyle w:val="Cmsor4"/>
      </w:pPr>
      <w:bookmarkStart w:id="246" w:name="_Ref182318940"/>
      <w:bookmarkEnd w:id="244"/>
      <w:r>
        <w:t>Uninscribed copperplate faces</w:t>
      </w:r>
      <w:bookmarkEnd w:id="246"/>
    </w:p>
    <w:p w14:paraId="22B6EAC3" w14:textId="77777777">
      <w:pPr>
        <w:pStyle w:val="Lista"/>
      </w:pPr>
      <w:r>
        <w:t xml:space="preserve">plates must always be encoded as having two pages per folio, even if one of these pages is blank; this will facilitate the eventual linking of images </w:t>
      </w:r>
      <w:r>
        <w:rPr>
          <w:noProof/>
        </w:rPr>
        <w:t>(</w:t>
      </w:r>
      <w:r>
        <w:t>including images of blank faces) to individual pages of the digital edition</w:t>
      </w:r>
    </w:p>
    <w:p w14:paraId="5E58FBBA" w14:textId="77777777">
      <w:pPr>
        <w:pStyle w:val="Lista"/>
      </w:pPr>
      <w:r>
        <w:t xml:space="preserve">blank faces shall be encoded as the corresponding </w:t>
      </w:r>
      <w:r>
        <w:rPr>
          <w:rStyle w:val="Code"/>
        </w:rPr>
        <w:t>&lt;pb/&gt;</w:t>
      </w:r>
      <w:r>
        <w:t xml:space="preserve"> element, with the following recommendations for the sake of consistency within the project</w:t>
      </w:r>
    </w:p>
    <w:p w14:paraId="16BDF3F3" w14:textId="77777777">
      <w:pPr>
        <w:pStyle w:val="Lista2"/>
      </w:pPr>
      <w:r>
        <w:t>for sets of copper plates where the first and/or last plate is only inscribed on one face, designate the blank faces to be the outer faces of the set, i.e. the recto of the first plate and the verso of the last plate</w:t>
      </w:r>
    </w:p>
    <w:p w14:paraId="104481E7" w14:textId="77777777">
      <w:pPr>
        <w:pStyle w:val="Lista2"/>
      </w:pPr>
      <w:r>
        <w:t>for sets or single plates inscribed on only one face (of each plate), designate the inscribed face as the recto, and the blank face as the verso</w:t>
      </w:r>
    </w:p>
    <w:p w14:paraId="2F383F7B" w14:textId="77777777">
      <w:pPr>
        <w:pStyle w:val="Lista2"/>
      </w:pPr>
      <w:r>
        <w:t xml:space="preserve">the </w:t>
      </w:r>
      <w:r>
        <w:rPr>
          <w:rStyle w:val="Code"/>
        </w:rPr>
        <w:t>&lt;pb/&gt;</w:t>
      </w:r>
      <w:r>
        <w:t xml:space="preserve"> elements for first/last blank pages should be placed just inside the start/end tag of the enclosing division </w:t>
      </w:r>
      <w:r>
        <w:rPr>
          <w:noProof/>
        </w:rPr>
        <w:t>(</w:t>
      </w:r>
      <w:r>
        <w:t>i.e. the edition division or a textpart division)</w:t>
      </w:r>
    </w:p>
    <w:p w14:paraId="1BE80CE1" w14:textId="77777777">
      <w:pPr>
        <w:pStyle w:val="Lista3"/>
      </w:pPr>
      <w:r>
        <w:t xml:space="preserve">thus, these </w:t>
      </w:r>
      <w:r>
        <w:rPr>
          <w:rStyle w:val="Code"/>
        </w:rPr>
        <w:t>&lt;pb/&gt;</w:t>
      </w:r>
      <w:r>
        <w:t xml:space="preserve"> elements will be outside block-level containers in spite of the general rule </w:t>
      </w:r>
      <w:r>
        <w:rPr>
          <w:noProof/>
        </w:rPr>
        <w:t>(</w:t>
      </w:r>
      <w:r>
        <w:t>§</w:t>
      </w:r>
      <w:r>
        <w:fldChar w:fldCharType="begin"/>
      </w:r>
      <w:r>
        <w:instrText xml:space="preserve"> REF _Ref43979552 \w \h  \* MERGEFORMAT </w:instrText>
      </w:r>
      <w:r>
        <w:fldChar w:fldCharType="separate"/>
      </w:r>
      <w:r>
        <w:t>16.2.4</w:t>
      </w:r>
      <w:r>
        <w:fldChar w:fldCharType="end"/>
      </w:r>
      <w:r>
        <w:t>) that such empty elements must be inside block-level containers</w:t>
      </w:r>
    </w:p>
    <w:p w14:paraId="3042DA3F" w14:textId="77777777">
      <w:pPr>
        <w:pStyle w:val="Lista2"/>
      </w:pPr>
      <w:r>
        <w:t xml:space="preserve">see </w:t>
      </w:r>
      <w:r>
        <w:fldChar w:fldCharType="begin"/>
      </w:r>
      <w:r>
        <w:instrText xml:space="preserve"> REF _Ref239844124 \r \h </w:instrText>
      </w:r>
      <w:r>
        <w:fldChar w:fldCharType="separate"/>
      </w:r>
      <w:r>
        <w:t>Appendix A.2</w:t>
      </w:r>
      <w:r>
        <w:fldChar w:fldCharType="end"/>
      </w:r>
      <w:r>
        <w:t xml:space="preserve"> for an illustration of pages in an EpiDoc document</w:t>
      </w:r>
    </w:p>
    <w:p w14:paraId="0FBB79CF" w14:textId="77777777">
      <w:pPr>
        <w:pStyle w:val="Cmsor3"/>
      </w:pPr>
      <w:bookmarkStart w:id="247" w:name="_Toc243900270"/>
      <w:r>
        <w:lastRenderedPageBreak/>
        <w:t>Marking up other pagelike zones</w:t>
      </w:r>
      <w:bookmarkEnd w:id="245"/>
      <w:bookmarkEnd w:id="247"/>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7F2AAB2C"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263CA24A" w14:textId="77777777">
            <w:pPr>
              <w:pStyle w:val="Kpalrs"/>
              <w:keepLines/>
            </w:pPr>
            <w:bookmarkStart w:id="248" w:name="_Ref225354659"/>
            <w:bookmarkStart w:id="249" w:name="_Ref225354655"/>
            <w:r>
              <w:t xml:space="preserve">Exhibit </w:t>
            </w:r>
            <w:fldSimple w:instr=" STYLEREF 2 \s ">
              <w:r>
                <w:rPr>
                  <w:noProof/>
                </w:rPr>
                <w:t>4.4</w:t>
              </w:r>
            </w:fldSimple>
            <w:r>
              <w:t>.</w:t>
            </w:r>
            <w:fldSimple w:instr=" SEQ Exhibit \* ALPHABETIC \s 2 ">
              <w:r>
                <w:rPr>
                  <w:noProof/>
                </w:rPr>
                <w:t>B</w:t>
              </w:r>
            </w:fldSimple>
            <w:bookmarkEnd w:id="248"/>
            <w:r>
              <w:t>: generic encoding for pagelike partitions</w:t>
            </w:r>
            <w:bookmarkEnd w:id="249"/>
          </w:p>
        </w:tc>
      </w:tr>
      <w:tr w14:paraId="4953293C" w14:textId="77777777">
        <w:trPr>
          <w:jc w:val="right"/>
        </w:trPr>
        <w:tc>
          <w:tcPr>
            <w:tcW w:w="5000" w:type="pct"/>
          </w:tcPr>
          <w:p w14:paraId="22F5C354" w14:textId="77777777">
            <w:pPr>
              <w:pStyle w:val="Image"/>
            </w:pPr>
            <w:r>
              <w:drawing>
                <wp:inline distT="0" distB="0" distL="0" distR="0" wp14:anchorId="0EBFCAA2" wp14:editId="6ECD5D26">
                  <wp:extent cx="2700000" cy="1364400"/>
                  <wp:effectExtent l="0" t="0" r="5715" b="7620"/>
                  <wp:docPr id="1765770225" name="Kép 1765770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70225" name="Kép 1765770225"/>
                          <pic:cNvPicPr>
                            <a:picLocks noChangeAspect="1" noChangeArrowheads="1"/>
                          </pic:cNvPicPr>
                        </pic:nvPicPr>
                        <pic:blipFill>
                          <a:blip r:embed="rId17"/>
                          <a:stretch>
                            <a:fillRect/>
                          </a:stretch>
                        </pic:blipFill>
                        <pic:spPr bwMode="auto">
                          <a:xfrm>
                            <a:off x="0" y="0"/>
                            <a:ext cx="2700000" cy="1364400"/>
                          </a:xfrm>
                          <a:prstGeom prst="rect">
                            <a:avLst/>
                          </a:prstGeom>
                          <a:noFill/>
                          <a:ln>
                            <a:noFill/>
                          </a:ln>
                        </pic:spPr>
                      </pic:pic>
                    </a:graphicData>
                  </a:graphic>
                </wp:inline>
              </w:drawing>
            </w:r>
          </w:p>
        </w:tc>
      </w:tr>
      <w:tr w14:paraId="616191ED" w14:textId="77777777">
        <w:trPr>
          <w:jc w:val="right"/>
        </w:trPr>
        <w:tc>
          <w:tcPr>
            <w:tcW w:w="5000" w:type="pct"/>
          </w:tcPr>
          <w:p w14:paraId="1661B3B9" w14:textId="77777777">
            <w:pPr>
              <w:pStyle w:val="CodeParagraph"/>
              <w:keepNext/>
              <w:rPr>
                <w:rStyle w:val="Codetext"/>
              </w:rPr>
            </w:pPr>
            <w:r>
              <w:rPr>
                <w:rStyle w:val="Code"/>
              </w:rPr>
              <w:t xml:space="preserve">&lt;p&gt;&lt;pb </w:t>
            </w:r>
            <w:r>
              <w:rPr>
                <w:rStyle w:val="Codeattribute"/>
              </w:rPr>
              <w:t>n</w:t>
            </w:r>
            <w:r>
              <w:rPr>
                <w:rStyle w:val="Code"/>
              </w:rPr>
              <w:t>=</w:t>
            </w:r>
            <w:r>
              <w:rPr>
                <w:rStyle w:val="Codevalue"/>
              </w:rPr>
              <w:t>"1"</w:t>
            </w:r>
            <w:r>
              <w:rPr>
                <w:rStyle w:val="Code"/>
              </w:rPr>
              <w:t xml:space="preserve">/&gt;&lt;lb </w:t>
            </w:r>
            <w:r>
              <w:rPr>
                <w:rStyle w:val="Codeattribute"/>
              </w:rPr>
              <w:t>n</w:t>
            </w:r>
            <w:r>
              <w:rPr>
                <w:rStyle w:val="Code"/>
              </w:rPr>
              <w:t>=</w:t>
            </w:r>
            <w:r>
              <w:rPr>
                <w:rStyle w:val="Codevalue"/>
              </w:rPr>
              <w:t>"1"</w:t>
            </w:r>
            <w:r>
              <w:rPr>
                <w:rStyle w:val="Code"/>
              </w:rPr>
              <w:t>/&gt;</w:t>
            </w:r>
            <w:r>
              <w:rPr>
                <w:rStyle w:val="Codetext"/>
              </w:rPr>
              <w:t>...</w:t>
            </w:r>
          </w:p>
          <w:p w14:paraId="3D387A47"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w:t>
            </w:r>
          </w:p>
          <w:p w14:paraId="3AB7C6DE" w14:textId="77777777">
            <w:pPr>
              <w:pStyle w:val="CodeParagraph"/>
              <w:keepNext/>
              <w:rPr>
                <w:rStyle w:val="Codetext"/>
              </w:rPr>
            </w:pPr>
            <w:r>
              <w:rPr>
                <w:rStyle w:val="Codetext"/>
              </w:rPr>
              <w:t xml:space="preserve">  ...</w:t>
            </w:r>
          </w:p>
          <w:p w14:paraId="3754FAA8" w14:textId="77777777">
            <w:pPr>
              <w:pStyle w:val="CodeParagraph"/>
              <w:keepNext/>
              <w:rPr>
                <w:rStyle w:val="Codetext"/>
              </w:rPr>
            </w:pPr>
            <w:r>
              <w:rPr>
                <w:rStyle w:val="Code"/>
              </w:rPr>
              <w:t xml:space="preserve">  &lt;pb </w:t>
            </w:r>
            <w:r>
              <w:rPr>
                <w:rStyle w:val="Codeattribute"/>
              </w:rPr>
              <w:t>n</w:t>
            </w:r>
            <w:r>
              <w:rPr>
                <w:rStyle w:val="Code"/>
              </w:rPr>
              <w:t>=</w:t>
            </w:r>
            <w:r>
              <w:rPr>
                <w:rStyle w:val="Codevalue"/>
              </w:rPr>
              <w:t>"2"</w:t>
            </w:r>
            <w:r>
              <w:rPr>
                <w:rStyle w:val="Code"/>
              </w:rPr>
              <w:t xml:space="preserve">/&gt;&lt;lb </w:t>
            </w:r>
            <w:r>
              <w:rPr>
                <w:rStyle w:val="Codeattribute"/>
              </w:rPr>
              <w:t>n</w:t>
            </w:r>
            <w:r>
              <w:rPr>
                <w:rStyle w:val="Code"/>
              </w:rPr>
              <w:t>=</w:t>
            </w:r>
            <w:r>
              <w:rPr>
                <w:rStyle w:val="Codevalue"/>
              </w:rPr>
              <w:t>"11"</w:t>
            </w:r>
            <w:r>
              <w:rPr>
                <w:rStyle w:val="Code"/>
              </w:rPr>
              <w:t>/&gt;</w:t>
            </w:r>
            <w:r>
              <w:rPr>
                <w:rStyle w:val="Codetext"/>
              </w:rPr>
              <w:t>...</w:t>
            </w:r>
          </w:p>
          <w:p w14:paraId="5220C7DC" w14:textId="77777777">
            <w:pPr>
              <w:pStyle w:val="CodeParagraph"/>
              <w:keepNext/>
              <w:rPr>
                <w:rStyle w:val="Code"/>
              </w:rPr>
            </w:pPr>
            <w:r>
              <w:rPr>
                <w:rStyle w:val="Code"/>
              </w:rPr>
              <w:t xml:space="preserve">  &lt;lb </w:t>
            </w:r>
            <w:r>
              <w:rPr>
                <w:rStyle w:val="Codeattribute"/>
              </w:rPr>
              <w:t>n</w:t>
            </w:r>
            <w:r>
              <w:rPr>
                <w:rStyle w:val="Code"/>
              </w:rPr>
              <w:t>=</w:t>
            </w:r>
            <w:r>
              <w:rPr>
                <w:rStyle w:val="Codevalue"/>
              </w:rPr>
              <w:t>"12"</w:t>
            </w:r>
            <w:r>
              <w:rPr>
                <w:rStyle w:val="Code"/>
              </w:rPr>
              <w:t>/&gt;</w:t>
            </w:r>
            <w:r>
              <w:rPr>
                <w:rStyle w:val="Codetext"/>
              </w:rPr>
              <w:t>...</w:t>
            </w:r>
          </w:p>
          <w:p w14:paraId="4EA0320A" w14:textId="77777777">
            <w:pPr>
              <w:pStyle w:val="CodeParagraph"/>
              <w:keepNext/>
              <w:rPr>
                <w:rStyle w:val="Codetext"/>
              </w:rPr>
            </w:pPr>
            <w:r>
              <w:rPr>
                <w:rStyle w:val="Codetext"/>
              </w:rPr>
              <w:t xml:space="preserve">  ...</w:t>
            </w:r>
          </w:p>
          <w:p w14:paraId="72AC91C8" w14:textId="77777777">
            <w:pPr>
              <w:pStyle w:val="CodeParagraph"/>
              <w:keepNext/>
              <w:rPr>
                <w:rFonts w:ascii="Consolas" w:hAnsi="Consolas" w:cs="Consolas"/>
                <w:noProof/>
                <w:color w:val="002060"/>
                <w:shd w:val="clear" w:color="auto" w:fill="F2F2F2" w:themeFill="background1" w:themeFillShade="F2"/>
              </w:rPr>
            </w:pPr>
            <w:r>
              <w:rPr>
                <w:rStyle w:val="Code"/>
              </w:rPr>
              <w:t>&lt;/p&gt;</w:t>
            </w:r>
          </w:p>
        </w:tc>
      </w:tr>
      <w:tr w14:paraId="58F00B90" w14:textId="77777777">
        <w:trPr>
          <w:jc w:val="right"/>
        </w:trPr>
        <w:tc>
          <w:tcPr>
            <w:tcW w:w="5000" w:type="pct"/>
          </w:tcPr>
          <w:p w14:paraId="77281D11" w14:textId="77777777">
            <w:pPr>
              <w:pStyle w:val="TableNote"/>
              <w:rPr>
                <w:rStyle w:val="Code"/>
              </w:rPr>
            </w:pPr>
            <w:r>
              <w:t>compare the exhibits in §</w:t>
            </w:r>
            <w:r>
              <w:fldChar w:fldCharType="begin"/>
            </w:r>
            <w:r>
              <w:instrText xml:space="preserve"> REF _Ref225781091 \r \h </w:instrText>
            </w:r>
            <w:r>
              <w:fldChar w:fldCharType="separate"/>
            </w:r>
            <w:r>
              <w:t>4.7.4.2</w:t>
            </w:r>
            <w:r>
              <w:fldChar w:fldCharType="end"/>
            </w:r>
          </w:p>
        </w:tc>
      </w:tr>
    </w:tbl>
    <w:p w14:paraId="0BF86CDB" w14:textId="77777777">
      <w:pPr>
        <w:pStyle w:val="Lista"/>
      </w:pPr>
      <w:r>
        <w:t xml:space="preserve">to encode pagelike partitions other than genuine pages, use the empty element </w:t>
      </w:r>
      <w:r>
        <w:rPr>
          <w:rStyle w:val="Code"/>
        </w:rPr>
        <w:t>&lt;milestone/&gt;</w:t>
      </w:r>
      <w:r>
        <w:t xml:space="preserve"> as in </w:t>
      </w:r>
      <w:r>
        <w:fldChar w:fldCharType="begin"/>
      </w:r>
      <w:r>
        <w:instrText xml:space="preserve"> REF _Ref225354659 \h </w:instrText>
      </w:r>
      <w:r>
        <w:fldChar w:fldCharType="separate"/>
      </w:r>
      <w:r>
        <w:t xml:space="preserve">Exhibit </w:t>
      </w:r>
      <w:r>
        <w:rPr>
          <w:noProof/>
        </w:rPr>
        <w:t>4.4</w:t>
      </w:r>
      <w:r>
        <w:t>.</w:t>
      </w:r>
      <w:r>
        <w:rPr>
          <w:noProof/>
        </w:rPr>
        <w:t>B</w:t>
      </w:r>
      <w:r>
        <w:fldChar w:fldCharType="end"/>
      </w:r>
      <w:r>
        <w:t>, with the following attributes</w:t>
      </w:r>
    </w:p>
    <w:p w14:paraId="5474C35B" w14:textId="77777777">
      <w:pPr>
        <w:pStyle w:val="Lista2"/>
      </w:pPr>
      <w:r>
        <w:t xml:space="preserve">mandatorily, </w:t>
      </w:r>
      <w:r>
        <w:rPr>
          <w:rStyle w:val="Codeattribute"/>
        </w:rPr>
        <w:t>@type</w:t>
      </w:r>
      <w:r>
        <w:t xml:space="preserve"> with the value </w:t>
      </w:r>
      <w:r>
        <w:rPr>
          <w:rStyle w:val="Codevalue"/>
        </w:rPr>
        <w:t>"pagelike"</w:t>
      </w:r>
      <w:r>
        <w:t xml:space="preserve"> </w:t>
      </w:r>
    </w:p>
    <w:p w14:paraId="1E7763EF" w14:textId="77777777">
      <w:pPr>
        <w:pStyle w:val="Lista3"/>
      </w:pPr>
      <w:r>
        <w:t>this serves in our project to explicitly distinguish these elements from other milestones used in an edition</w:t>
      </w:r>
    </w:p>
    <w:p w14:paraId="6541948D" w14:textId="77777777">
      <w:pPr>
        <w:pStyle w:val="Lista2"/>
      </w:pPr>
      <w:r>
        <w:t xml:space="preserve">mandatorily, </w:t>
      </w:r>
      <w:r>
        <w:rPr>
          <w:rStyle w:val="Codeattribute"/>
        </w:rPr>
        <w:t>@unit</w:t>
      </w:r>
      <w:r>
        <w:t xml:space="preserve"> to encode the nature of the transition explicitly as per §</w:t>
      </w:r>
      <w:r>
        <w:fldChar w:fldCharType="begin"/>
      </w:r>
      <w:r>
        <w:instrText xml:space="preserve"> REF _Ref182815315 \r \h </w:instrText>
      </w:r>
      <w:r>
        <w:fldChar w:fldCharType="separate"/>
      </w:r>
      <w:r>
        <w:t>4.3.1</w:t>
      </w:r>
      <w:r>
        <w:fldChar w:fldCharType="end"/>
      </w:r>
    </w:p>
    <w:p w14:paraId="1FECBF10" w14:textId="77777777">
      <w:pPr>
        <w:pStyle w:val="Lista2"/>
      </w:pPr>
      <w:r>
        <w:t xml:space="preserve">mandatorily, </w:t>
      </w:r>
      <w:r>
        <w:rPr>
          <w:rStyle w:val="Codeattribute"/>
        </w:rPr>
        <w:t>@n</w:t>
      </w:r>
      <w:r>
        <w:t xml:space="preserve"> as per §</w:t>
      </w:r>
      <w:r>
        <w:fldChar w:fldCharType="begin"/>
      </w:r>
      <w:r>
        <w:instrText xml:space="preserve"> REF _Ref182318136 \r \h </w:instrText>
      </w:r>
      <w:r>
        <w:fldChar w:fldCharType="separate"/>
      </w:r>
      <w:r>
        <w:t>4.4.3.1</w:t>
      </w:r>
      <w:r>
        <w:fldChar w:fldCharType="end"/>
      </w:r>
    </w:p>
    <w:p w14:paraId="586A9A7C" w14:textId="77777777">
      <w:pPr>
        <w:pStyle w:val="Lista2"/>
      </w:pPr>
      <w:r>
        <w:t xml:space="preserve">as applicable, </w:t>
      </w:r>
      <w:r>
        <w:rPr>
          <w:rStyle w:val="Codeattribute"/>
        </w:rPr>
        <w:t>@break</w:t>
      </w:r>
      <w:r>
        <w:t xml:space="preserve"> for partitions interrupting words as per §</w:t>
      </w:r>
      <w:r>
        <w:fldChar w:fldCharType="begin"/>
      </w:r>
      <w:r>
        <w:instrText xml:space="preserve"> REF _Ref225519777 \r \h </w:instrText>
      </w:r>
      <w:r>
        <w:fldChar w:fldCharType="separate"/>
      </w:r>
      <w:r>
        <w:t>4.3.2.1</w:t>
      </w:r>
      <w:r>
        <w:fldChar w:fldCharType="end"/>
      </w:r>
    </w:p>
    <w:p w14:paraId="0CB56071" w14:textId="77777777">
      <w:pPr>
        <w:pStyle w:val="Lista"/>
      </w:pPr>
      <w:r>
        <w:rPr>
          <w:rStyle w:val="Code"/>
        </w:rPr>
        <w:t>&lt;milestone/&gt;</w:t>
      </w:r>
      <w:r>
        <w:t xml:space="preserve"> marks zone beginnings (rather than transitions) and thus, when pagelike zones are present in a document, the element must be created at the start of each such zone including the first</w:t>
      </w:r>
    </w:p>
    <w:p w14:paraId="254176EA" w14:textId="77777777">
      <w:pPr>
        <w:pStyle w:val="Lista"/>
      </w:pPr>
      <w:r>
        <w:t>good practice considerations applicable to structural milestones (§</w:t>
      </w:r>
      <w:r>
        <w:fldChar w:fldCharType="begin"/>
      </w:r>
      <w:r>
        <w:instrText xml:space="preserve"> REF _Ref225253138 \r \h </w:instrText>
      </w:r>
      <w:r>
        <w:fldChar w:fldCharType="separate"/>
      </w:r>
      <w:r>
        <w:t>4.3.3</w:t>
      </w:r>
      <w:r>
        <w:fldChar w:fldCharType="end"/>
      </w:r>
      <w:r>
        <w:t>) apply equally to pagelike partitions</w:t>
      </w:r>
    </w:p>
    <w:p w14:paraId="5B7BBAC2" w14:textId="77777777">
      <w:pPr>
        <w:pStyle w:val="Lista"/>
      </w:pPr>
      <w:r>
        <w:t>see §</w:t>
      </w:r>
      <w:r>
        <w:fldChar w:fldCharType="begin"/>
      </w:r>
      <w:r>
        <w:instrText xml:space="preserve"> REF _Ref225759789 \r \h </w:instrText>
      </w:r>
      <w:r>
        <w:fldChar w:fldCharType="separate"/>
      </w:r>
      <w:r>
        <w:t>4.7.4</w:t>
      </w:r>
      <w:r>
        <w:fldChar w:fldCharType="end"/>
      </w:r>
      <w:r>
        <w:t xml:space="preserve"> for further discussion of when pagelike zones should be used, and the Case Studies </w:t>
      </w:r>
      <w:r>
        <w:rPr>
          <w:noProof/>
        </w:rPr>
        <w:t xml:space="preserve">in </w:t>
      </w:r>
      <w:r>
        <w:rPr>
          <w:noProof/>
        </w:rPr>
        <w:fldChar w:fldCharType="begin"/>
      </w:r>
      <w:r>
        <w:rPr>
          <w:noProof/>
        </w:rPr>
        <w:instrText xml:space="preserve"> REF _Ref239844153 \r \h </w:instrText>
      </w:r>
      <w:r>
        <w:rPr>
          <w:noProof/>
        </w:rPr>
      </w:r>
      <w:r>
        <w:rPr>
          <w:noProof/>
        </w:rPr>
        <w:fldChar w:fldCharType="separate"/>
      </w:r>
      <w:r>
        <w:rPr>
          <w:noProof/>
        </w:rPr>
        <w:t>Appendix A.5</w:t>
      </w:r>
      <w:r>
        <w:rPr>
          <w:noProof/>
        </w:rPr>
        <w:fldChar w:fldCharType="end"/>
      </w:r>
      <w:r>
        <w:rPr>
          <w:noProof/>
        </w:rPr>
        <w:t xml:space="preserve"> and </w:t>
      </w:r>
      <w:r>
        <w:rPr>
          <w:noProof/>
        </w:rPr>
        <w:fldChar w:fldCharType="begin"/>
      </w:r>
      <w:r>
        <w:rPr>
          <w:noProof/>
        </w:rPr>
        <w:instrText xml:space="preserve"> REF _Ref239844156 \r \h </w:instrText>
      </w:r>
      <w:r>
        <w:rPr>
          <w:noProof/>
        </w:rPr>
      </w:r>
      <w:r>
        <w:rPr>
          <w:noProof/>
        </w:rPr>
        <w:fldChar w:fldCharType="separate"/>
      </w:r>
      <w:r>
        <w:rPr>
          <w:noProof/>
        </w:rPr>
        <w:t>Appendix A.6</w:t>
      </w:r>
      <w:r>
        <w:rPr>
          <w:noProof/>
        </w:rPr>
        <w:fldChar w:fldCharType="end"/>
      </w:r>
      <w:r>
        <w:rPr>
          <w:noProof/>
        </w:rPr>
        <w:t xml:space="preserve"> </w:t>
      </w:r>
      <w:r>
        <w:t>for more complex scenarios</w:t>
      </w:r>
    </w:p>
    <w:p w14:paraId="34B896D1" w14:textId="77777777">
      <w:pPr>
        <w:pStyle w:val="Cmsor4"/>
      </w:pPr>
      <w:bookmarkStart w:id="250" w:name="_Ref182300602"/>
      <w:bookmarkStart w:id="251" w:name="_Ref182318136"/>
      <w:r>
        <w:t>Numbering pagelike milestones</w:t>
      </w:r>
      <w:bookmarkEnd w:id="250"/>
      <w:bookmarkEnd w:id="251"/>
    </w:p>
    <w:p w14:paraId="287EB0CF" w14:textId="77777777">
      <w:pPr>
        <w:pStyle w:val="Lista"/>
      </w:pPr>
      <w:r>
        <w:t>pagelike partitions are mandatorily numbered in DHARMA editions</w:t>
      </w:r>
    </w:p>
    <w:p w14:paraId="1F51C9B8" w14:textId="77777777">
      <w:pPr>
        <w:pStyle w:val="Lista"/>
      </w:pPr>
      <w:r>
        <w:t xml:space="preserve">the values of </w:t>
      </w:r>
      <w:r>
        <w:rPr>
          <w:rStyle w:val="Codeattribute"/>
        </w:rPr>
        <w:t>@n</w:t>
      </w:r>
      <w:r>
        <w:t xml:space="preserve"> recommended for the identification of pagelike partitions other than actual pages are uppercase Latin letters beginning with “A”</w:t>
      </w:r>
    </w:p>
    <w:p w14:paraId="1FB46D7D" w14:textId="77777777">
      <w:pPr>
        <w:pStyle w:val="Lista2"/>
      </w:pPr>
      <w:r>
        <w:t>nonetheless, any numeration scheme may be used depending on your preference and the conventions of your specific field; in particular, feel free to use</w:t>
      </w:r>
    </w:p>
    <w:p w14:paraId="67D91F7C" w14:textId="77777777">
      <w:pPr>
        <w:pStyle w:val="Lista3"/>
      </w:pPr>
      <w:r>
        <w:t>the uppercase letters N, S, E, W to indicate cardinal directions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w:t>
      </w:r>
    </w:p>
    <w:p w14:paraId="0F99D867" w14:textId="77777777">
      <w:pPr>
        <w:pStyle w:val="Lista3"/>
      </w:pPr>
      <w:r>
        <w:t xml:space="preserve">lowercase letters alternating with uppercase ones to denote major/frontal and minor/lateral faces of a three-dimensional object such as a Southeast Asian stele, e.g. A, b, C and d </w:t>
      </w:r>
      <w:r>
        <w:rPr>
          <w:noProof/>
        </w:rPr>
        <w:t>(</w:t>
      </w:r>
      <w:r>
        <w:t>for faces inscribed as separate zones)</w:t>
      </w:r>
    </w:p>
    <w:p w14:paraId="1C0FA0AA" w14:textId="77777777">
      <w:pPr>
        <w:pStyle w:val="Lista4"/>
      </w:pPr>
      <w:r>
        <w:t xml:space="preserve">or pairs of such letters, Ab and Cd </w:t>
      </w:r>
      <w:r>
        <w:rPr>
          <w:noProof/>
        </w:rPr>
        <w:t>(</w:t>
      </w:r>
      <w:r>
        <w:t>where pairs of faces constitute single virtual zones)</w:t>
      </w:r>
    </w:p>
    <w:p w14:paraId="1E936AE8" w14:textId="77777777">
      <w:pPr>
        <w:pStyle w:val="Lista"/>
      </w:pPr>
      <w:r>
        <w:t>when several textpart divisions of an edition include pagelike milestones, then</w:t>
      </w:r>
    </w:p>
    <w:p w14:paraId="18791542" w14:textId="77777777">
      <w:pPr>
        <w:pStyle w:val="Lista2"/>
      </w:pPr>
      <w:r>
        <w:t xml:space="preserve">if the pagelike partitions are of the same kind (i.e. have the same </w:t>
      </w:r>
      <w:r>
        <w:rPr>
          <w:rStyle w:val="Codeattribute"/>
        </w:rPr>
        <w:t>@unit</w:t>
      </w:r>
      <w:r>
        <w:t>), then their numbering must be reset in each textpart (§</w:t>
      </w:r>
      <w:r>
        <w:fldChar w:fldCharType="begin"/>
      </w:r>
      <w:r>
        <w:instrText xml:space="preserve"> REF _Ref43986747 \r \h </w:instrText>
      </w:r>
      <w:r>
        <w:fldChar w:fldCharType="separate"/>
      </w:r>
      <w:r>
        <w:t>4.2.1.4</w:t>
      </w:r>
      <w:r>
        <w:fldChar w:fldCharType="end"/>
      </w:r>
      <w:r>
        <w:t>) unless there is a strong reason not to do so</w:t>
      </w:r>
    </w:p>
    <w:p w14:paraId="783149AF" w14:textId="77777777">
      <w:pPr>
        <w:pStyle w:val="Lista2"/>
      </w:pPr>
      <w:r>
        <w:t xml:space="preserve">if the pagelike partitions are of different kinds, it is recommended that you employ different numeration schemes for them in addition to distinguishing them by </w:t>
      </w:r>
      <w:r>
        <w:rPr>
          <w:rStyle w:val="Codeattribute"/>
        </w:rPr>
        <w:t>@unit</w:t>
      </w:r>
      <w:r>
        <w:t xml:space="preserve"> (§</w:t>
      </w:r>
      <w:r>
        <w:fldChar w:fldCharType="begin"/>
      </w:r>
      <w:r>
        <w:instrText xml:space="preserve"> REF _Ref182815315 \r \h </w:instrText>
      </w:r>
      <w:r>
        <w:fldChar w:fldCharType="separate"/>
      </w:r>
      <w:r>
        <w:t>4.3.1</w:t>
      </w:r>
      <w:r>
        <w:fldChar w:fldCharType="end"/>
      </w:r>
      <w:r>
        <w:t>)</w:t>
      </w:r>
    </w:p>
    <w:p w14:paraId="15E4AE12" w14:textId="77777777">
      <w:pPr>
        <w:pStyle w:val="Lista2"/>
      </w:pPr>
      <w:r>
        <w:t>recall from §</w:t>
      </w:r>
      <w:r>
        <w:fldChar w:fldCharType="begin"/>
      </w:r>
      <w:r>
        <w:instrText xml:space="preserve"> REF _Ref182923075 \r \h </w:instrText>
      </w:r>
      <w:r>
        <w:fldChar w:fldCharType="separate"/>
      </w:r>
      <w:r>
        <w:t>4.1</w:t>
      </w:r>
      <w:r>
        <w:fldChar w:fldCharType="end"/>
      </w:r>
      <w:r>
        <w:t xml:space="preserve"> that only one kind of pagelike partition is allowed within any single division (i.e. in the edition or in each textpart, as the case may be)</w:t>
      </w:r>
    </w:p>
    <w:p w14:paraId="00F6A6CF" w14:textId="77777777">
      <w:pPr>
        <w:pStyle w:val="Cmsor4"/>
      </w:pPr>
      <w:bookmarkStart w:id="252" w:name="_Ref182299869"/>
      <w:r>
        <w:t>Labels for pagelike milestones</w:t>
      </w:r>
      <w:bookmarkEnd w:id="252"/>
    </w:p>
    <w:p w14:paraId="116A0481" w14:textId="77777777">
      <w:pPr>
        <w:rPr>
          <w:lang w:eastAsia="en-US" w:bidi="ar-SA"/>
        </w:rPr>
      </w:pPr>
      <w:r>
        <w:t>Milestones are numbered for reference. When an XML edition is rendered for display, labels for pagelike partitions will be automatically generated from the unit and the number, as noted in the examples in this section. When these automatic headings are deemed insufficient, an optional custom label may be added to the encoding, which will replace the auto-generated label.</w:t>
      </w:r>
    </w:p>
    <w:p w14:paraId="2B3B9046" w14:textId="77777777">
      <w:pPr>
        <w:pStyle w:val="Lista"/>
      </w:pPr>
      <w:r>
        <w:t xml:space="preserve">auto-generated labels will consist of the value of </w:t>
      </w:r>
      <w:r>
        <w:rPr>
          <w:rStyle w:val="Codeattribute"/>
        </w:rPr>
        <w:t>@unit</w:t>
      </w:r>
      <w:r>
        <w:t xml:space="preserve"> (with the initial letter changed to uppercase), followed by the value of </w:t>
      </w:r>
      <w:r>
        <w:rPr>
          <w:rStyle w:val="Codeattribute"/>
        </w:rPr>
        <w:t>@n</w:t>
      </w:r>
      <w:r>
        <w:t xml:space="preserve"> (unchanged), for example as follows</w:t>
      </w:r>
    </w:p>
    <w:p w14:paraId="271A9061" w14:textId="77777777">
      <w:pPr>
        <w:pStyle w:val="Lista2"/>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t xml:space="preserve"> → “Face A” </w:t>
      </w:r>
    </w:p>
    <w:p w14:paraId="4121AB3F" w14:textId="77777777">
      <w:pPr>
        <w:pStyle w:val="Lista2"/>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"zone"</w:t>
      </w:r>
      <w:r>
        <w:rPr>
          <w:rStyle w:val="Code"/>
        </w:rPr>
        <w:t xml:space="preserve"> </w:t>
      </w:r>
      <w:r>
        <w:rPr>
          <w:rStyle w:val="Codeattribute"/>
        </w:rPr>
        <w:t>n</w:t>
      </w:r>
      <w:r>
        <w:rPr>
          <w:rStyle w:val="Code"/>
        </w:rPr>
        <w:t>=</w:t>
      </w:r>
      <w:r>
        <w:rPr>
          <w:rStyle w:val="Codevalue"/>
        </w:rPr>
        <w:t>"1"</w:t>
      </w:r>
      <w:r>
        <w:rPr>
          <w:rStyle w:val="Code"/>
        </w:rPr>
        <w:t>/&gt;</w:t>
      </w:r>
      <w:r>
        <w:t xml:space="preserve"> → “Zone 1” </w:t>
      </w:r>
    </w:p>
    <w:p w14:paraId="43B37574" w14:textId="77777777">
      <w:pPr>
        <w:pStyle w:val="Lista"/>
      </w:pPr>
      <w:r>
        <w:lastRenderedPageBreak/>
        <w:t xml:space="preserve">to add flexibility to the titling displayed for pagelike partitions, use the optional element </w:t>
      </w:r>
      <w:r>
        <w:rPr>
          <w:rStyle w:val="Code"/>
        </w:rPr>
        <w:t xml:space="preserve">&lt;label </w:t>
      </w:r>
      <w:r>
        <w:rPr>
          <w:rStyle w:val="Codeattribute"/>
        </w:rPr>
        <w:t>xml:lang</w:t>
      </w:r>
      <w:r>
        <w:rPr>
          <w:rStyle w:val="Code"/>
        </w:rPr>
        <w:t>=</w:t>
      </w:r>
      <w:r>
        <w:rPr>
          <w:rStyle w:val="Codevalue"/>
        </w:rPr>
        <w:t>"eng"</w:t>
      </w:r>
      <w:r>
        <w:rPr>
          <w:rStyle w:val="Code"/>
        </w:rPr>
        <w:t>&gt;</w:t>
      </w:r>
      <w:r>
        <w:t xml:space="preserve"> immediately after the </w:t>
      </w:r>
      <w:r>
        <w:rPr>
          <w:rStyle w:val="Code"/>
        </w:rPr>
        <w:t>&lt;milestone/&gt;</w:t>
      </w:r>
      <w:r>
        <w:t xml:space="preserve"> element</w:t>
      </w:r>
    </w:p>
    <w:p w14:paraId="56ADB1F7" w14:textId="77777777">
      <w:pPr>
        <w:pStyle w:val="Lista2"/>
      </w:pPr>
      <w:r>
        <w:t>such elements in our editions will by default be regarded as editorial and therefore need not be marked up explicitly as such; the mandatory language attribute (§</w:t>
      </w:r>
      <w:r>
        <w:fldChar w:fldCharType="begin"/>
      </w:r>
      <w:r>
        <w:instrText xml:space="preserve"> REF _Ref233727317 \r \h </w:instrText>
      </w:r>
      <w:r>
        <w:fldChar w:fldCharType="separate"/>
      </w:r>
      <w:r>
        <w:t>14.4.1</w:t>
      </w:r>
      <w:r>
        <w:fldChar w:fldCharType="end"/>
      </w:r>
      <w:r>
        <w:t>) makes it sufficiently clear that their content is not part of the original text</w:t>
      </w:r>
    </w:p>
    <w:p w14:paraId="60912DDD" w14:textId="77777777">
      <w:pPr>
        <w:pStyle w:val="Lista2"/>
      </w:pPr>
      <w:r>
        <w:t xml:space="preserve">only add labels to zones if you find that the combination of </w:t>
      </w:r>
      <w:r>
        <w:rPr>
          <w:rStyle w:val="Codeattribute"/>
        </w:rPr>
        <w:t>@unit</w:t>
      </w:r>
      <w:r>
        <w:t xml:space="preserve"> and </w:t>
      </w:r>
      <w:r>
        <w:rPr>
          <w:rStyle w:val="Codeattribute"/>
        </w:rPr>
        <w:t>@n</w:t>
      </w:r>
      <w:r>
        <w:t xml:space="preserve"> cannot produce a sufficiently meaningful title; complex details such as the size and relative position of zones should be annotated, not encoded within the edition</w:t>
      </w:r>
    </w:p>
    <w:p w14:paraId="3C996F05" w14:textId="77777777">
      <w:pPr>
        <w:pStyle w:val="Lista2"/>
      </w:pPr>
      <w:r>
        <w:t>for the sake of consistency it is recommended that you stick to concise labels in English</w:t>
      </w:r>
    </w:p>
    <w:p w14:paraId="6544F6B2" w14:textId="77777777">
      <w:pPr>
        <w:pStyle w:val="Lista2"/>
      </w:pPr>
      <w:r>
        <w:t xml:space="preserve">see </w:t>
      </w:r>
      <w:r>
        <w:fldChar w:fldCharType="begin"/>
      </w:r>
      <w:r>
        <w:instrText xml:space="preserve"> REF _Ref44078459 \h </w:instrText>
      </w:r>
      <w:r>
        <w:fldChar w:fldCharType="separate"/>
      </w:r>
      <w:r>
        <w:t xml:space="preserve">Exhibit </w:t>
      </w:r>
      <w:r>
        <w:rPr>
          <w:noProof/>
        </w:rPr>
        <w:t>4.4</w:t>
      </w:r>
      <w:r>
        <w:t>.</w:t>
      </w:r>
      <w:r>
        <w:rPr>
          <w:noProof/>
        </w:rPr>
        <w:t>C</w:t>
      </w:r>
      <w:r>
        <w:fldChar w:fldCharType="end"/>
      </w:r>
      <w:r>
        <w:t xml:space="preserve"> for an illustration</w:t>
      </w:r>
    </w:p>
    <w:p w14:paraId="21B8E960" w14:textId="77777777">
      <w:pPr>
        <w:pStyle w:val="Lista"/>
      </w:pPr>
      <w:r>
        <w:t xml:space="preserve">although the content of editorial labels will replace the title auto-generated from </w:t>
      </w:r>
      <w:r>
        <w:rPr>
          <w:rStyle w:val="Codeattribute"/>
        </w:rPr>
        <w:t>@unit</w:t>
      </w:r>
      <w:r>
        <w:t xml:space="preserve"> and </w:t>
      </w:r>
      <w:r>
        <w:rPr>
          <w:rStyle w:val="Codeattribute"/>
        </w:rPr>
        <w:t>@n</w:t>
      </w:r>
      <w:r>
        <w:t xml:space="preserve"> in display, the use of the attributes </w:t>
      </w:r>
      <w:r>
        <w:rPr>
          <w:rStyle w:val="Codeattribute"/>
        </w:rPr>
        <w:t>@unit</w:t>
      </w:r>
      <w:r>
        <w:t xml:space="preserve"> and </w:t>
      </w:r>
      <w:r>
        <w:rPr>
          <w:rStyle w:val="Codeattribute"/>
        </w:rPr>
        <w:t>@n</w:t>
      </w:r>
      <w:r>
        <w:t xml:space="preserve"> on the </w:t>
      </w:r>
      <w:r>
        <w:rPr>
          <w:rStyle w:val="Code"/>
        </w:rPr>
        <w:t>&lt;milestone/&gt;</w:t>
      </w:r>
      <w:r>
        <w:t xml:space="preserve"> element remains mandatory even if a </w:t>
      </w:r>
      <w:r>
        <w:rPr>
          <w:rStyle w:val="Code"/>
        </w:rPr>
        <w:t>&lt;label&gt;</w:t>
      </w:r>
      <w:r>
        <w:t xml:space="preserve"> is present</w:t>
      </w:r>
    </w:p>
    <w:p w14:paraId="4DDDD221" w14:textId="77777777">
      <w:pPr>
        <w:pStyle w:val="Lista"/>
      </w:pPr>
      <w:r>
        <w:t>the contents of the label will not be altered in display, so</w:t>
      </w:r>
    </w:p>
    <w:p w14:paraId="51D3160D" w14:textId="77777777">
      <w:pPr>
        <w:pStyle w:val="Lista2"/>
      </w:pPr>
      <w:bookmarkStart w:id="253" w:name="_h6lmsgu4umfd" w:colFirst="0" w:colLast="0"/>
      <w:bookmarkEnd w:id="253"/>
      <w:r>
        <w:t>use a capital initial and feel free to include spaces, additional capitals and punctuation as necessary</w:t>
      </w:r>
    </w:p>
    <w:p w14:paraId="23AD7200" w14:textId="5478489F">
      <w:pPr>
        <w:pStyle w:val="Lista2"/>
      </w:pPr>
      <w:r>
        <w:t xml:space="preserve">however, to avoid complications, do not use any further markup within this element, except the element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which you may employ if you deem necessary</w:t>
      </w:r>
    </w:p>
    <w:tbl>
      <w:tblPr>
        <w:tblStyle w:val="CodeSampleTable"/>
        <w:tblW w:w="0" w:type="auto"/>
        <w:tblLook w:val="04A0" w:firstRow="1" w:lastRow="0" w:firstColumn="1" w:lastColumn="0" w:noHBand="0" w:noVBand="1"/>
      </w:tblPr>
      <w:tblGrid>
        <w:gridCol w:w="9054"/>
      </w:tblGrid>
      <w:tr w14:paraId="73D3F2E1" w14:textId="77777777">
        <w:trPr>
          <w:cnfStyle w:val="100000000000" w:firstRow="1" w:lastRow="0" w:firstColumn="0" w:lastColumn="0" w:oddVBand="0" w:evenVBand="0" w:oddHBand="0" w:evenHBand="0" w:firstRowFirstColumn="0" w:firstRowLastColumn="0" w:lastRowFirstColumn="0" w:lastRowLastColumn="0"/>
        </w:trPr>
        <w:tc>
          <w:tcPr>
            <w:tcW w:w="9054" w:type="dxa"/>
          </w:tcPr>
          <w:p w14:paraId="4FFB3959" w14:textId="77777777">
            <w:pPr>
              <w:pStyle w:val="Kpalrs"/>
            </w:pPr>
            <w:bookmarkStart w:id="254" w:name="_Ref44078459"/>
            <w:bookmarkStart w:id="255" w:name="_Ref182300601"/>
            <w:bookmarkStart w:id="256" w:name="_Ref182300603"/>
            <w:r>
              <w:t xml:space="preserve">Exhibit </w:t>
            </w:r>
            <w:fldSimple w:instr=" STYLEREF 2 \s ">
              <w:r>
                <w:rPr>
                  <w:noProof/>
                </w:rPr>
                <w:t>4.4</w:t>
              </w:r>
            </w:fldSimple>
            <w:r>
              <w:t>.</w:t>
            </w:r>
            <w:fldSimple w:instr=" SEQ Exhibit \* ALPHABETIC \s 2 ">
              <w:r>
                <w:rPr>
                  <w:noProof/>
                </w:rPr>
                <w:t>C</w:t>
              </w:r>
            </w:fldSimple>
            <w:bookmarkEnd w:id="254"/>
            <w:r>
              <w:t>: two doorjambs as a pagelike partition with custom headings</w:t>
            </w:r>
          </w:p>
        </w:tc>
      </w:tr>
      <w:tr w14:paraId="732F4A6F" w14:textId="77777777">
        <w:tc>
          <w:tcPr>
            <w:tcW w:w="9054" w:type="dxa"/>
          </w:tcPr>
          <w:p w14:paraId="2519A2FE" w14:textId="77777777">
            <w:pPr>
              <w:pStyle w:val="CodeParagraph"/>
              <w:keepNext/>
              <w:rPr>
                <w:rStyle w:val="Codetext"/>
              </w:rPr>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"N"</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Northern Doorjamb</w:t>
            </w:r>
            <w:r>
              <w:rPr>
                <w:rStyle w:val="Code"/>
              </w:rPr>
              <w:t>&lt;/label&gt;</w:t>
            </w:r>
            <w:r>
              <w:rPr>
                <w:rStyle w:val="Codetext"/>
              </w:rPr>
              <w:t>...</w:t>
            </w:r>
          </w:p>
          <w:p w14:paraId="638EAA7C" w14:textId="77777777">
            <w:pPr>
              <w:pStyle w:val="CodeParagraph"/>
              <w:keepNext/>
            </w:pP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"S"</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Southern Doorjamb</w:t>
            </w:r>
            <w:r>
              <w:rPr>
                <w:rStyle w:val="Code"/>
              </w:rPr>
              <w:t>&lt;/label&gt;</w:t>
            </w:r>
            <w:r>
              <w:rPr>
                <w:rStyle w:val="Codetext"/>
              </w:rPr>
              <w:t>...</w:t>
            </w:r>
          </w:p>
        </w:tc>
      </w:tr>
      <w:tr w14:paraId="692192E5" w14:textId="77777777">
        <w:tc>
          <w:tcPr>
            <w:tcW w:w="9054" w:type="dxa"/>
          </w:tcPr>
          <w:p w14:paraId="78477A09" w14:textId="77777777">
            <w:pPr>
              <w:pStyle w:val="TableNote"/>
              <w:rPr>
                <w:rStyle w:val="Code"/>
              </w:rPr>
            </w:pPr>
            <w:r>
              <w:t>explicitly encoded headings will show “Northern Doorjamb” and “Southern Doorjamb”</w:t>
            </w:r>
          </w:p>
        </w:tc>
      </w:tr>
    </w:tbl>
    <w:p w14:paraId="3EEEB79C" w14:textId="77777777">
      <w:pPr>
        <w:pStyle w:val="Cmsor3"/>
      </w:pPr>
      <w:bookmarkStart w:id="257" w:name="_tezue83pb823" w:colFirst="0" w:colLast="0"/>
      <w:bookmarkStart w:id="258" w:name="_Ref43986994"/>
      <w:bookmarkStart w:id="259" w:name="_Toc243900271"/>
      <w:bookmarkEnd w:id="255"/>
      <w:bookmarkEnd w:id="256"/>
      <w:bookmarkEnd w:id="257"/>
      <w:r>
        <w:t>Numbered elements in pagelike partitions</w:t>
      </w:r>
      <w:bookmarkEnd w:id="258"/>
      <w:bookmarkEnd w:id="259"/>
    </w:p>
    <w:p w14:paraId="6706C458" w14:textId="77777777">
      <w:pPr>
        <w:pStyle w:val="Lista"/>
      </w:pPr>
      <w:r>
        <w:t>as set out under §</w:t>
      </w:r>
      <w:r>
        <w:fldChar w:fldCharType="begin"/>
      </w:r>
      <w:r>
        <w:instrText xml:space="preserve"> REF _Ref225761016 \r \h </w:instrText>
      </w:r>
      <w:r>
        <w:fldChar w:fldCharType="separate"/>
      </w:r>
      <w:r>
        <w:t>4.5.2</w:t>
      </w:r>
      <w:r>
        <w:fldChar w:fldCharType="end"/>
      </w:r>
      <w:r>
        <w:t>, physical line numbering may be either</w:t>
      </w:r>
    </w:p>
    <w:p w14:paraId="09A75AA9" w14:textId="77777777">
      <w:pPr>
        <w:pStyle w:val="Lista2"/>
      </w:pPr>
      <w:r>
        <w:t>consecutive throughout successive pagelike partitions, or</w:t>
      </w:r>
    </w:p>
    <w:p w14:paraId="744DAE14" w14:textId="77777777">
      <w:pPr>
        <w:pStyle w:val="Lista2"/>
      </w:pPr>
      <w:r>
        <w:t>restarted in each pagelike partition, provided that complex line numbers are used, which incorporate the number of the page or zone</w:t>
      </w:r>
    </w:p>
    <w:p w14:paraId="631C274E" w14:textId="77777777">
      <w:pPr>
        <w:pStyle w:val="Lista"/>
      </w:pPr>
      <w:r>
        <w:t>the numeration of any other numbered elements must ignore pagelike partitions, i.e. continue consecutively through each such partition</w:t>
      </w:r>
    </w:p>
    <w:p w14:paraId="4A1CC6DC" w14:textId="77777777">
      <w:pPr>
        <w:pStyle w:val="Lista2"/>
      </w:pPr>
      <w:r>
        <w:t>this explicitly includes stanzas, whose numbering is normally reset in boxlike partitions, but never after a pagelike partition</w:t>
      </w:r>
    </w:p>
    <w:p w14:paraId="4D05B280" w14:textId="77777777">
      <w:pPr>
        <w:pStyle w:val="Cmsor2"/>
      </w:pPr>
      <w:bookmarkStart w:id="260" w:name="_Ref224720139"/>
      <w:bookmarkStart w:id="261" w:name="_Ref224720155"/>
      <w:bookmarkStart w:id="262" w:name="_Toc243900272"/>
      <w:r>
        <w:t>Physical lines</w:t>
      </w:r>
      <w:bookmarkEnd w:id="202"/>
      <w:bookmarkEnd w:id="203"/>
      <w:bookmarkEnd w:id="204"/>
      <w:bookmarkEnd w:id="205"/>
      <w:bookmarkEnd w:id="206"/>
      <w:bookmarkEnd w:id="260"/>
      <w:bookmarkEnd w:id="261"/>
      <w:bookmarkEnd w:id="262"/>
    </w:p>
    <w:p w14:paraId="30B8DD55" w14:textId="2586E7BC">
      <w:r>
        <w:t xml:space="preserve">To make the distinction from verse lines </w:t>
      </w:r>
      <w:r>
        <w:rPr>
          <w:noProof/>
        </w:rPr>
        <w:t>(§</w:t>
      </w:r>
      <w:r>
        <w:rPr>
          <w:noProof/>
        </w:rPr>
        <w:fldChar w:fldCharType="begin"/>
      </w:r>
      <w:r>
        <w:rPr>
          <w:noProof/>
        </w:rPr>
        <w:instrText xml:space="preserve"> REF _Ref224740501 \r \h </w:instrText>
      </w:r>
      <w:r>
        <w:rPr>
          <w:noProof/>
        </w:rPr>
      </w:r>
      <w:r>
        <w:rPr>
          <w:noProof/>
        </w:rPr>
        <w:fldChar w:fldCharType="separate"/>
      </w:r>
      <w:r>
        <w:rPr>
          <w:noProof/>
        </w:rPr>
        <w:t>3.2.2</w:t>
      </w:r>
      <w:r>
        <w:rPr>
          <w:noProof/>
        </w:rPr>
        <w:fldChar w:fldCharType="end"/>
      </w:r>
      <w:r>
        <w:t xml:space="preserve">) explicit, inscribed lines are referred to in this guide as </w:t>
      </w:r>
      <w:r>
        <w:rPr>
          <w:i/>
          <w:iCs/>
        </w:rPr>
        <w:t>epigraphic lines</w:t>
      </w:r>
      <w:r>
        <w:t xml:space="preserve"> or </w:t>
      </w:r>
      <w:r>
        <w:rPr>
          <w:i/>
          <w:iCs/>
        </w:rPr>
        <w:t>physical lines</w:t>
      </w:r>
      <w:r>
        <w:t xml:space="preserve"> where ambiguity is possible. The beginning of each epigraphic line must always be marked up within the edition. For the purpose of encoding in our project, we define a physical line as a stretch of text whose glyphs comprise a spatially and textually contiguous sequence while being spatially distinct from glyphs belonging to other lines.</w:t>
      </w:r>
    </w:p>
    <w:tbl>
      <w:tblPr>
        <w:tblStyle w:val="FigureTable"/>
        <w:tblW w:w="0" w:type="auto"/>
        <w:tblLook w:val="04A0" w:firstRow="1" w:lastRow="0" w:firstColumn="1" w:lastColumn="0" w:noHBand="0" w:noVBand="1"/>
      </w:tblPr>
      <w:tblGrid>
        <w:gridCol w:w="9628"/>
      </w:tblGrid>
      <w:tr w14:paraId="5ED86995"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3F0FDE85" w14:textId="77777777">
            <w:pPr>
              <w:pStyle w:val="Kpalrs"/>
            </w:pPr>
            <w:bookmarkStart w:id="263" w:name="_Ref225427746"/>
            <w:r>
              <w:lastRenderedPageBreak/>
              <w:t xml:space="preserve">Exhibit </w:t>
            </w:r>
            <w:fldSimple w:instr=" STYLEREF 2 \s ">
              <w:r>
                <w:rPr>
                  <w:noProof/>
                </w:rPr>
                <w:t>4.5</w:t>
              </w:r>
            </w:fldSimple>
            <w:r>
              <w:t>.</w:t>
            </w:r>
            <w:fldSimple w:instr=" SEQ Exhibit \* ALPHABETIC \s 2 ">
              <w:r>
                <w:rPr>
                  <w:noProof/>
                </w:rPr>
                <w:t>A</w:t>
              </w:r>
            </w:fldSimple>
            <w:bookmarkEnd w:id="263"/>
            <w:r>
              <w:t>. A tidy inscription</w:t>
            </w:r>
          </w:p>
        </w:tc>
      </w:tr>
      <w:tr w14:paraId="482756F3" w14:textId="77777777">
        <w:tc>
          <w:tcPr>
            <w:tcW w:w="9628" w:type="dxa"/>
          </w:tcPr>
          <w:p w14:paraId="2F576E18" w14:textId="77777777">
            <w:pPr>
              <w:pStyle w:val="Image"/>
            </w:pPr>
            <w:r>
              <w:drawing>
                <wp:inline distT="0" distB="0" distL="0" distR="0" wp14:anchorId="577B72C4" wp14:editId="35EE9BB3">
                  <wp:extent cx="5400000" cy="1483200"/>
                  <wp:effectExtent l="0" t="0" r="0" b="3175"/>
                  <wp:docPr id="16"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pic:cNvPicPr/>
                        </pic:nvPicPr>
                        <pic:blipFill>
                          <a:blip r:embed="rId18"/>
                          <a:stretch>
                            <a:fillRect/>
                          </a:stretch>
                        </pic:blipFill>
                        <pic:spPr>
                          <a:xfrm>
                            <a:off x="0" y="0"/>
                            <a:ext cx="5400000" cy="1483200"/>
                          </a:xfrm>
                          <a:prstGeom prst="rect">
                            <a:avLst/>
                          </a:prstGeom>
                          <a:ln/>
                        </pic:spPr>
                      </pic:pic>
                    </a:graphicData>
                  </a:graphic>
                </wp:inline>
              </w:drawing>
            </w:r>
          </w:p>
        </w:tc>
      </w:tr>
    </w:tbl>
    <w:p w14:paraId="280503D9" w14:textId="77777777">
      <w:r>
        <w:t>This definition includes no presumptions concerning a line’s</w:t>
      </w:r>
    </w:p>
    <w:p w14:paraId="63715EBE" w14:textId="77777777">
      <w:pPr>
        <w:pStyle w:val="Lista"/>
      </w:pPr>
      <w:r>
        <w:t xml:space="preserve">position </w:t>
      </w:r>
      <w:r>
        <w:rPr>
          <w:noProof/>
        </w:rPr>
        <w:t>(</w:t>
      </w:r>
      <w:r>
        <w:t>some lines of a text may be set off from other lines; see §</w:t>
      </w:r>
      <w:r>
        <w:fldChar w:fldCharType="begin"/>
      </w:r>
      <w:r>
        <w:instrText xml:space="preserve"> REF _Ref43978135 \r \h </w:instrText>
      </w:r>
      <w:r>
        <w:fldChar w:fldCharType="separate"/>
      </w:r>
      <w:r>
        <w:t>4.7.1.1</w:t>
      </w:r>
      <w:r>
        <w:fldChar w:fldCharType="end"/>
      </w:r>
      <w:r>
        <w:t xml:space="preserve"> and §</w:t>
      </w:r>
      <w:r>
        <w:fldChar w:fldCharType="begin"/>
      </w:r>
      <w:r>
        <w:instrText xml:space="preserve"> REF _Ref182233273 \r \h </w:instrText>
      </w:r>
      <w:r>
        <w:fldChar w:fldCharType="separate"/>
      </w:r>
      <w:r>
        <w:t>4.7.1.2</w:t>
      </w:r>
      <w:r>
        <w:fldChar w:fldCharType="end"/>
      </w:r>
      <w:r>
        <w:t xml:space="preserve"> for specific cases)</w:t>
      </w:r>
    </w:p>
    <w:p w14:paraId="0F4C80BC" w14:textId="77777777">
      <w:pPr>
        <w:pStyle w:val="Lista"/>
      </w:pPr>
      <w:r>
        <w:t xml:space="preserve">directionality </w:t>
      </w:r>
      <w:r>
        <w:rPr>
          <w:noProof/>
        </w:rPr>
        <w:t>(</w:t>
      </w:r>
      <w:r>
        <w:t>e.g. some lines run right to left while others run left to right; see §</w:t>
      </w:r>
      <w:r>
        <w:fldChar w:fldCharType="begin"/>
      </w:r>
      <w:r>
        <w:instrText xml:space="preserve"> REF _Ref43984782 \w \h  \* MERGEFORMAT </w:instrText>
      </w:r>
      <w:r>
        <w:fldChar w:fldCharType="separate"/>
      </w:r>
      <w:r>
        <w:t>8.5.2</w:t>
      </w:r>
      <w:r>
        <w:fldChar w:fldCharType="end"/>
      </w:r>
      <w:r>
        <w:t>)</w:t>
      </w:r>
    </w:p>
    <w:p w14:paraId="04F35A62" w14:textId="77777777">
      <w:pPr>
        <w:pStyle w:val="Lista"/>
      </w:pPr>
      <w:r>
        <w:t xml:space="preserve">orientation </w:t>
      </w:r>
      <w:r>
        <w:rPr>
          <w:noProof/>
        </w:rPr>
        <w:t>(</w:t>
      </w:r>
      <w:r>
        <w:t>e.g. some lines may be vertical while others are horizontal; see §</w:t>
      </w:r>
      <w:r>
        <w:fldChar w:fldCharType="begin"/>
      </w:r>
      <w:r>
        <w:instrText xml:space="preserve"> REF _Ref43984782 \w \h  \* MERGEFORMAT </w:instrText>
      </w:r>
      <w:r>
        <w:fldChar w:fldCharType="separate"/>
      </w:r>
      <w:r>
        <w:t>8.5.2</w:t>
      </w:r>
      <w:r>
        <w:fldChar w:fldCharType="end"/>
      </w:r>
      <w:r>
        <w:t>)</w:t>
      </w:r>
    </w:p>
    <w:p w14:paraId="06DF09EB" w14:textId="77777777">
      <w:pPr>
        <w:pStyle w:val="Lista"/>
      </w:pPr>
      <w:r>
        <w:t xml:space="preserve">shape </w:t>
      </w:r>
      <w:r>
        <w:rPr>
          <w:noProof/>
        </w:rPr>
        <w:t>(</w:t>
      </w:r>
      <w:r>
        <w:t>lines may bend in various ways to follow an uneven surface, or the ends of certain lines may bend upward or downward to accommodate extra glyphs before the margin or the edge of the support)</w:t>
      </w:r>
    </w:p>
    <w:p w14:paraId="358C2535" w14:textId="77777777"/>
    <w:p w14:paraId="251196C8" w14:textId="4374E752">
      <w:r>
        <w:t xml:space="preserve">The concrete topology of the inscription is, however, irrelevant, so the tidy slab in </w:t>
      </w:r>
      <w:r>
        <w:fldChar w:fldCharType="begin"/>
      </w:r>
      <w:r>
        <w:instrText xml:space="preserve"> REF _Ref225427746 \h </w:instrText>
      </w:r>
      <w:r>
        <w:fldChar w:fldCharType="separate"/>
      </w:r>
      <w:r>
        <w:t xml:space="preserve">Exhibit </w:t>
      </w:r>
      <w:r>
        <w:rPr>
          <w:noProof/>
        </w:rPr>
        <w:t>4.5</w:t>
      </w:r>
      <w:r>
        <w:t>.</w:t>
      </w:r>
      <w:r>
        <w:rPr>
          <w:noProof/>
        </w:rPr>
        <w:t>A</w:t>
      </w:r>
      <w:r>
        <w:fldChar w:fldCharType="end"/>
      </w:r>
      <w:r>
        <w:t xml:space="preserve"> and the untidy boulder in </w:t>
      </w:r>
      <w:r>
        <w:fldChar w:fldCharType="begin"/>
      </w:r>
      <w:r>
        <w:instrText xml:space="preserve"> REF _Ref225427753 \h </w:instrText>
      </w:r>
      <w:r>
        <w:fldChar w:fldCharType="separate"/>
      </w:r>
      <w:r>
        <w:t xml:space="preserve">Exhibit </w:t>
      </w:r>
      <w:r>
        <w:rPr>
          <w:noProof/>
        </w:rPr>
        <w:t>4.5</w:t>
      </w:r>
      <w:r>
        <w:t>.</w:t>
      </w:r>
      <w:r>
        <w:rPr>
          <w:noProof/>
        </w:rPr>
        <w:t>B</w:t>
      </w:r>
      <w:r>
        <w:fldChar w:fldCharType="end"/>
      </w:r>
      <w:r>
        <w:t xml:space="preserve"> are encoded in the same manner, differing only in the number of lines. The arrangement of lines can be annotated as needed, but not encoded in the edition except for some basic layout features, which will be discussed in §</w:t>
      </w:r>
      <w:r>
        <w:fldChar w:fldCharType="begin"/>
      </w:r>
      <w:r>
        <w:instrText xml:space="preserve"> REF _Ref225428243 \r \h </w:instrText>
      </w:r>
      <w:r>
        <w:fldChar w:fldCharType="separate"/>
      </w:r>
      <w:r>
        <w:t>8.2.2</w:t>
      </w:r>
      <w:r>
        <w:fldChar w:fldCharType="end"/>
      </w:r>
      <w:r>
        <w:t>.</w:t>
      </w:r>
    </w:p>
    <w:tbl>
      <w:tblPr>
        <w:tblStyle w:val="FigureTable"/>
        <w:tblW w:w="0" w:type="auto"/>
        <w:tblLook w:val="04A0" w:firstRow="1" w:lastRow="0" w:firstColumn="1" w:lastColumn="0" w:noHBand="0" w:noVBand="1"/>
      </w:tblPr>
      <w:tblGrid>
        <w:gridCol w:w="9628"/>
      </w:tblGrid>
      <w:tr w14:paraId="51703776" w14:textId="77777777">
        <w:trPr>
          <w:cnfStyle w:val="100000000000" w:firstRow="1" w:lastRow="0" w:firstColumn="0" w:lastColumn="0" w:oddVBand="0" w:evenVBand="0" w:oddHBand="0" w:evenHBand="0" w:firstRowFirstColumn="0" w:firstRowLastColumn="0" w:lastRowFirstColumn="0" w:lastRowLastColumn="0"/>
        </w:trPr>
        <w:tc>
          <w:tcPr>
            <w:tcW w:w="9628" w:type="dxa"/>
          </w:tcPr>
          <w:p w14:paraId="2ED2360C" w14:textId="77777777">
            <w:pPr>
              <w:pStyle w:val="Kpalrs"/>
            </w:pPr>
            <w:bookmarkStart w:id="264" w:name="_Ref225427753"/>
            <w:r>
              <w:t xml:space="preserve">Exhibit </w:t>
            </w:r>
            <w:fldSimple w:instr=" STYLEREF 2 \s ">
              <w:r>
                <w:rPr>
                  <w:noProof/>
                </w:rPr>
                <w:t>4.5</w:t>
              </w:r>
            </w:fldSimple>
            <w:r>
              <w:t>.</w:t>
            </w:r>
            <w:fldSimple w:instr=" SEQ Exhibit \* ALPHABETIC \s 2 ">
              <w:r>
                <w:rPr>
                  <w:noProof/>
                </w:rPr>
                <w:t>B</w:t>
              </w:r>
            </w:fldSimple>
            <w:bookmarkEnd w:id="264"/>
            <w:r>
              <w:t>. An untidy inscription</w:t>
            </w:r>
          </w:p>
        </w:tc>
      </w:tr>
      <w:tr w14:paraId="4F9E6E81" w14:textId="77777777">
        <w:tc>
          <w:tcPr>
            <w:tcW w:w="9628" w:type="dxa"/>
          </w:tcPr>
          <w:p w14:paraId="590C802F" w14:textId="77777777">
            <w:pPr>
              <w:pStyle w:val="Image"/>
            </w:pPr>
            <w:r>
              <w:drawing>
                <wp:inline distT="0" distB="0" distL="0" distR="0" wp14:anchorId="1DD7FB58" wp14:editId="01D2263B">
                  <wp:extent cx="5398770" cy="1945640"/>
                  <wp:effectExtent l="0" t="0" r="0" b="0"/>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8770" cy="1945640"/>
                          </a:xfrm>
                          <a:prstGeom prst="rect">
                            <a:avLst/>
                          </a:prstGeom>
                          <a:noFill/>
                          <a:ln>
                            <a:noFill/>
                          </a:ln>
                        </pic:spPr>
                      </pic:pic>
                    </a:graphicData>
                  </a:graphic>
                </wp:inline>
              </w:drawing>
            </w:r>
          </w:p>
        </w:tc>
      </w:tr>
    </w:tbl>
    <w:p w14:paraId="497D7C9B" w14:textId="77777777">
      <w:pPr>
        <w:pStyle w:val="Cmsor3"/>
      </w:pPr>
      <w:bookmarkStart w:id="265" w:name="_xui16zrp0wzt" w:colFirst="0" w:colLast="0"/>
      <w:bookmarkStart w:id="266" w:name="_Ref43980100"/>
      <w:bookmarkStart w:id="267" w:name="_Toc243900273"/>
      <w:bookmarkEnd w:id="265"/>
      <w:r>
        <w:t>Marking up line beginnings</w:t>
      </w:r>
      <w:bookmarkEnd w:id="266"/>
      <w:bookmarkEnd w:id="267"/>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2DEA86F8"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6E221E1F" w14:textId="77777777">
            <w:pPr>
              <w:pStyle w:val="Kpalrs"/>
              <w:keepLines/>
            </w:pPr>
            <w:bookmarkStart w:id="268" w:name="_Ref225428834"/>
            <w:r>
              <w:t xml:space="preserve">Exhibit </w:t>
            </w:r>
            <w:fldSimple w:instr=" STYLEREF 2 \s ">
              <w:r>
                <w:rPr>
                  <w:noProof/>
                </w:rPr>
                <w:t>4.5</w:t>
              </w:r>
            </w:fldSimple>
            <w:r>
              <w:t>.</w:t>
            </w:r>
            <w:fldSimple w:instr=" SEQ Exhibit \* ALPHABETIC \s 2 ">
              <w:r>
                <w:rPr>
                  <w:noProof/>
                </w:rPr>
                <w:t>C</w:t>
              </w:r>
            </w:fldSimple>
            <w:bookmarkEnd w:id="268"/>
            <w:r>
              <w:t>: generic encoding for line beginnings</w:t>
            </w:r>
          </w:p>
        </w:tc>
      </w:tr>
      <w:tr w14:paraId="143DF6BE" w14:textId="77777777">
        <w:trPr>
          <w:jc w:val="right"/>
        </w:trPr>
        <w:tc>
          <w:tcPr>
            <w:tcW w:w="5000" w:type="pct"/>
          </w:tcPr>
          <w:p w14:paraId="1948ADBD" w14:textId="77777777">
            <w:pPr>
              <w:pStyle w:val="Image"/>
            </w:pPr>
            <w:r>
              <w:drawing>
                <wp:inline distT="0" distB="0" distL="0" distR="0" wp14:anchorId="76114EF1" wp14:editId="110E6586">
                  <wp:extent cx="2700000" cy="741600"/>
                  <wp:effectExtent l="0" t="0" r="5715" b="1905"/>
                  <wp:docPr id="20"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8.png"/>
                          <pic:cNvPicPr/>
                        </pic:nvPicPr>
                        <pic:blipFill>
                          <a:blip r:embed="rId18"/>
                          <a:stretch>
                            <a:fillRect/>
                          </a:stretch>
                        </pic:blipFill>
                        <pic:spPr>
                          <a:xfrm>
                            <a:off x="0" y="0"/>
                            <a:ext cx="2700000" cy="741600"/>
                          </a:xfrm>
                          <a:prstGeom prst="rect">
                            <a:avLst/>
                          </a:prstGeom>
                          <a:ln/>
                        </pic:spPr>
                      </pic:pic>
                    </a:graphicData>
                  </a:graphic>
                </wp:inline>
              </w:drawing>
            </w:r>
          </w:p>
        </w:tc>
      </w:tr>
      <w:tr w14:paraId="23ABEEED" w14:textId="77777777">
        <w:trPr>
          <w:jc w:val="right"/>
        </w:trPr>
        <w:tc>
          <w:tcPr>
            <w:tcW w:w="5000" w:type="pct"/>
          </w:tcPr>
          <w:p w14:paraId="282F8AA7" w14:textId="77777777">
            <w:pPr>
              <w:pStyle w:val="CodeParagraph"/>
              <w:keepNext/>
              <w:rPr>
                <w:rStyle w:val="Codetext"/>
              </w:rPr>
            </w:pPr>
            <w:r>
              <w:rPr>
                <w:rStyle w:val="Code"/>
              </w:rPr>
              <w:t xml:space="preserve">&lt;p&gt;&lt;lb </w:t>
            </w:r>
            <w:r>
              <w:rPr>
                <w:rStyle w:val="Codeattribute"/>
              </w:rPr>
              <w:t>n</w:t>
            </w:r>
            <w:r>
              <w:rPr>
                <w:rStyle w:val="Code"/>
              </w:rPr>
              <w:t>=</w:t>
            </w:r>
            <w:r>
              <w:rPr>
                <w:rStyle w:val="Codevalue"/>
              </w:rPr>
              <w:t>"1"</w:t>
            </w:r>
            <w:r>
              <w:rPr>
                <w:rStyle w:val="Code"/>
              </w:rPr>
              <w:t>/&gt;</w:t>
            </w:r>
            <w:r>
              <w:rPr>
                <w:rStyle w:val="Codetext"/>
              </w:rPr>
              <w:t>In a hole in the ground...</w:t>
            </w:r>
          </w:p>
          <w:p w14:paraId="42E6E1EA"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w:t>
            </w:r>
          </w:p>
          <w:p w14:paraId="2E759F28"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"3"</w:t>
            </w:r>
            <w:r>
              <w:rPr>
                <w:rStyle w:val="Code"/>
              </w:rPr>
              <w:t>/&gt;</w:t>
            </w:r>
            <w:r>
              <w:rPr>
                <w:rStyle w:val="Codetext"/>
              </w:rPr>
              <w:t>and an oozy smell...</w:t>
            </w:r>
          </w:p>
          <w:p w14:paraId="71679081"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"4"</w:t>
            </w:r>
            <w:r>
              <w:rPr>
                <w:rStyle w:val="Code"/>
              </w:rPr>
              <w:t>/&gt;with nothing in it</w:t>
            </w:r>
            <w:r>
              <w:rPr>
                <w:rStyle w:val="Codetext"/>
              </w:rPr>
              <w:t>...</w:t>
            </w:r>
          </w:p>
          <w:p w14:paraId="2D1F8FF0" w14:textId="77777777">
            <w:pPr>
              <w:pStyle w:val="CodeParagraph"/>
              <w:keepNext/>
              <w:rPr>
                <w:rStyle w:val="Code"/>
              </w:rPr>
            </w:pPr>
            <w:r>
              <w:rPr>
                <w:rStyle w:val="Code"/>
              </w:rPr>
              <w:t xml:space="preserve">  &lt;lb </w:t>
            </w:r>
            <w:r>
              <w:rPr>
                <w:rStyle w:val="Codeattribute"/>
              </w:rPr>
              <w:t>n</w:t>
            </w:r>
            <w:r>
              <w:rPr>
                <w:rStyle w:val="Code"/>
              </w:rPr>
              <w:t>=</w:t>
            </w:r>
            <w:r>
              <w:rPr>
                <w:rStyle w:val="Codevalue"/>
              </w:rPr>
              <w:t>"5"</w:t>
            </w:r>
            <w:r>
              <w:rPr>
                <w:rStyle w:val="Code"/>
              </w:rPr>
              <w:t>/&gt;hobbit-hole, and</w:t>
            </w:r>
            <w:r>
              <w:rPr>
                <w:rStyle w:val="Codetext"/>
              </w:rPr>
              <w:t>...</w:t>
            </w:r>
          </w:p>
          <w:p w14:paraId="2EE1B365" w14:textId="77777777">
            <w:pPr>
              <w:pStyle w:val="CodeParagraph"/>
              <w:keepNext/>
              <w:rPr>
                <w:rFonts w:ascii="Consolas" w:hAnsi="Consolas" w:cs="Consolas"/>
                <w:noProof/>
                <w:color w:val="002060"/>
                <w:shd w:val="clear" w:color="auto" w:fill="F2F2F2" w:themeFill="background1" w:themeFillShade="F2"/>
              </w:rPr>
            </w:pPr>
            <w:r>
              <w:rPr>
                <w:rStyle w:val="Code"/>
              </w:rPr>
              <w:t>&lt;/p&gt;</w:t>
            </w:r>
          </w:p>
        </w:tc>
      </w:tr>
    </w:tbl>
    <w:p w14:paraId="15F9CDA5" w14:textId="77777777">
      <w:pPr>
        <w:pStyle w:val="Lista"/>
      </w:pPr>
      <w:r>
        <w:t xml:space="preserve">marking up line beginnings is mandatory for all lines of all our editions, using the empty element </w:t>
      </w:r>
      <w:r>
        <w:rPr>
          <w:rStyle w:val="Code"/>
        </w:rPr>
        <w:t>&lt;lb/&gt;</w:t>
      </w:r>
      <w:r>
        <w:t xml:space="preserve"> as in </w:t>
      </w:r>
      <w:r>
        <w:fldChar w:fldCharType="begin"/>
      </w:r>
      <w:r>
        <w:instrText xml:space="preserve"> REF _Ref225428834 \h </w:instrText>
      </w:r>
      <w:r>
        <w:fldChar w:fldCharType="separate"/>
      </w:r>
      <w:r>
        <w:t xml:space="preserve">Exhibit </w:t>
      </w:r>
      <w:r>
        <w:rPr>
          <w:noProof/>
        </w:rPr>
        <w:t>4.5</w:t>
      </w:r>
      <w:r>
        <w:t>.</w:t>
      </w:r>
      <w:r>
        <w:rPr>
          <w:noProof/>
        </w:rPr>
        <w:t>C</w:t>
      </w:r>
      <w:r>
        <w:fldChar w:fldCharType="end"/>
      </w:r>
      <w:r>
        <w:t>, with the following attributes</w:t>
      </w:r>
    </w:p>
    <w:p w14:paraId="2B52FAB9" w14:textId="77777777">
      <w:pPr>
        <w:pStyle w:val="Lista2"/>
      </w:pPr>
      <w:r>
        <w:t xml:space="preserve">mandatorily, </w:t>
      </w:r>
      <w:r>
        <w:rPr>
          <w:rStyle w:val="Codeattribute"/>
        </w:rPr>
        <w:t>@n</w:t>
      </w:r>
      <w:r>
        <w:t xml:space="preserve"> as per §</w:t>
      </w:r>
      <w:r>
        <w:fldChar w:fldCharType="begin"/>
      </w:r>
      <w:r>
        <w:instrText xml:space="preserve"> REF _Ref225761017 \r \h </w:instrText>
      </w:r>
      <w:r>
        <w:fldChar w:fldCharType="separate"/>
      </w:r>
      <w:r>
        <w:t>4.5.2</w:t>
      </w:r>
      <w:r>
        <w:fldChar w:fldCharType="end"/>
      </w:r>
      <w:r>
        <w:t xml:space="preserve"> </w:t>
      </w:r>
    </w:p>
    <w:p w14:paraId="2969657F" w14:textId="77777777">
      <w:pPr>
        <w:pStyle w:val="Lista2"/>
      </w:pPr>
      <w:r>
        <w:t xml:space="preserve">as applicable, </w:t>
      </w:r>
      <w:r>
        <w:rPr>
          <w:rStyle w:val="Codeattribute"/>
        </w:rPr>
        <w:t>@break</w:t>
      </w:r>
      <w:r>
        <w:t xml:space="preserve"> for line beginnings interrupting words as per §</w:t>
      </w:r>
      <w:r>
        <w:fldChar w:fldCharType="begin"/>
      </w:r>
      <w:r>
        <w:instrText xml:space="preserve"> REF _Ref225519777 \r \h </w:instrText>
      </w:r>
      <w:r>
        <w:fldChar w:fldCharType="separate"/>
      </w:r>
      <w:r>
        <w:t>4.3.2.1</w:t>
      </w:r>
      <w:r>
        <w:fldChar w:fldCharType="end"/>
      </w:r>
    </w:p>
    <w:p w14:paraId="4B678E41" w14:textId="77777777">
      <w:pPr>
        <w:pStyle w:val="Lista2"/>
      </w:pPr>
      <w:r>
        <w:t>when applicable, additional attributes representing the visual features of a line (§</w:t>
      </w:r>
      <w:r>
        <w:fldChar w:fldCharType="begin"/>
      </w:r>
      <w:r>
        <w:instrText xml:space="preserve"> REF _Ref225428243 \r \h </w:instrText>
      </w:r>
      <w:r>
        <w:fldChar w:fldCharType="separate"/>
      </w:r>
      <w:r>
        <w:t>8.2.2</w:t>
      </w:r>
      <w:r>
        <w:fldChar w:fldCharType="end"/>
      </w:r>
      <w:r>
        <w:t>)</w:t>
      </w:r>
    </w:p>
    <w:p w14:paraId="5EC93AA3" w14:textId="77777777">
      <w:pPr>
        <w:pStyle w:val="Lista"/>
      </w:pPr>
      <w:r>
        <w:rPr>
          <w:rStyle w:val="Code"/>
        </w:rPr>
        <w:t>&lt;lb/&gt;</w:t>
      </w:r>
      <w:r>
        <w:t xml:space="preserve"> marks line beginnings (rather than transitions) and must thus be present at the start of each line including the first</w:t>
      </w:r>
    </w:p>
    <w:p w14:paraId="68DB760D" w14:textId="77777777">
      <w:pPr>
        <w:pStyle w:val="Lista"/>
      </w:pPr>
      <w:r>
        <w:t xml:space="preserve">since the use of this element is mandatory, it must be present even in inscriptions </w:t>
      </w:r>
      <w:r>
        <w:rPr>
          <w:noProof/>
        </w:rPr>
        <w:t>(</w:t>
      </w:r>
      <w:r>
        <w:t>or textparts) consisting of a single line</w:t>
      </w:r>
    </w:p>
    <w:p w14:paraId="464CADB5" w14:textId="77777777">
      <w:pPr>
        <w:pStyle w:val="Cmsor3"/>
      </w:pPr>
      <w:bookmarkStart w:id="269" w:name="_Ref225761016"/>
      <w:bookmarkStart w:id="270" w:name="_Ref225761017"/>
      <w:bookmarkStart w:id="271" w:name="_Toc243900274"/>
      <w:r>
        <w:lastRenderedPageBreak/>
        <w:t>Numbering lines</w:t>
      </w:r>
      <w:bookmarkEnd w:id="269"/>
      <w:bookmarkEnd w:id="270"/>
      <w:bookmarkEnd w:id="271"/>
    </w:p>
    <w:p w14:paraId="06B0E28E" w14:textId="77777777">
      <w:pPr>
        <w:pStyle w:val="Lista"/>
      </w:pPr>
      <w:r>
        <w:t xml:space="preserve">every physical line of text in your edition must have a number encoded in the </w:t>
      </w:r>
      <w:r>
        <w:rPr>
          <w:rStyle w:val="Codeattribute"/>
        </w:rPr>
        <w:t>@n</w:t>
      </w:r>
      <w:r>
        <w:t xml:space="preserve"> attribute of the corresponding </w:t>
      </w:r>
      <w:r>
        <w:rPr>
          <w:rStyle w:val="Code"/>
        </w:rPr>
        <w:t>&lt;lb/&gt;</w:t>
      </w:r>
      <w:r>
        <w:t xml:space="preserve"> element</w:t>
      </w:r>
    </w:p>
    <w:p w14:paraId="4AF02758" w14:textId="77777777">
      <w:pPr>
        <w:pStyle w:val="Lista2"/>
      </w:pPr>
      <w:r>
        <w:t xml:space="preserve">line numbering is mandatory even if an inscription </w:t>
      </w:r>
      <w:r>
        <w:rPr>
          <w:noProof/>
        </w:rPr>
        <w:t>(</w:t>
      </w:r>
      <w:r>
        <w:t>or textpart) contains only one line</w:t>
      </w:r>
    </w:p>
    <w:p w14:paraId="7A2238ED" w14:textId="77777777">
      <w:pPr>
        <w:pStyle w:val="Lista"/>
      </w:pPr>
      <w:r>
        <w:t>in order to eliminate ambiguity in referencing, every line number in an XML edition must be unique</w:t>
      </w:r>
    </w:p>
    <w:p w14:paraId="0DEED3C3" w14:textId="77777777">
      <w:pPr>
        <w:pStyle w:val="Lista2"/>
      </w:pPr>
      <w:r>
        <w:t xml:space="preserve">except that if your document has textpart divisions, then the requirement of uniqueness only applies within such a division </w:t>
      </w:r>
      <w:r>
        <w:rPr>
          <w:noProof/>
        </w:rPr>
        <w:t>(</w:t>
      </w:r>
      <w:r>
        <w:t>§</w:t>
      </w:r>
      <w:r>
        <w:fldChar w:fldCharType="begin"/>
      </w:r>
      <w:r>
        <w:instrText xml:space="preserve"> REF _Ref225324541 \r \h </w:instrText>
      </w:r>
      <w:r>
        <w:fldChar w:fldCharType="separate"/>
      </w:r>
      <w:r>
        <w:t>4.2.1.4</w:t>
      </w:r>
      <w:r>
        <w:fldChar w:fldCharType="end"/>
      </w:r>
      <w:r>
        <w:t>)</w:t>
      </w:r>
    </w:p>
    <w:p w14:paraId="1E3E9677" w14:textId="77777777">
      <w:pPr>
        <w:pStyle w:val="Lista"/>
      </w:pPr>
      <w:r>
        <w:t>line numbering in DHARMA editions normally follows a consecutive scheme (§</w:t>
      </w:r>
      <w:r>
        <w:fldChar w:fldCharType="begin"/>
      </w:r>
      <w:r>
        <w:instrText xml:space="preserve"> REF _Ref225429069 \r \h </w:instrText>
      </w:r>
      <w:r>
        <w:fldChar w:fldCharType="separate"/>
      </w:r>
      <w:r>
        <w:t>4.5.2.1</w:t>
      </w:r>
      <w:r>
        <w:fldChar w:fldCharType="end"/>
      </w:r>
      <w:r>
        <w:t>) but can alternatively follow a repetitive scheme (§</w:t>
      </w:r>
      <w:r>
        <w:fldChar w:fldCharType="begin"/>
      </w:r>
      <w:r>
        <w:instrText xml:space="preserve"> REF _Ref182228380 \r \h </w:instrText>
      </w:r>
      <w:r>
        <w:fldChar w:fldCharType="separate"/>
      </w:r>
      <w:r>
        <w:t>4.5.2.2</w:t>
      </w:r>
      <w:r>
        <w:fldChar w:fldCharType="end"/>
      </w:r>
      <w:r>
        <w:t>)</w:t>
      </w:r>
    </w:p>
    <w:p w14:paraId="621F16AA" w14:textId="77777777">
      <w:pPr>
        <w:pStyle w:val="Lista2"/>
      </w:pPr>
      <w:r>
        <w:t>the repetitive scheme is preferred for certain subcorpora in order to accommodate the line numbering conventions of the subfield</w:t>
      </w:r>
    </w:p>
    <w:p w14:paraId="5DB563E1" w14:textId="77777777">
      <w:pPr>
        <w:pStyle w:val="Lista2"/>
      </w:pPr>
      <w:r>
        <w:t>the choice between the consecutive or repetitive system shall be determined on the level of subcorpora, but may be overridden on a case-by-case basis</w:t>
      </w:r>
    </w:p>
    <w:p w14:paraId="12C58CB4" w14:textId="77777777">
      <w:pPr>
        <w:pStyle w:val="Lista2"/>
      </w:pPr>
      <w:r>
        <w:t xml:space="preserve">in rare cases </w:t>
      </w:r>
      <w:r>
        <w:rPr>
          <w:noProof/>
        </w:rPr>
        <w:t>(</w:t>
      </w:r>
      <w:r>
        <w:t>namely, copperplate grants with a lost medial plate encoded without the use of textparts as per §</w:t>
      </w:r>
      <w:r>
        <w:fldChar w:fldCharType="begin"/>
      </w:r>
      <w:r>
        <w:instrText xml:space="preserve"> REF _Ref149918878 \r \h </w:instrText>
      </w:r>
      <w:r>
        <w:fldChar w:fldCharType="separate"/>
      </w:r>
      <w:r>
        <w:t>6.5.5.3</w:t>
      </w:r>
      <w:r>
        <w:fldChar w:fldCharType="end"/>
      </w:r>
      <w:r>
        <w:t>), you will have to resort to complex line numbering even if related editions normally use the consecutive system</w:t>
      </w:r>
    </w:p>
    <w:p w14:paraId="3FB38053" w14:textId="77777777">
      <w:pPr>
        <w:pStyle w:val="Cmsor4"/>
      </w:pPr>
      <w:bookmarkStart w:id="272" w:name="_Ref225429069"/>
      <w:r>
        <w:t>Consecutive line numbering</w:t>
      </w:r>
      <w:bookmarkEnd w:id="272"/>
    </w:p>
    <w:p w14:paraId="644ECD10" w14:textId="77777777">
      <w:r>
        <w:t>By default, our editions use consecutive line numbering with simple numbers.</w:t>
      </w:r>
    </w:p>
    <w:p w14:paraId="3E1DC1A5" w14:textId="77777777">
      <w:pPr>
        <w:pStyle w:val="Lista"/>
      </w:pPr>
      <w:r>
        <w:t xml:space="preserve">the value of the </w:t>
      </w:r>
      <w:r>
        <w:rPr>
          <w:rStyle w:val="Codeattribute"/>
        </w:rPr>
        <w:t>@n</w:t>
      </w:r>
      <w:r>
        <w:t xml:space="preserve"> attribute shall be an Arabic numeral starting with 1 for the first line and increasing with a step of 1 for each subsequent line</w:t>
      </w:r>
    </w:p>
    <w:p w14:paraId="169AA0D3" w14:textId="77777777">
      <w:pPr>
        <w:pStyle w:val="Lista"/>
      </w:pPr>
      <w:r>
        <w:t xml:space="preserve">line numbers for visually separate incipits may deviate from this numeration scheme </w:t>
      </w:r>
      <w:r>
        <w:rPr>
          <w:noProof/>
        </w:rPr>
        <w:t xml:space="preserve">as per </w:t>
      </w:r>
      <w:r>
        <w:t>§</w:t>
      </w:r>
      <w:r>
        <w:fldChar w:fldCharType="begin"/>
      </w:r>
      <w:r>
        <w:instrText xml:space="preserve"> REF _Ref43978135 \w \h  \* MERGEFORMAT </w:instrText>
      </w:r>
      <w:r>
        <w:fldChar w:fldCharType="separate"/>
      </w:r>
      <w:r>
        <w:t>4.7.1.1</w:t>
      </w:r>
      <w:r>
        <w:fldChar w:fldCharType="end"/>
      </w:r>
    </w:p>
    <w:p w14:paraId="451875E0" w14:textId="77777777">
      <w:pPr>
        <w:pStyle w:val="Lista"/>
      </w:pPr>
      <w:r>
        <w:t>line numeration must be restarted in each textpart (this is not a technical requirement but an arbitrary rule for consistency across the corpus</w:t>
      </w:r>
      <w:r>
        <w:rPr>
          <w:noProof/>
        </w:rPr>
        <w:t xml:space="preserve">, </w:t>
      </w:r>
      <w:r>
        <w:t>§</w:t>
      </w:r>
      <w:r>
        <w:fldChar w:fldCharType="begin"/>
      </w:r>
      <w:r>
        <w:instrText xml:space="preserve"> REF _Ref225324541 \r \h </w:instrText>
      </w:r>
      <w:r>
        <w:fldChar w:fldCharType="separate"/>
      </w:r>
      <w:r>
        <w:t>4.2.1.4</w:t>
      </w:r>
      <w:r>
        <w:fldChar w:fldCharType="end"/>
      </w:r>
      <w:r>
        <w:t>)</w:t>
      </w:r>
    </w:p>
    <w:p w14:paraId="566EE731" w14:textId="77777777">
      <w:pPr>
        <w:pStyle w:val="Lista"/>
      </w:pPr>
      <w:r>
        <w:t xml:space="preserve">line numeration must not be restarted with pagelike partitions, so lines of copperplate inscriptions must be numbered consecutively through the pages (see the Case Study in </w:t>
      </w:r>
      <w:r>
        <w:fldChar w:fldCharType="begin"/>
      </w:r>
      <w:r>
        <w:instrText xml:space="preserve"> REF _Ref239844181 \r \h </w:instrText>
      </w:r>
      <w:r>
        <w:fldChar w:fldCharType="separate"/>
      </w:r>
      <w:r>
        <w:t>Appendix A.2</w:t>
      </w:r>
      <w:r>
        <w:fldChar w:fldCharType="end"/>
      </w:r>
      <w:r>
        <w:t xml:space="preserve"> for an illustration)</w:t>
      </w:r>
    </w:p>
    <w:p w14:paraId="77A83450" w14:textId="77777777">
      <w:pPr>
        <w:pStyle w:val="Cmsor4"/>
      </w:pPr>
      <w:bookmarkStart w:id="273" w:name="_Ref182228380"/>
      <w:r>
        <w:t>Repetitive line numbering with complex numbers</w:t>
      </w:r>
      <w:bookmarkEnd w:id="273"/>
    </w:p>
    <w:p w14:paraId="0AEBE863" w14:textId="77777777">
      <w:r>
        <w:t xml:space="preserve">When pagelike partitions </w:t>
      </w:r>
      <w:r>
        <w:rPr>
          <w:noProof/>
        </w:rPr>
        <w:t>(</w:t>
      </w:r>
      <w:r>
        <w:t>§</w:t>
      </w:r>
      <w:r>
        <w:fldChar w:fldCharType="begin"/>
      </w:r>
      <w:r>
        <w:instrText xml:space="preserve"> REF _Ref233982406 \r \h </w:instrText>
      </w:r>
      <w:r>
        <w:fldChar w:fldCharType="separate"/>
      </w:r>
      <w:r>
        <w:t>4.4</w:t>
      </w:r>
      <w:r>
        <w:fldChar w:fldCharType="end"/>
      </w:r>
      <w:r>
        <w:t>) are present in an inscription, repetitive numeration may be used as an alternative.  In the repetitive scheme of line numbering, the numbers are reset for each successive pagelike partition.</w:t>
      </w:r>
    </w:p>
    <w:p w14:paraId="173ED33E" w14:textId="77777777">
      <w:pPr>
        <w:pStyle w:val="Lista"/>
      </w:pPr>
      <w:r>
        <w:t>to ensure the uniqueness of line numbers throughout the edition, complex line numbers must be used in this system</w:t>
      </w:r>
    </w:p>
    <w:p w14:paraId="603AAA9E" w14:textId="77777777">
      <w:pPr>
        <w:pStyle w:val="Lista2"/>
      </w:pPr>
      <w:r>
        <w:t>complex numbers consist of a simple line number as per §</w:t>
      </w:r>
      <w:r>
        <w:fldChar w:fldCharType="begin"/>
      </w:r>
      <w:r>
        <w:instrText xml:space="preserve"> REF _Ref225429069 \r \h </w:instrText>
      </w:r>
      <w:r>
        <w:fldChar w:fldCharType="separate"/>
      </w:r>
      <w:r>
        <w:t>4.5.2.1</w:t>
      </w:r>
      <w:r>
        <w:fldChar w:fldCharType="end"/>
      </w:r>
      <w:r>
        <w:t xml:space="preserve">, preceded by a prefix that is the identifier of the current partition, i.e. the value of the </w:t>
      </w:r>
      <w:r>
        <w:rPr>
          <w:rStyle w:val="Codeattribute"/>
        </w:rPr>
        <w:t>@n</w:t>
      </w:r>
      <w:r>
        <w:t xml:space="preserve"> attribute of the “parent” </w:t>
      </w:r>
      <w:r>
        <w:rPr>
          <w:rStyle w:val="Code"/>
        </w:rPr>
        <w:t>&lt;pb/&gt;</w:t>
      </w:r>
      <w:r>
        <w:t xml:space="preserve"> or </w:t>
      </w:r>
      <w:r>
        <w:rPr>
          <w:rStyle w:val="Code"/>
        </w:rPr>
        <w:t>&lt;milestone/&gt;</w:t>
      </w:r>
      <w:r>
        <w:t xml:space="preserve"> element; for example,</w:t>
      </w:r>
    </w:p>
    <w:p w14:paraId="45B058F9" w14:textId="77777777">
      <w:pPr>
        <w:pStyle w:val="Lista3"/>
      </w:pPr>
      <w:r>
        <w:t xml:space="preserve">for a stele inscribed on faces A and B, the lines must be numbered </w:t>
      </w:r>
      <w:r>
        <w:rPr>
          <w:rStyle w:val="Codevalue"/>
        </w:rPr>
        <w:t>"A1"</w:t>
      </w:r>
      <w:r>
        <w:t xml:space="preserve">, </w:t>
      </w:r>
      <w:r>
        <w:rPr>
          <w:rStyle w:val="Codevalue"/>
        </w:rPr>
        <w:t>"A2"</w:t>
      </w:r>
      <w:r>
        <w:t xml:space="preserve">, etc., and </w:t>
      </w:r>
      <w:r>
        <w:rPr>
          <w:rStyle w:val="Codevalue"/>
        </w:rPr>
        <w:t>"B1"</w:t>
      </w:r>
      <w:r>
        <w:t xml:space="preserve">, </w:t>
      </w:r>
      <w:r>
        <w:rPr>
          <w:rStyle w:val="Codevalue"/>
        </w:rPr>
        <w:t>"B2"</w:t>
      </w:r>
      <w:r>
        <w:t xml:space="preserve">, etc. on these faces (see </w:t>
      </w:r>
      <w:r>
        <w:fldChar w:fldCharType="begin"/>
      </w:r>
      <w:r>
        <w:instrText xml:space="preserve"> REF _Ref239844198 \r \h </w:instrText>
      </w:r>
      <w:r>
        <w:fldChar w:fldCharType="separate"/>
      </w:r>
      <w:r>
        <w:t>Appendix A.5</w:t>
      </w:r>
      <w:r>
        <w:fldChar w:fldCharType="end"/>
      </w:r>
      <w:r>
        <w:t xml:space="preserve"> and </w:t>
      </w:r>
      <w:r>
        <w:fldChar w:fldCharType="begin"/>
      </w:r>
      <w:r>
        <w:instrText xml:space="preserve"> REF _Ref239844200 \r \h </w:instrText>
      </w:r>
      <w:r>
        <w:fldChar w:fldCharType="separate"/>
      </w:r>
      <w:r>
        <w:t>Appendix A.6</w:t>
      </w:r>
      <w:r>
        <w:fldChar w:fldCharType="end"/>
      </w:r>
      <w:r>
        <w:t xml:space="preserve"> for illustrations)</w:t>
      </w:r>
    </w:p>
    <w:p w14:paraId="19521FAD" w14:textId="77777777">
      <w:pPr>
        <w:pStyle w:val="Lista3"/>
      </w:pPr>
      <w:r>
        <w:t xml:space="preserve">for a set of copper plates with pages 1v and 2r, lines must be numbered </w:t>
      </w:r>
      <w:r>
        <w:rPr>
          <w:rStyle w:val="Codevalue"/>
        </w:rPr>
        <w:t>"1v1"</w:t>
      </w:r>
      <w:r>
        <w:t xml:space="preserve">, </w:t>
      </w:r>
      <w:r>
        <w:rPr>
          <w:rStyle w:val="Codevalue"/>
        </w:rPr>
        <w:t>"1v2"</w:t>
      </w:r>
      <w:r>
        <w:t xml:space="preserve">, etc., and </w:t>
      </w:r>
      <w:r>
        <w:rPr>
          <w:rStyle w:val="Codevalue"/>
        </w:rPr>
        <w:t>"2r1"</w:t>
      </w:r>
      <w:r>
        <w:t xml:space="preserve">, </w:t>
      </w:r>
      <w:r>
        <w:rPr>
          <w:rStyle w:val="Codevalue"/>
        </w:rPr>
        <w:t>"2r2"</w:t>
      </w:r>
      <w:r>
        <w:t xml:space="preserve">, etc. on these pages (see </w:t>
      </w:r>
      <w:r>
        <w:fldChar w:fldCharType="begin"/>
      </w:r>
      <w:r>
        <w:instrText xml:space="preserve"> REF _Ref239844217 \r \h </w:instrText>
      </w:r>
      <w:r>
        <w:fldChar w:fldCharType="separate"/>
      </w:r>
      <w:r>
        <w:t>Appendix A.3</w:t>
      </w:r>
      <w:r>
        <w:fldChar w:fldCharType="end"/>
      </w:r>
      <w:r>
        <w:t xml:space="preserve"> for an illustration)</w:t>
      </w:r>
    </w:p>
    <w:p w14:paraId="7E95F3CE" w14:textId="77777777">
      <w:pPr>
        <w:pStyle w:val="Lista2"/>
      </w:pPr>
      <w:r>
        <w:t>should the number of your partitions be a numeral or end with a numeral</w:t>
      </w:r>
      <w:r>
        <w:rPr>
          <w:rStyle w:val="Lbjegyzet-hivatkozs"/>
        </w:rPr>
        <w:footnoteReference w:id="18"/>
      </w:r>
      <w:r>
        <w:t xml:space="preserve"> </w:t>
      </w:r>
      <w:r>
        <w:rPr>
          <w:noProof/>
        </w:rPr>
        <w:t>(</w:t>
      </w:r>
      <w:r>
        <w:t xml:space="preserve">including Roman numerals), add a . </w:t>
      </w:r>
      <w:r>
        <w:rPr>
          <w:noProof/>
        </w:rPr>
        <w:t>(</w:t>
      </w:r>
      <w:r>
        <w:t>period, full stop) as a separator between the partition number and the simple line number</w:t>
      </w:r>
    </w:p>
    <w:p w14:paraId="59B71C5F" w14:textId="77777777">
      <w:pPr>
        <w:pStyle w:val="Lista3"/>
      </w:pPr>
      <w:r>
        <w:t xml:space="preserve">e.g. if your partitions are numbered A1, b1, etc., then your line numbers should be </w:t>
      </w:r>
      <w:r>
        <w:rPr>
          <w:rStyle w:val="Codevalue"/>
        </w:rPr>
        <w:t>"A1.1"</w:t>
      </w:r>
      <w:r>
        <w:t xml:space="preserve">, </w:t>
      </w:r>
      <w:r>
        <w:rPr>
          <w:rStyle w:val="Codevalue"/>
        </w:rPr>
        <w:t>"A1.2"</w:t>
      </w:r>
      <w:r>
        <w:t xml:space="preserve">, etc., and </w:t>
      </w:r>
      <w:r>
        <w:rPr>
          <w:rStyle w:val="Codevalue"/>
        </w:rPr>
        <w:t>"b1.1"</w:t>
      </w:r>
      <w:r>
        <w:t xml:space="preserve">, </w:t>
      </w:r>
      <w:r>
        <w:rPr>
          <w:rStyle w:val="Codevalue"/>
        </w:rPr>
        <w:t>"b1.2"</w:t>
      </w:r>
      <w:r>
        <w:t>, etc.</w:t>
      </w:r>
    </w:p>
    <w:p w14:paraId="60C85023" w14:textId="77777777">
      <w:pPr>
        <w:pStyle w:val="Lista"/>
      </w:pPr>
      <w:r>
        <w:t>if your subcorpus follows the repetitive scheme, then it is recommended that for consistency’s sake you use complex line numbers even on copper plates with just a single inscribed page</w:t>
      </w:r>
    </w:p>
    <w:p w14:paraId="7FB73091" w14:textId="77777777">
      <w:pPr>
        <w:pStyle w:val="Lista"/>
      </w:pPr>
      <w:r>
        <w:lastRenderedPageBreak/>
        <w:t>also for consistency’s sake, if your subcorpus follows the repetitive scheme, then complex numbers should be preferred for numbering lines across boxlike partitions, even though the uniqueness of line numbers is only a requirement within each such partition</w:t>
      </w:r>
    </w:p>
    <w:p w14:paraId="31CF336C" w14:textId="77777777">
      <w:pPr>
        <w:pStyle w:val="Cmsor2"/>
      </w:pPr>
      <w:bookmarkStart w:id="274" w:name="_r2qg54jy8w2e" w:colFirst="0" w:colLast="0"/>
      <w:bookmarkStart w:id="275" w:name="_7n9w5r6yzssj" w:colFirst="0" w:colLast="0"/>
      <w:bookmarkStart w:id="276" w:name="_a0jia5gsgfab" w:colFirst="0" w:colLast="0"/>
      <w:bookmarkStart w:id="277" w:name="_dzwqp0ufpcn5" w:colFirst="0" w:colLast="0"/>
      <w:bookmarkStart w:id="278" w:name="_k0nurnm93lxl" w:colFirst="0" w:colLast="0"/>
      <w:bookmarkStart w:id="279" w:name="_8rycat4dh5yx" w:colFirst="0" w:colLast="0"/>
      <w:bookmarkStart w:id="280" w:name="_wf6bj4i4k83j" w:colFirst="0" w:colLast="0"/>
      <w:bookmarkStart w:id="281" w:name="_17dlwttgms9w" w:colFirst="0" w:colLast="0"/>
      <w:bookmarkStart w:id="282" w:name="_Ref43984651"/>
      <w:bookmarkStart w:id="283" w:name="_Toc243900275"/>
      <w:bookmarkEnd w:id="274"/>
      <w:bookmarkEnd w:id="275"/>
      <w:bookmarkEnd w:id="276"/>
      <w:bookmarkEnd w:id="277"/>
      <w:bookmarkEnd w:id="278"/>
      <w:bookmarkEnd w:id="279"/>
      <w:bookmarkEnd w:id="280"/>
      <w:bookmarkEnd w:id="281"/>
      <w:r>
        <w:t>Gridlike partitions</w:t>
      </w:r>
      <w:bookmarkEnd w:id="282"/>
      <w:bookmarkEnd w:id="283"/>
    </w:p>
    <w:p w14:paraId="74F47CBD" w14:textId="77777777">
      <w:bookmarkStart w:id="284" w:name="_8u6cxgxomq4n" w:colFirst="0" w:colLast="0"/>
      <w:bookmarkEnd w:id="284"/>
      <w:r>
        <w:t>Recall from §</w:t>
      </w:r>
      <w:r>
        <w:fldChar w:fldCharType="begin"/>
      </w:r>
      <w:r>
        <w:instrText xml:space="preserve"> REF _Ref182923075 \r \h </w:instrText>
      </w:r>
      <w:r>
        <w:fldChar w:fldCharType="separate"/>
      </w:r>
      <w:r>
        <w:t>4.1</w:t>
      </w:r>
      <w:r>
        <w:fldChar w:fldCharType="end"/>
      </w:r>
      <w:r>
        <w:t xml:space="preserve"> that a gridlike partition is what happens when each line of the text, having reached the end </w:t>
      </w:r>
      <w:r>
        <w:rPr>
          <w:noProof/>
        </w:rPr>
        <w:t>(</w:t>
      </w:r>
      <w:r>
        <w:t xml:space="preserve">normally the right edge) of a zone, continues at the beginning </w:t>
      </w:r>
      <w:r>
        <w:rPr>
          <w:noProof/>
        </w:rPr>
        <w:t>(</w:t>
      </w:r>
      <w:r>
        <w:t xml:space="preserve">normally the left edge) of the next zone, and returns to the first zone with the next line, as in </w:t>
      </w:r>
      <w:r>
        <w:fldChar w:fldCharType="begin"/>
      </w:r>
      <w:r>
        <w:instrText xml:space="preserve"> REF _Ref224742060 \h </w:instrText>
      </w:r>
      <w:r>
        <w:fldChar w:fldCharType="separate"/>
      </w:r>
      <w:r>
        <w:t xml:space="preserve">Exhibit </w:t>
      </w:r>
      <w:r>
        <w:rPr>
          <w:noProof/>
        </w:rPr>
        <w:t>4.1</w:t>
      </w:r>
      <w:r>
        <w:t>.</w:t>
      </w:r>
      <w:r>
        <w:rPr>
          <w:noProof/>
        </w:rPr>
        <w:t>A</w:t>
      </w:r>
      <w:r>
        <w:fldChar w:fldCharType="end"/>
      </w:r>
      <w:r>
        <w:t>/3. A patchwork of adjacent but physically distinct zones thus together comprise a single virtual text field. We call these partitions gridlike because each zone is analogous to a cell in the grid of a table. The extrinsic boundary is usually incidental and irrelevant to the text’s semantic structure, although it may coincide with a semantic break either inadvertently or by design. Since such a partition often occurs inside a unit of intrinsic structure, the encoding equivalent of a gridlike partition is a milestone element (</w:t>
      </w:r>
      <w:r>
        <w:fldChar w:fldCharType="begin"/>
      </w:r>
      <w:r>
        <w:instrText xml:space="preserve"> REF _Ref225327729 \r \h </w:instrText>
      </w:r>
      <w:r>
        <w:fldChar w:fldCharType="separate"/>
      </w:r>
      <w:r>
        <w:t>4.3</w:t>
      </w:r>
      <w:r>
        <w:fldChar w:fldCharType="end"/>
      </w:r>
      <w:r>
        <w:t xml:space="preserve">), namely </w:t>
      </w:r>
      <w:r>
        <w:rPr>
          <w:rStyle w:val="Code"/>
        </w:rPr>
        <w:t>&lt;milestone/&gt;</w:t>
      </w:r>
      <w:r>
        <w:t xml:space="preserve"> without </w:t>
      </w:r>
      <w:r>
        <w:rPr>
          <w:rStyle w:val="Codeattribute"/>
        </w:rPr>
        <w:t>@type</w:t>
      </w:r>
      <w:r>
        <w:t xml:space="preserve"> (§</w:t>
      </w:r>
      <w:r>
        <w:fldChar w:fldCharType="begin"/>
      </w:r>
      <w:r>
        <w:instrText xml:space="preserve"> REF _Ref182310382 \r \h </w:instrText>
      </w:r>
      <w:r>
        <w:fldChar w:fldCharType="separate"/>
      </w:r>
      <w:r>
        <w:t>4.6.1</w:t>
      </w:r>
      <w:r>
        <w:fldChar w:fldCharType="end"/>
      </w:r>
      <w:r>
        <w:t>).</w:t>
      </w:r>
    </w:p>
    <w:p w14:paraId="62625BF0" w14:textId="77777777">
      <w:pPr>
        <w:pStyle w:val="Normlbehzs"/>
      </w:pPr>
      <w:r>
        <w:t>The encoding of gridlike partitions is optional in DHARMA practice, with §</w:t>
      </w:r>
      <w:r>
        <w:fldChar w:fldCharType="begin"/>
      </w:r>
      <w:r>
        <w:instrText xml:space="preserve"> REF _Ref182322267 \r \h </w:instrText>
      </w:r>
      <w:r>
        <w:fldChar w:fldCharType="separate"/>
      </w:r>
      <w:r>
        <w:t>4.7.5</w:t>
      </w:r>
      <w:r>
        <w:fldChar w:fldCharType="end"/>
      </w:r>
      <w:r>
        <w:t xml:space="preserve"> describing when it is desirable. There is no technical limit to the number of different kinds of gridlike partitions that a document may contain, and it may in certain rare cases be expedient to encode more than one gridlike structure in a text, for example when the text is laid out by design in quasi-columns and a secondary grid has been superimposed on the inscription by fragmentation. It is therefore permitted to use gridlike milestones with two (or even more) different units within a single document (or textpart). It will not, however, be possible to create a machine-actionable reference to a section of text involving a combination of gridlike partitions, and keeping track of the grids will be difficult for the encoder and thus error-prone. Therefore, given that encoding gridlike partitions is optional to begin with, consider carefully whether encoding more than one grid in an edition is worth the complication.</w:t>
      </w:r>
    </w:p>
    <w:p w14:paraId="726DFAFF" w14:textId="77777777">
      <w:pPr>
        <w:pStyle w:val="Cmsor3"/>
      </w:pPr>
      <w:bookmarkStart w:id="285" w:name="_mq9ex2gduvu8" w:colFirst="0" w:colLast="0"/>
      <w:bookmarkStart w:id="286" w:name="_rs0n67ntt3ye" w:colFirst="0" w:colLast="0"/>
      <w:bookmarkStart w:id="287" w:name="_Ref181694099"/>
      <w:bookmarkStart w:id="288" w:name="_Ref182310382"/>
      <w:bookmarkStart w:id="289" w:name="_Toc243900276"/>
      <w:bookmarkEnd w:id="285"/>
      <w:bookmarkEnd w:id="286"/>
      <w:r>
        <w:t>Marking up gridlike partitions</w:t>
      </w:r>
      <w:bookmarkEnd w:id="287"/>
      <w:bookmarkEnd w:id="288"/>
      <w:bookmarkEnd w:id="289"/>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27BC8629"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00430FA9" w14:textId="77777777">
            <w:pPr>
              <w:pStyle w:val="Kpalrs"/>
              <w:keepLines/>
            </w:pPr>
            <w:bookmarkStart w:id="290" w:name="_Ref225495852"/>
            <w:r>
              <w:t xml:space="preserve">Exhibit </w:t>
            </w:r>
            <w:fldSimple w:instr=" STYLEREF 2 \s ">
              <w:r>
                <w:rPr>
                  <w:noProof/>
                </w:rPr>
                <w:t>4.6</w:t>
              </w:r>
            </w:fldSimple>
            <w:r>
              <w:t>.</w:t>
            </w:r>
            <w:fldSimple w:instr=" SEQ Exhibit \* ALPHABETIC \s 2 ">
              <w:r>
                <w:rPr>
                  <w:noProof/>
                </w:rPr>
                <w:t>A</w:t>
              </w:r>
            </w:fldSimple>
            <w:bookmarkEnd w:id="290"/>
            <w:r>
              <w:t>: generic encoding for gridlike partitions</w:t>
            </w:r>
          </w:p>
        </w:tc>
      </w:tr>
      <w:tr w14:paraId="1C46C46C" w14:textId="77777777">
        <w:trPr>
          <w:jc w:val="right"/>
        </w:trPr>
        <w:tc>
          <w:tcPr>
            <w:tcW w:w="5000" w:type="pct"/>
          </w:tcPr>
          <w:p w14:paraId="06739C7B" w14:textId="77777777">
            <w:pPr>
              <w:pStyle w:val="Image"/>
            </w:pPr>
            <w:r>
              <w:drawing>
                <wp:inline distT="0" distB="0" distL="0" distR="0" wp14:anchorId="7059745B" wp14:editId="32D1CD7B">
                  <wp:extent cx="2700000" cy="741490"/>
                  <wp:effectExtent l="0" t="0" r="5715" b="1905"/>
                  <wp:docPr id="26380711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7111" name="image27.png"/>
                          <pic:cNvPicPr/>
                        </pic:nvPicPr>
                        <pic:blipFill>
                          <a:blip r:embed="rId20"/>
                          <a:stretch>
                            <a:fillRect/>
                          </a:stretch>
                        </pic:blipFill>
                        <pic:spPr>
                          <a:xfrm>
                            <a:off x="0" y="0"/>
                            <a:ext cx="2700000" cy="741490"/>
                          </a:xfrm>
                          <a:prstGeom prst="rect">
                            <a:avLst/>
                          </a:prstGeom>
                          <a:ln/>
                        </pic:spPr>
                      </pic:pic>
                    </a:graphicData>
                  </a:graphic>
                </wp:inline>
              </w:drawing>
            </w:r>
          </w:p>
        </w:tc>
      </w:tr>
      <w:tr w14:paraId="6D75EA47" w14:textId="77777777">
        <w:trPr>
          <w:jc w:val="right"/>
        </w:trPr>
        <w:tc>
          <w:tcPr>
            <w:tcW w:w="5000" w:type="pct"/>
          </w:tcPr>
          <w:p w14:paraId="61EA1D61" w14:textId="77777777">
            <w:pPr>
              <w:pStyle w:val="CodeParagraph"/>
              <w:rPr>
                <w:rFonts w:ascii="Consolas" w:hAnsi="Consolas" w:cs="Consolas"/>
                <w:noProof/>
                <w:color w:val="002060"/>
                <w:shd w:val="clear" w:color="auto" w:fill="F2F2F2" w:themeFill="background1" w:themeFillShade="F2"/>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nasty, dirty, wet hole, fil</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led with the ends of worms</w:t>
            </w:r>
            <w:r>
              <w:rPr>
                <w:rStyle w:val="Codetext"/>
              </w:rPr>
              <w:br/>
              <w:t xml:space="preserve">  ...</w:t>
            </w:r>
            <w:r>
              <w:rPr>
                <w:rStyle w:val="Codetext"/>
              </w:rPr>
              <w:br/>
            </w:r>
            <w:r>
              <w:rPr>
                <w:rStyle w:val="Code"/>
              </w:rPr>
              <w:t>&lt;/p&gt;</w:t>
            </w:r>
          </w:p>
        </w:tc>
      </w:tr>
      <w:tr w14:paraId="0707BF5B" w14:textId="77777777">
        <w:trPr>
          <w:jc w:val="right"/>
        </w:trPr>
        <w:tc>
          <w:tcPr>
            <w:tcW w:w="5000" w:type="pct"/>
          </w:tcPr>
          <w:p w14:paraId="5FA9900A" w14:textId="77777777">
            <w:pPr>
              <w:pStyle w:val="TableNote"/>
              <w:rPr>
                <w:rStyle w:val="Code"/>
              </w:rPr>
            </w:pPr>
            <w:r>
              <w:t xml:space="preserve">complete encoded illustration: </w:t>
            </w:r>
            <w:r>
              <w:fldChar w:fldCharType="begin"/>
            </w:r>
            <w:r>
              <w:instrText xml:space="preserve"> REF _Ref44078533 \h </w:instrText>
            </w:r>
            <w:r>
              <w:fldChar w:fldCharType="separate"/>
            </w:r>
            <w:r>
              <w:t xml:space="preserve">Exhibit </w:t>
            </w:r>
            <w:r>
              <w:rPr>
                <w:noProof/>
              </w:rPr>
              <w:t>4.7</w:t>
            </w:r>
            <w:r>
              <w:t>.</w:t>
            </w:r>
            <w:r>
              <w:rPr>
                <w:noProof/>
              </w:rPr>
              <w:t>O</w:t>
            </w:r>
            <w:r>
              <w:fldChar w:fldCharType="end"/>
            </w:r>
          </w:p>
        </w:tc>
      </w:tr>
    </w:tbl>
    <w:p w14:paraId="4F44B2DD" w14:textId="77777777">
      <w:pPr>
        <w:pStyle w:val="Lista"/>
      </w:pPr>
      <w:r>
        <w:t xml:space="preserve">gridlike partitions may be encoded with the element </w:t>
      </w:r>
      <w:r>
        <w:rPr>
          <w:rStyle w:val="Code"/>
        </w:rPr>
        <w:t>&lt;milestone/&gt;</w:t>
      </w:r>
      <w:r>
        <w:t xml:space="preserve">  as in </w:t>
      </w:r>
      <w:r>
        <w:fldChar w:fldCharType="begin"/>
      </w:r>
      <w:r>
        <w:instrText xml:space="preserve"> REF _Ref225495852 \h </w:instrText>
      </w:r>
      <w:r>
        <w:fldChar w:fldCharType="separate"/>
      </w:r>
      <w:r>
        <w:t xml:space="preserve">Exhibit </w:t>
      </w:r>
      <w:r>
        <w:rPr>
          <w:noProof/>
        </w:rPr>
        <w:t>4.6</w:t>
      </w:r>
      <w:r>
        <w:t>.</w:t>
      </w:r>
      <w:r>
        <w:rPr>
          <w:noProof/>
        </w:rPr>
        <w:t>A</w:t>
      </w:r>
      <w:r>
        <w:fldChar w:fldCharType="end"/>
      </w:r>
      <w:r>
        <w:t>, with the following attributes</w:t>
      </w:r>
    </w:p>
    <w:p w14:paraId="198EB9F4" w14:textId="77777777">
      <w:pPr>
        <w:pStyle w:val="Lista2"/>
      </w:pPr>
      <w:r>
        <w:rPr>
          <w:rStyle w:val="Codeattribute"/>
        </w:rPr>
        <w:t>@type=</w:t>
      </w:r>
      <w:r>
        <w:rPr>
          <w:rStyle w:val="Codevalue"/>
        </w:rPr>
        <w:t>"gridlike"</w:t>
      </w:r>
      <w:r>
        <w:t xml:space="preserve"> is understood by default in the DHARMA scheme, so </w:t>
      </w:r>
      <w:r>
        <w:rPr>
          <w:rStyle w:val="Codeattribute"/>
        </w:rPr>
        <w:t>@type</w:t>
      </w:r>
      <w:r>
        <w:t xml:space="preserve"> need not be explicitly present</w:t>
      </w:r>
    </w:p>
    <w:p w14:paraId="13808E2D" w14:textId="77777777">
      <w:pPr>
        <w:pStyle w:val="Lista2"/>
      </w:pPr>
      <w:bookmarkStart w:id="291" w:name="_444cwmslg3uo" w:colFirst="0" w:colLast="0"/>
      <w:bookmarkStart w:id="292" w:name="_Ref63674302"/>
      <w:bookmarkEnd w:id="291"/>
      <w:r>
        <w:t xml:space="preserve">mandatorily, </w:t>
      </w:r>
      <w:r>
        <w:rPr>
          <w:rStyle w:val="Codeattribute"/>
        </w:rPr>
        <w:t>@unit</w:t>
      </w:r>
      <w:r>
        <w:t xml:space="preserve"> to encode the nature of the transition explicitly as per §</w:t>
      </w:r>
      <w:r>
        <w:fldChar w:fldCharType="begin"/>
      </w:r>
      <w:r>
        <w:instrText xml:space="preserve"> REF _Ref182815315 \r \h </w:instrText>
      </w:r>
      <w:r>
        <w:fldChar w:fldCharType="separate"/>
      </w:r>
      <w:r>
        <w:t>4.3.1</w:t>
      </w:r>
      <w:r>
        <w:fldChar w:fldCharType="end"/>
      </w:r>
    </w:p>
    <w:p w14:paraId="45DB013B" w14:textId="77777777">
      <w:pPr>
        <w:pStyle w:val="Lista2"/>
      </w:pPr>
      <w:r>
        <w:t xml:space="preserve">mandatorily, </w:t>
      </w:r>
      <w:r>
        <w:rPr>
          <w:rStyle w:val="Codeattribute"/>
        </w:rPr>
        <w:t>@n</w:t>
      </w:r>
      <w:r>
        <w:t xml:space="preserve"> as per §</w:t>
      </w:r>
      <w:r>
        <w:fldChar w:fldCharType="begin"/>
      </w:r>
      <w:r>
        <w:instrText xml:space="preserve"> REF _Ref182580407 \r \h </w:instrText>
      </w:r>
      <w:r>
        <w:fldChar w:fldCharType="separate"/>
      </w:r>
      <w:r>
        <w:t>4.6.1.1</w:t>
      </w:r>
      <w:r>
        <w:fldChar w:fldCharType="end"/>
      </w:r>
    </w:p>
    <w:p w14:paraId="7DCB06B4" w14:textId="77777777">
      <w:pPr>
        <w:pStyle w:val="Lista2"/>
      </w:pPr>
      <w:r>
        <w:t xml:space="preserve">as applicable, </w:t>
      </w:r>
      <w:r>
        <w:rPr>
          <w:rStyle w:val="Codeattribute"/>
        </w:rPr>
        <w:t>@break</w:t>
      </w:r>
      <w:r>
        <w:t xml:space="preserve"> for partitions interrupting words as per §</w:t>
      </w:r>
      <w:r>
        <w:fldChar w:fldCharType="begin"/>
      </w:r>
      <w:r>
        <w:instrText xml:space="preserve"> REF _Ref225519777 \r \h </w:instrText>
      </w:r>
      <w:r>
        <w:fldChar w:fldCharType="separate"/>
      </w:r>
      <w:r>
        <w:t>4.3.2.1</w:t>
      </w:r>
      <w:r>
        <w:fldChar w:fldCharType="end"/>
      </w:r>
    </w:p>
    <w:p w14:paraId="70CD1229" w14:textId="77777777">
      <w:pPr>
        <w:pStyle w:val="Lista"/>
      </w:pPr>
      <w:r>
        <w:rPr>
          <w:rStyle w:val="Code"/>
        </w:rPr>
        <w:t>&lt;milestone/&gt;</w:t>
      </w:r>
      <w:r>
        <w:t xml:space="preserve"> marks zone beginnings (rather than transitions) and thus, when gridlike zones are present in a document, the element must be created at the start of each such zone including the first</w:t>
      </w:r>
    </w:p>
    <w:p w14:paraId="063EA8F5" w14:textId="77777777">
      <w:pPr>
        <w:pStyle w:val="Lista"/>
      </w:pPr>
      <w:r>
        <w:t>since gridlike zones cut across lines, the milestones for each zone must be iterated in every line of the text that is affected by the gridlike partition</w:t>
      </w:r>
    </w:p>
    <w:p w14:paraId="2CE46E6F" w14:textId="77777777">
      <w:pPr>
        <w:pStyle w:val="Lista"/>
      </w:pPr>
      <w:r>
        <w:t xml:space="preserve">gridlike features may occasionally split an </w:t>
      </w:r>
      <w:r>
        <w:rPr>
          <w:rStyle w:val="Foreign"/>
        </w:rPr>
        <w:t>akṣara</w:t>
      </w:r>
      <w:r>
        <w:t xml:space="preserve"> into parts that cannot be represented separately in transliteration; see §</w:t>
      </w:r>
      <w:r>
        <w:fldChar w:fldCharType="begin"/>
      </w:r>
      <w:r>
        <w:instrText xml:space="preserve"> REF _Ref182813737 \r \h </w:instrText>
      </w:r>
      <w:r>
        <w:fldChar w:fldCharType="separate"/>
      </w:r>
      <w:r>
        <w:t>4.7.6.1</w:t>
      </w:r>
      <w:r>
        <w:fldChar w:fldCharType="end"/>
      </w:r>
      <w:r>
        <w:t xml:space="preserve"> about encoding such cases</w:t>
      </w:r>
    </w:p>
    <w:p w14:paraId="526D7157" w14:textId="77777777">
      <w:pPr>
        <w:pStyle w:val="Lista"/>
      </w:pPr>
      <w:r>
        <w:t>see §</w:t>
      </w:r>
      <w:r>
        <w:fldChar w:fldCharType="begin"/>
      </w:r>
      <w:r>
        <w:instrText xml:space="preserve"> REF _Ref182322267 \r \h </w:instrText>
      </w:r>
      <w:r>
        <w:fldChar w:fldCharType="separate"/>
      </w:r>
      <w:r>
        <w:t>4.7.5</w:t>
      </w:r>
      <w:r>
        <w:fldChar w:fldCharType="end"/>
      </w:r>
      <w:r>
        <w:t xml:space="preserve"> for further discussion of when gridlike partitions should be used</w:t>
      </w:r>
    </w:p>
    <w:p w14:paraId="4BA1E85A" w14:textId="77777777">
      <w:pPr>
        <w:pStyle w:val="Cmsor4"/>
      </w:pPr>
      <w:bookmarkStart w:id="293" w:name="_Ref182321707"/>
      <w:bookmarkStart w:id="294" w:name="_Ref182322544"/>
      <w:bookmarkStart w:id="295" w:name="_Ref182580407"/>
      <w:bookmarkStart w:id="296" w:name="_Ref182580433"/>
      <w:bookmarkEnd w:id="292"/>
      <w:r>
        <w:t>Numbering gridlike milestones</w:t>
      </w:r>
      <w:bookmarkEnd w:id="293"/>
      <w:bookmarkEnd w:id="294"/>
      <w:bookmarkEnd w:id="295"/>
      <w:bookmarkEnd w:id="296"/>
    </w:p>
    <w:p w14:paraId="1D5BA50E" w14:textId="77777777">
      <w:r>
        <w:t xml:space="preserve">Milestones are numbered for reference. When an XML edition is rendered for display, labels for gridlike milestones will be automatically generated from the encoded number. Unlike pagelike milestones, the </w:t>
      </w:r>
      <w:r>
        <w:rPr>
          <w:rStyle w:val="Code"/>
        </w:rPr>
        <w:t>&lt;label&gt;</w:t>
      </w:r>
      <w:r>
        <w:t xml:space="preserve"> element (§</w:t>
      </w:r>
      <w:r>
        <w:fldChar w:fldCharType="begin"/>
      </w:r>
      <w:r>
        <w:instrText xml:space="preserve"> REF _Ref182299869 \r \h </w:instrText>
      </w:r>
      <w:r>
        <w:fldChar w:fldCharType="separate"/>
      </w:r>
      <w:r>
        <w:t>4.4.3.2</w:t>
      </w:r>
      <w:r>
        <w:fldChar w:fldCharType="end"/>
      </w:r>
      <w:r>
        <w:t>) is not permitted in conjunction with these milestones.</w:t>
      </w:r>
    </w:p>
    <w:p w14:paraId="5FD7D430" w14:textId="77777777">
      <w:pPr>
        <w:pStyle w:val="Lista"/>
      </w:pPr>
      <w:r>
        <w:lastRenderedPageBreak/>
        <w:t>gridlike milestones are mandatorily numbered in DHARMA editions</w:t>
      </w:r>
    </w:p>
    <w:p w14:paraId="75F427ED" w14:textId="77777777">
      <w:pPr>
        <w:pStyle w:val="Lista"/>
      </w:pPr>
      <w:r>
        <w:t xml:space="preserve">the values of </w:t>
      </w:r>
      <w:r>
        <w:rPr>
          <w:rStyle w:val="Codeattribute"/>
        </w:rPr>
        <w:t>@n</w:t>
      </w:r>
      <w:r>
        <w:t xml:space="preserve"> recommended for the identification of gridlike partitions are lowercase Latin letters beginning with “a”</w:t>
      </w:r>
    </w:p>
    <w:p w14:paraId="32AC9DEB" w14:textId="77777777">
      <w:pPr>
        <w:pStyle w:val="Lista2"/>
      </w:pPr>
      <w:r>
        <w:t>nonetheless, any numeration scheme may be used depending on your preference, the conventions of your specific field, and the idiosyncratic nature of the grid you are encoding</w:t>
      </w:r>
    </w:p>
    <w:p w14:paraId="23330CBA" w14:textId="77777777">
      <w:pPr>
        <w:pStyle w:val="Lista3"/>
      </w:pPr>
      <w:r>
        <w:t>in particular, feel free to use lowercase letters alternating with uppercase ones to denote major/frontal and minor/lateral faces of a three-dimensional object such as a Southeast Asian stele, e.g. A, b, C and d</w:t>
      </w:r>
    </w:p>
    <w:p w14:paraId="787BF291" w14:textId="77777777">
      <w:pPr>
        <w:pStyle w:val="Lista"/>
      </w:pPr>
      <w:r>
        <w:t>the number referring to every zone of the grid must be unique</w:t>
      </w:r>
    </w:p>
    <w:p w14:paraId="46158AF4" w14:textId="77777777">
      <w:pPr>
        <w:pStyle w:val="Lista2"/>
      </w:pPr>
      <w:r>
        <w:t xml:space="preserve">since gridlike milestones with a given combination of </w:t>
      </w:r>
      <w:r>
        <w:rPr>
          <w:rStyle w:val="Codeattribute"/>
        </w:rPr>
        <w:t>@unit</w:t>
      </w:r>
      <w:r>
        <w:t xml:space="preserve"> and </w:t>
      </w:r>
      <w:r>
        <w:rPr>
          <w:rStyle w:val="Codeattribute"/>
        </w:rPr>
        <w:t>@n</w:t>
      </w:r>
      <w:r>
        <w:t xml:space="preserve"> will normally be iterated several times in a document (namely once in every line that crosses the zone to which that combination pertains), in complicated cases feel free, at your discretion, to assign a unique number to each cell of the grid</w:t>
      </w:r>
    </w:p>
    <w:p w14:paraId="43808A3B" w14:textId="77777777">
      <w:pPr>
        <w:pStyle w:val="Lista2"/>
      </w:pPr>
      <w:r>
        <w:t xml:space="preserve">should you need to encode gridlike milestones with two or more different units within a single document </w:t>
      </w:r>
      <w:r>
        <w:rPr>
          <w:noProof/>
        </w:rPr>
        <w:t>(</w:t>
      </w:r>
      <w:r>
        <w:t xml:space="preserve">e.g. </w:t>
      </w:r>
      <w:r>
        <w:rPr>
          <w:rStyle w:val="Codevalue"/>
        </w:rPr>
        <w:t>"column"</w:t>
      </w:r>
      <w:r>
        <w:t xml:space="preserve"> alternating with </w:t>
      </w:r>
      <w:r>
        <w:rPr>
          <w:rStyle w:val="Codevalue"/>
        </w:rPr>
        <w:t>"fragment"</w:t>
      </w:r>
      <w:r>
        <w:t xml:space="preserve"> to encode an inscription on whose original gridlike layout a secondary gridlike layout was superimposed by fragmentation), it is recommended that you use a different numeration scheme for the two</w:t>
      </w:r>
    </w:p>
    <w:p w14:paraId="3543E03C" w14:textId="77777777">
      <w:pPr>
        <w:pStyle w:val="Cmsor2"/>
      </w:pPr>
      <w:bookmarkStart w:id="297" w:name="_kqgib25um4gs" w:colFirst="0" w:colLast="0"/>
      <w:bookmarkStart w:id="298" w:name="_toz4tvrpqg6p" w:colFirst="0" w:colLast="0"/>
      <w:bookmarkStart w:id="299" w:name="_varsapous7ty" w:colFirst="0" w:colLast="0"/>
      <w:bookmarkStart w:id="300" w:name="_4iehglajtm57" w:colFirst="0" w:colLast="0"/>
      <w:bookmarkStart w:id="301" w:name="_Ref225242905"/>
      <w:bookmarkStart w:id="302" w:name="_Ref225350898"/>
      <w:bookmarkStart w:id="303" w:name="_Toc243900277"/>
      <w:bookmarkEnd w:id="297"/>
      <w:bookmarkEnd w:id="298"/>
      <w:bookmarkEnd w:id="299"/>
      <w:bookmarkEnd w:id="300"/>
      <w:r>
        <w:t xml:space="preserve">Dealing with the realities of extrinsic </w:t>
      </w:r>
      <w:bookmarkStart w:id="304" w:name="_Ref43990458"/>
      <w:bookmarkEnd w:id="301"/>
      <w:bookmarkEnd w:id="302"/>
      <w:r>
        <w:t>structure</w:t>
      </w:r>
      <w:bookmarkEnd w:id="303"/>
    </w:p>
    <w:p w14:paraId="07FE3FBB" w14:textId="77777777">
      <w:pPr>
        <w:rPr>
          <w:lang w:eastAsia="en-US" w:bidi="ar-SA"/>
        </w:rPr>
      </w:pPr>
      <w:r>
        <w:rPr>
          <w:lang w:eastAsia="en-US" w:bidi="ar-SA"/>
        </w:rPr>
        <w:t>As already noted (§</w:t>
      </w:r>
      <w:r>
        <w:rPr>
          <w:lang w:eastAsia="en-US" w:bidi="ar-SA"/>
        </w:rPr>
        <w:fldChar w:fldCharType="begin"/>
      </w:r>
      <w:r>
        <w:rPr>
          <w:lang w:eastAsia="en-US" w:bidi="ar-SA"/>
        </w:rPr>
        <w:instrText xml:space="preserve"> REF _Ref182923075 \r \h </w:instrText>
      </w:r>
      <w:r>
        <w:rPr>
          <w:lang w:eastAsia="en-US" w:bidi="ar-SA"/>
        </w:rPr>
      </w:r>
      <w:r>
        <w:rPr>
          <w:lang w:eastAsia="en-US" w:bidi="ar-SA"/>
        </w:rPr>
        <w:fldChar w:fldCharType="separate"/>
      </w:r>
      <w:r>
        <w:rPr>
          <w:lang w:eastAsia="en-US" w:bidi="ar-SA"/>
        </w:rPr>
        <w:t>4.1</w:t>
      </w:r>
      <w:r>
        <w:rPr>
          <w:lang w:eastAsia="en-US" w:bidi="ar-SA"/>
        </w:rPr>
        <w:fldChar w:fldCharType="end"/>
      </w:r>
      <w:r>
        <w:rPr>
          <w:lang w:eastAsia="en-US" w:bidi="ar-SA"/>
        </w:rPr>
        <w:t xml:space="preserve">), in DHARMA editions we deliberately keep the complexity of encoding within reasonable limits. In this section we discuss cases where </w:t>
      </w:r>
      <w:r>
        <w:t>the primary field of an inscription (or, as the case may be, a partition of a multipage inscription) is accompanied by one or more supplementary zones (§</w:t>
      </w:r>
      <w:r>
        <w:fldChar w:fldCharType="begin"/>
      </w:r>
      <w:r>
        <w:instrText xml:space="preserve"> REF _Ref225779703 \r \h </w:instrText>
      </w:r>
      <w:r>
        <w:fldChar w:fldCharType="separate"/>
      </w:r>
      <w:r>
        <w:t>4.7.1</w:t>
      </w:r>
      <w:r>
        <w:fldChar w:fldCharType="end"/>
      </w:r>
      <w:r>
        <w:t>) or by page or folio numeration marks (§</w:t>
      </w:r>
      <w:r>
        <w:fldChar w:fldCharType="begin"/>
      </w:r>
      <w:r>
        <w:instrText xml:space="preserve"> REF _Ref43984607 \r \h </w:instrText>
      </w:r>
      <w:r>
        <w:fldChar w:fldCharType="separate"/>
      </w:r>
      <w:r>
        <w:t>4.7.2</w:t>
      </w:r>
      <w:r>
        <w:fldChar w:fldCharType="end"/>
      </w:r>
      <w:r>
        <w:t xml:space="preserve">). We also </w:t>
      </w:r>
      <w:r>
        <w:rPr>
          <w:lang w:eastAsia="en-US" w:bidi="ar-SA"/>
        </w:rPr>
        <w:t>examine situations that are best encoded with boxlike (§</w:t>
      </w:r>
      <w:r>
        <w:rPr>
          <w:lang w:eastAsia="en-US" w:bidi="ar-SA"/>
        </w:rPr>
        <w:fldChar w:fldCharType="begin"/>
      </w:r>
      <w:r>
        <w:rPr>
          <w:lang w:eastAsia="en-US" w:bidi="ar-SA"/>
        </w:rPr>
        <w:instrText xml:space="preserve"> REF _Ref225759775 \r \h </w:instrText>
      </w:r>
      <w:r>
        <w:rPr>
          <w:lang w:eastAsia="en-US" w:bidi="ar-SA"/>
        </w:rPr>
      </w:r>
      <w:r>
        <w:rPr>
          <w:lang w:eastAsia="en-US" w:bidi="ar-SA"/>
        </w:rPr>
        <w:fldChar w:fldCharType="separate"/>
      </w:r>
      <w:r>
        <w:rPr>
          <w:lang w:eastAsia="en-US" w:bidi="ar-SA"/>
        </w:rPr>
        <w:t>4.7.3</w:t>
      </w:r>
      <w:r>
        <w:rPr>
          <w:lang w:eastAsia="en-US" w:bidi="ar-SA"/>
        </w:rPr>
        <w:fldChar w:fldCharType="end"/>
      </w:r>
      <w:r>
        <w:rPr>
          <w:lang w:eastAsia="en-US" w:bidi="ar-SA"/>
        </w:rPr>
        <w:t>), pagelike (§</w:t>
      </w:r>
      <w:r>
        <w:rPr>
          <w:lang w:eastAsia="en-US" w:bidi="ar-SA"/>
        </w:rPr>
        <w:fldChar w:fldCharType="begin"/>
      </w:r>
      <w:r>
        <w:rPr>
          <w:lang w:eastAsia="en-US" w:bidi="ar-SA"/>
        </w:rPr>
        <w:instrText xml:space="preserve"> REF _Ref225759789 \r \h </w:instrText>
      </w:r>
      <w:r>
        <w:rPr>
          <w:lang w:eastAsia="en-US" w:bidi="ar-SA"/>
        </w:rPr>
      </w:r>
      <w:r>
        <w:rPr>
          <w:lang w:eastAsia="en-US" w:bidi="ar-SA"/>
        </w:rPr>
        <w:fldChar w:fldCharType="separate"/>
      </w:r>
      <w:r>
        <w:rPr>
          <w:lang w:eastAsia="en-US" w:bidi="ar-SA"/>
        </w:rPr>
        <w:t>4.7.4</w:t>
      </w:r>
      <w:r>
        <w:rPr>
          <w:lang w:eastAsia="en-US" w:bidi="ar-SA"/>
        </w:rPr>
        <w:fldChar w:fldCharType="end"/>
      </w:r>
      <w:r>
        <w:rPr>
          <w:lang w:eastAsia="en-US" w:bidi="ar-SA"/>
        </w:rPr>
        <w:t>) and gridlike (§</w:t>
      </w:r>
      <w:r>
        <w:rPr>
          <w:lang w:eastAsia="en-US" w:bidi="ar-SA"/>
        </w:rPr>
        <w:fldChar w:fldCharType="begin"/>
      </w:r>
      <w:r>
        <w:rPr>
          <w:lang w:eastAsia="en-US" w:bidi="ar-SA"/>
        </w:rPr>
        <w:instrText xml:space="preserve"> REF _Ref225759805 \r \h </w:instrText>
      </w:r>
      <w:r>
        <w:rPr>
          <w:lang w:eastAsia="en-US" w:bidi="ar-SA"/>
        </w:rPr>
      </w:r>
      <w:r>
        <w:rPr>
          <w:lang w:eastAsia="en-US" w:bidi="ar-SA"/>
        </w:rPr>
        <w:fldChar w:fldCharType="separate"/>
      </w:r>
      <w:r>
        <w:rPr>
          <w:lang w:eastAsia="en-US" w:bidi="ar-SA"/>
        </w:rPr>
        <w:t>4.7.5</w:t>
      </w:r>
      <w:r>
        <w:rPr>
          <w:lang w:eastAsia="en-US" w:bidi="ar-SA"/>
        </w:rPr>
        <w:fldChar w:fldCharType="end"/>
      </w:r>
      <w:r>
        <w:rPr>
          <w:lang w:eastAsia="en-US" w:bidi="ar-SA"/>
        </w:rPr>
        <w:t>) partitions, and discuss some realistic cases with a less-than-neat extrinsic structure, resulting most commonly from fragmentation (§</w:t>
      </w:r>
      <w:r>
        <w:rPr>
          <w:lang w:eastAsia="en-US" w:bidi="ar-SA"/>
        </w:rPr>
        <w:fldChar w:fldCharType="begin"/>
      </w:r>
      <w:r>
        <w:rPr>
          <w:lang w:eastAsia="en-US" w:bidi="ar-SA"/>
        </w:rPr>
        <w:instrText xml:space="preserve"> REF _Ref225759925 \r \h </w:instrText>
      </w:r>
      <w:r>
        <w:rPr>
          <w:lang w:eastAsia="en-US" w:bidi="ar-SA"/>
        </w:rPr>
      </w:r>
      <w:r>
        <w:rPr>
          <w:lang w:eastAsia="en-US" w:bidi="ar-SA"/>
        </w:rPr>
        <w:fldChar w:fldCharType="separate"/>
      </w:r>
      <w:r>
        <w:rPr>
          <w:lang w:eastAsia="en-US" w:bidi="ar-SA"/>
        </w:rPr>
        <w:t>4.7.6</w:t>
      </w:r>
      <w:r>
        <w:rPr>
          <w:lang w:eastAsia="en-US" w:bidi="ar-SA"/>
        </w:rPr>
        <w:fldChar w:fldCharType="end"/>
      </w:r>
      <w:r>
        <w:rPr>
          <w:lang w:eastAsia="en-US" w:bidi="ar-SA"/>
        </w:rPr>
        <w:t>).</w:t>
      </w:r>
    </w:p>
    <w:p w14:paraId="3FDFABEB" w14:textId="77777777">
      <w:pPr>
        <w:pStyle w:val="Cmsor3"/>
      </w:pPr>
      <w:bookmarkStart w:id="305" w:name="_Ref225779703"/>
      <w:bookmarkStart w:id="306" w:name="_Toc243900278"/>
      <w:r>
        <w:t>Peripheral inscribed zones</w:t>
      </w:r>
      <w:bookmarkEnd w:id="305"/>
      <w:bookmarkEnd w:id="306"/>
    </w:p>
    <w:p w14:paraId="02D33F0D" w14:textId="77777777">
      <w:r>
        <w:t>Smaller inscribed zones supplementing a primary inscribed field and containing, for instance, an auspicious invocation, word or symbol, are generally handled simply through the encoding of lines as explained in §</w:t>
      </w:r>
      <w:r>
        <w:fldChar w:fldCharType="begin"/>
      </w:r>
      <w:r>
        <w:instrText xml:space="preserve"> REF _Ref43978135 \r \h </w:instrText>
      </w:r>
      <w:r>
        <w:fldChar w:fldCharType="separate"/>
      </w:r>
      <w:r>
        <w:t>4.7.1.1</w:t>
      </w:r>
      <w:r>
        <w:fldChar w:fldCharType="end"/>
      </w:r>
      <w:r>
        <w:t xml:space="preserve"> and §</w:t>
      </w:r>
      <w:r>
        <w:fldChar w:fldCharType="begin"/>
      </w:r>
      <w:r>
        <w:instrText xml:space="preserve"> REF _Ref182233273 \r \h </w:instrText>
      </w:r>
      <w:r>
        <w:fldChar w:fldCharType="separate"/>
      </w:r>
      <w:r>
        <w:t>4.7.1.2</w:t>
      </w:r>
      <w:r>
        <w:fldChar w:fldCharType="end"/>
      </w:r>
      <w:r>
        <w:t>.</w:t>
      </w:r>
    </w:p>
    <w:p w14:paraId="7D267FAE" w14:textId="77777777">
      <w:pPr>
        <w:pStyle w:val="Normlbehzs"/>
      </w:pPr>
      <w:r>
        <w:t xml:space="preserve">In the Western epigraphic and codicological tradition, opening symbols, words, phrases or stanzas in a document are called </w:t>
      </w:r>
      <w:r>
        <w:rPr>
          <w:rStyle w:val="Foreign"/>
        </w:rPr>
        <w:t>incipit</w:t>
      </w:r>
      <w:r>
        <w:t xml:space="preserve">. Concluding passages and symbols are called </w:t>
      </w:r>
      <w:r>
        <w:rPr>
          <w:rStyle w:val="Foreign"/>
        </w:rPr>
        <w:t>explicit</w:t>
      </w:r>
      <w:r>
        <w:t xml:space="preserve"> or, when recording details about the creation of the document, </w:t>
      </w:r>
      <w:r>
        <w:rPr>
          <w:i/>
          <w:iCs/>
        </w:rPr>
        <w:t>colophon</w:t>
      </w:r>
      <w:r>
        <w:t>. The last lines of inscriptions can also be visually separated from the rest of the principal inscribed field for physical rather than semantic considerations, such as when the engraver had simply run out of space and wrote the last line</w:t>
      </w:r>
      <w:r>
        <w:rPr>
          <w:noProof/>
        </w:rPr>
        <w:t>(</w:t>
      </w:r>
      <w:r>
        <w:t>s) in a margin or interpolated it between the regular lines.</w:t>
      </w:r>
    </w:p>
    <w:p w14:paraId="337F7BCF" w14:textId="76DB0E53">
      <w:pPr>
        <w:pStyle w:val="Normlbehzs"/>
        <w:rPr>
          <w:lang w:eastAsia="en-US" w:bidi="ar-SA"/>
        </w:rPr>
      </w:pPr>
      <w:r>
        <w:t xml:space="preserve">In DHARMA editions, neither incipits nor explicits (including colophons) are distinguished in the encoding. If they are semantically autonomous, then they are wrapped, like any other portion of the text, in one or more </w:t>
      </w:r>
      <w:r>
        <w:rPr>
          <w:rStyle w:val="Code"/>
        </w:rPr>
        <w:t>&lt;ab&gt;</w:t>
      </w:r>
      <w:r>
        <w:t xml:space="preserve">, </w:t>
      </w:r>
      <w:r>
        <w:rPr>
          <w:rStyle w:val="Code"/>
        </w:rPr>
        <w:t>&lt;p&gt;</w:t>
      </w:r>
      <w:r>
        <w:t xml:space="preserve"> or </w:t>
      </w:r>
      <w:r>
        <w:rPr>
          <w:rStyle w:val="Code"/>
        </w:rPr>
        <w:t>&lt;lg&gt;</w:t>
      </w:r>
      <w:r>
        <w:t xml:space="preserve"> elements as applicable </w:t>
      </w:r>
      <w:r>
        <w:rPr>
          <w:noProof/>
        </w:rPr>
        <w:t>(</w:t>
      </w:r>
      <w:r>
        <w:t>§</w:t>
      </w:r>
      <w:r>
        <w:fldChar w:fldCharType="begin"/>
      </w:r>
      <w:r>
        <w:instrText xml:space="preserve"> REF _Ref43978632 \w \h  \* MERGEFORMAT </w:instrText>
      </w:r>
      <w:r>
        <w:fldChar w:fldCharType="separate"/>
      </w:r>
      <w:r>
        <w:t>3</w:t>
      </w:r>
      <w:r>
        <w:fldChar w:fldCharType="end"/>
      </w:r>
      <w:r>
        <w:t>). If they are visually offset from the main text, we still prefer not to encode them as partitions in extrinsic structure. Recall that epigraphic lines may appear in any visual arrangement (§</w:t>
      </w:r>
      <w:r>
        <w:fldChar w:fldCharType="begin"/>
      </w:r>
      <w:r>
        <w:instrText xml:space="preserve"> REF _Ref224720139 \r \h </w:instrText>
      </w:r>
      <w:r>
        <w:fldChar w:fldCharType="separate"/>
      </w:r>
      <w:r>
        <w:t>4.5</w:t>
      </w:r>
      <w:r>
        <w:fldChar w:fldCharType="end"/>
      </w:r>
      <w:r>
        <w:t xml:space="preserve">), so if one line or a small number of lines is visually offset, it or they do not necessarily have to be conceptualised as a separate zone. Therefore, opening and closing lines are encoded just like any other line, as in </w:t>
      </w:r>
      <w:r>
        <w:fldChar w:fldCharType="begin"/>
      </w:r>
      <w:r>
        <w:instrText xml:space="preserve"> REF _Ref225762334 \h </w:instrText>
      </w:r>
      <w:r>
        <w:fldChar w:fldCharType="separate"/>
      </w:r>
      <w:r>
        <w:t xml:space="preserve">Exhibit </w:t>
      </w:r>
      <w:r>
        <w:rPr>
          <w:noProof/>
        </w:rPr>
        <w:t>4.7</w:t>
      </w:r>
      <w:r>
        <w:t>.</w:t>
      </w:r>
      <w:r>
        <w:rPr>
          <w:noProof/>
        </w:rPr>
        <w:t>A</w:t>
      </w:r>
      <w:r>
        <w:fldChar w:fldCharType="end"/>
      </w:r>
      <w:r>
        <w:t>. The fact that they are spatially offset from the principal body can be annotated, while specially aligned lines may be optionally encoded as per §</w:t>
      </w:r>
      <w:r>
        <w:fldChar w:fldCharType="begin"/>
      </w:r>
      <w:r>
        <w:instrText xml:space="preserve"> REF _Ref43987598 \r \h </w:instrText>
      </w:r>
      <w:r>
        <w:fldChar w:fldCharType="separate"/>
      </w:r>
      <w:r>
        <w:t>8.5.1</w:t>
      </w:r>
      <w:r>
        <w:fldChar w:fldCharType="end"/>
      </w:r>
      <w:r>
        <w:t>. That said, we do recommend a special numbering scheme for incipits, which shall conventionally indicate to the reader that such lines are spatially offset from the principal field.</w:t>
      </w:r>
    </w:p>
    <w:tbl>
      <w:tblPr>
        <w:tblStyle w:val="CodeSampleTable"/>
        <w:tblW w:w="5000" w:type="pct"/>
        <w:tblLook w:val="04A0" w:firstRow="1" w:lastRow="0" w:firstColumn="1" w:lastColumn="0" w:noHBand="0" w:noVBand="1"/>
      </w:tblPr>
      <w:tblGrid>
        <w:gridCol w:w="9628"/>
      </w:tblGrid>
      <w:tr w14:paraId="4A83FAE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CBD7024" w14:textId="77777777">
            <w:pPr>
              <w:pStyle w:val="Kpalrs"/>
              <w:keepLines/>
            </w:pPr>
            <w:bookmarkStart w:id="307" w:name="_Ref225762334"/>
            <w:r>
              <w:lastRenderedPageBreak/>
              <w:t xml:space="preserve">Exhibit </w:t>
            </w:r>
            <w:fldSimple w:instr=" STYLEREF 2 \s ">
              <w:r>
                <w:rPr>
                  <w:noProof/>
                </w:rPr>
                <w:t>4.7</w:t>
              </w:r>
            </w:fldSimple>
            <w:r>
              <w:t>.</w:t>
            </w:r>
            <w:fldSimple w:instr=" SEQ Exhibit \* ALPHABETIC \s 2 ">
              <w:r>
                <w:rPr>
                  <w:noProof/>
                </w:rPr>
                <w:t>A</w:t>
              </w:r>
            </w:fldSimple>
            <w:bookmarkEnd w:id="307"/>
            <w:r>
              <w:t>: incipit and colophon</w:t>
            </w:r>
          </w:p>
        </w:tc>
      </w:tr>
      <w:tr w14:paraId="0325D0E5" w14:textId="77777777">
        <w:tc>
          <w:tcPr>
            <w:tcW w:w="5000" w:type="pct"/>
            <w:vAlign w:val="center"/>
          </w:tcPr>
          <w:p w14:paraId="443D6A5A" w14:textId="77777777">
            <w:pPr>
              <w:pStyle w:val="Image"/>
              <w:keepLines/>
              <w:rPr>
                <w:rStyle w:val="Code"/>
              </w:rPr>
            </w:pPr>
            <w:r>
              <w:drawing>
                <wp:inline distT="0" distB="0" distL="0" distR="0" wp14:anchorId="35C4BC6E" wp14:editId="577D8C25">
                  <wp:extent cx="5397500" cy="2593340"/>
                  <wp:effectExtent l="0" t="0" r="0" b="0"/>
                  <wp:docPr id="1460987304"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tc>
      </w:tr>
      <w:tr w14:paraId="10E58201" w14:textId="77777777">
        <w:tc>
          <w:tcPr>
            <w:tcW w:w="5000" w:type="pct"/>
          </w:tcPr>
          <w:p w14:paraId="5CCB9EA2" w14:textId="77777777">
            <w:pPr>
              <w:pStyle w:val="CodeParagraph"/>
              <w:keepNext/>
              <w:keepLines/>
              <w:rPr>
                <w:rStyle w:val="Code"/>
              </w:rPr>
            </w:pPr>
            <w:r>
              <w:rPr>
                <w:rStyle w:val="Code"/>
              </w:rPr>
              <w:t>&lt;ab&gt;</w:t>
            </w:r>
          </w:p>
          <w:p w14:paraId="0A918499"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J. R. R. Tolkien: The Hobbit</w:t>
            </w:r>
          </w:p>
          <w:p w14:paraId="0B98A09A" w14:textId="77777777">
            <w:pPr>
              <w:pStyle w:val="CodeParagraph"/>
              <w:keepNext/>
              <w:keepLines/>
              <w:rPr>
                <w:rStyle w:val="Codetext"/>
              </w:rPr>
            </w:pPr>
            <w:r>
              <w:rPr>
                <w:rStyle w:val="Code"/>
              </w:rPr>
              <w:t>&lt;/ab&gt;</w:t>
            </w:r>
          </w:p>
          <w:p w14:paraId="7955DE34" w14:textId="77777777">
            <w:pPr>
              <w:pStyle w:val="CodeParagraph"/>
              <w:keepNext/>
              <w:keepLines/>
              <w:rPr>
                <w:rStyle w:val="Code"/>
              </w:rPr>
            </w:pPr>
            <w:r>
              <w:rPr>
                <w:rStyle w:val="Code"/>
              </w:rPr>
              <w:t>&lt;p&gt;</w:t>
            </w:r>
          </w:p>
          <w:p w14:paraId="6E3A5BD0" w14:textId="77777777">
            <w:pPr>
              <w:pStyle w:val="CodeParagraph"/>
              <w:keepNext/>
              <w:keepLines/>
              <w:rPr>
                <w:rStyle w:val="Code"/>
              </w:rPr>
            </w:pPr>
            <w:r>
              <w:rPr>
                <w:rStyle w:val="Code"/>
              </w:rPr>
              <w:t xml:space="preserve">  &lt;lb </w:t>
            </w:r>
            <w:r>
              <w:rPr>
                <w:rStyle w:val="Codeattribute"/>
              </w:rPr>
              <w:t>n</w:t>
            </w:r>
            <w:r>
              <w:rPr>
                <w:rStyle w:val="Code"/>
              </w:rPr>
              <w:t>=</w:t>
            </w:r>
            <w:r>
              <w:rPr>
                <w:rStyle w:val="Codevalue"/>
              </w:rPr>
              <w:t>"2"</w:t>
            </w:r>
            <w:r>
              <w:rPr>
                <w:rStyle w:val="Code"/>
              </w:rPr>
              <w:t>/&gt;</w:t>
            </w:r>
            <w:r>
              <w:rPr>
                <w:rStyle w:val="Codetext"/>
              </w:rPr>
              <w:t>In a hole in the ground...</w:t>
            </w:r>
            <w:r>
              <w:rPr>
                <w:rStyle w:val="Codetext"/>
              </w:rPr>
              <w:br/>
            </w:r>
            <w:r>
              <w:rPr>
                <w:rStyle w:val="Code"/>
              </w:rPr>
              <w:t xml:space="preserve">  ...</w:t>
            </w:r>
          </w:p>
          <w:p w14:paraId="4FE11C32"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"6"</w:t>
            </w:r>
            <w:r>
              <w:rPr>
                <w:rStyle w:val="Code"/>
              </w:rPr>
              <w:t>/&gt;</w:t>
            </w:r>
            <w:r>
              <w:rPr>
                <w:rStyle w:val="Codetext"/>
              </w:rPr>
              <w:t>hobbit-hole, and that means comfort.</w:t>
            </w:r>
          </w:p>
          <w:p w14:paraId="0A0377B8" w14:textId="77777777">
            <w:pPr>
              <w:pStyle w:val="CodeParagraph"/>
              <w:keepNext/>
              <w:keepLines/>
              <w:rPr>
                <w:rStyle w:val="Codetext"/>
              </w:rPr>
            </w:pPr>
            <w:r>
              <w:rPr>
                <w:rStyle w:val="Code"/>
              </w:rPr>
              <w:t>&lt;/p&gt;</w:t>
            </w:r>
          </w:p>
          <w:p w14:paraId="4214813F" w14:textId="77777777">
            <w:pPr>
              <w:pStyle w:val="CodeParagraph"/>
              <w:keepNext/>
              <w:keepLines/>
              <w:rPr>
                <w:rStyle w:val="Code"/>
              </w:rPr>
            </w:pPr>
            <w:r>
              <w:rPr>
                <w:rStyle w:val="Code"/>
              </w:rPr>
              <w:t>&lt;ab&gt;</w:t>
            </w:r>
          </w:p>
          <w:p w14:paraId="27AF1898"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"7"</w:t>
            </w:r>
            <w:r>
              <w:rPr>
                <w:rStyle w:val="Code"/>
              </w:rPr>
              <w:t>/&gt;</w:t>
            </w:r>
            <w:r>
              <w:rPr>
                <w:rStyle w:val="Codetext"/>
              </w:rPr>
              <w:t>23 December 2024</w:t>
            </w:r>
          </w:p>
          <w:p w14:paraId="034F365F" w14:textId="77777777">
            <w:pPr>
              <w:pStyle w:val="CodeParagraph"/>
              <w:keepNext/>
              <w:keepLines/>
            </w:pPr>
            <w:r>
              <w:rPr>
                <w:rStyle w:val="Code"/>
              </w:rPr>
              <w:t>&lt;/ab&gt;</w:t>
            </w:r>
          </w:p>
        </w:tc>
      </w:tr>
      <w:tr w14:paraId="58DE0165" w14:textId="77777777">
        <w:tc>
          <w:tcPr>
            <w:tcW w:w="5000" w:type="pct"/>
          </w:tcPr>
          <w:p w14:paraId="4FB90947" w14:textId="77777777">
            <w:pPr>
              <w:pStyle w:val="TableNote"/>
            </w:pPr>
            <w:r>
              <w:t xml:space="preserve">the alignment of the first and last line may be encoded as in </w:t>
            </w:r>
            <w:r>
              <w:fldChar w:fldCharType="begin"/>
            </w:r>
            <w:r>
              <w:instrText xml:space="preserve"> REF _Ref225762134 \h </w:instrText>
            </w:r>
            <w:r>
              <w:fldChar w:fldCharType="separate"/>
            </w:r>
            <w:r>
              <w:t xml:space="preserve">Exhibit </w:t>
            </w:r>
            <w:r>
              <w:rPr>
                <w:noProof/>
              </w:rPr>
              <w:t>8.5</w:t>
            </w:r>
            <w:r>
              <w:t>.</w:t>
            </w:r>
            <w:r>
              <w:rPr>
                <w:noProof/>
              </w:rPr>
              <w:t>A</w:t>
            </w:r>
            <w:r>
              <w:fldChar w:fldCharType="end"/>
            </w:r>
          </w:p>
          <w:p w14:paraId="08A5BA05" w14:textId="77777777">
            <w:pPr>
              <w:pStyle w:val="TableNote"/>
            </w:pPr>
            <w:r>
              <w:t>the first line could be optionally encoded with special numeration (§</w:t>
            </w:r>
            <w:r>
              <w:fldChar w:fldCharType="begin"/>
            </w:r>
            <w:r>
              <w:instrText xml:space="preserve"> REF _Ref43978135 \r \h </w:instrText>
            </w:r>
            <w:r>
              <w:fldChar w:fldCharType="separate"/>
            </w:r>
            <w:r>
              <w:t>4.7.1.1</w:t>
            </w:r>
            <w:r>
              <w:fldChar w:fldCharType="end"/>
            </w:r>
            <w:r>
              <w:t>)</w:t>
            </w:r>
          </w:p>
        </w:tc>
      </w:tr>
    </w:tbl>
    <w:p w14:paraId="57E866A4" w14:textId="77777777">
      <w:pPr>
        <w:pStyle w:val="Cmsor4"/>
      </w:pPr>
      <w:bookmarkStart w:id="308" w:name="_2aaf1avj18kw" w:colFirst="0" w:colLast="0"/>
      <w:bookmarkStart w:id="309" w:name="_rr8pkbi3b1cc" w:colFirst="0" w:colLast="0"/>
      <w:bookmarkStart w:id="310" w:name="_tmbjz6tt6rwk" w:colFirst="0" w:colLast="0"/>
      <w:bookmarkStart w:id="311" w:name="_Ref43978135"/>
      <w:bookmarkEnd w:id="308"/>
      <w:bookmarkEnd w:id="309"/>
      <w:bookmarkEnd w:id="310"/>
      <w:r>
        <w:t xml:space="preserve">Spatially offset opening sections </w:t>
      </w:r>
      <w:r>
        <w:rPr>
          <w:noProof/>
        </w:rPr>
        <w:t>(</w:t>
      </w:r>
      <w:r>
        <w:t>incipits)</w:t>
      </w:r>
      <w:bookmarkEnd w:id="311"/>
    </w:p>
    <w:p w14:paraId="09B69173" w14:textId="77777777">
      <w:pPr>
        <w:pStyle w:val="Lista"/>
      </w:pPr>
      <w:r>
        <w:t xml:space="preserve">incipits are usually semantically separate from the principal inscription, and will therefore be normally enclosed in one or more separate </w:t>
      </w:r>
      <w:r>
        <w:rPr>
          <w:rStyle w:val="Code"/>
        </w:rPr>
        <w:t>&lt;ab&gt;</w:t>
      </w:r>
      <w:r>
        <w:t xml:space="preserve">, </w:t>
      </w:r>
      <w:r>
        <w:rPr>
          <w:rStyle w:val="Code"/>
        </w:rPr>
        <w:t>&lt;p&gt;</w:t>
      </w:r>
      <w:r>
        <w:t xml:space="preserve"> or </w:t>
      </w:r>
      <w:r>
        <w:rPr>
          <w:rStyle w:val="Code"/>
        </w:rPr>
        <w:t>&lt;lg&gt;</w:t>
      </w:r>
      <w:r>
        <w:t xml:space="preserve"> element as applicable </w:t>
      </w:r>
      <w:r>
        <w:rPr>
          <w:noProof/>
        </w:rPr>
        <w:t>(</w:t>
      </w:r>
      <w:r>
        <w:t>§</w:t>
      </w:r>
      <w:r>
        <w:fldChar w:fldCharType="begin"/>
      </w:r>
      <w:r>
        <w:instrText xml:space="preserve"> REF _Ref43978632 \w \h  \* MERGEFORMAT </w:instrText>
      </w:r>
      <w:r>
        <w:fldChar w:fldCharType="separate"/>
      </w:r>
      <w:r>
        <w:t>3</w:t>
      </w:r>
      <w:r>
        <w:fldChar w:fldCharType="end"/>
      </w:r>
      <w:r>
        <w:t>)</w:t>
      </w:r>
    </w:p>
    <w:p w14:paraId="3BF6A386" w14:textId="77777777">
      <w:pPr>
        <w:pStyle w:val="Lista"/>
      </w:pPr>
      <w:r>
        <w:t xml:space="preserve">the line(s) containing an incipit may be numbered from 1, with the numeration continuing seamlessly into the main field, as in </w:t>
      </w:r>
      <w:r>
        <w:fldChar w:fldCharType="begin"/>
      </w:r>
      <w:r>
        <w:instrText xml:space="preserve"> REF _Ref225762334 \h </w:instrText>
      </w:r>
      <w:r>
        <w:fldChar w:fldCharType="separate"/>
      </w:r>
      <w:r>
        <w:t xml:space="preserve">Exhibit </w:t>
      </w:r>
      <w:r>
        <w:rPr>
          <w:noProof/>
        </w:rPr>
        <w:t>4.7</w:t>
      </w:r>
      <w:r>
        <w:t>.</w:t>
      </w:r>
      <w:r>
        <w:rPr>
          <w:noProof/>
        </w:rPr>
        <w:t>A</w:t>
      </w:r>
      <w:r>
        <w:fldChar w:fldCharType="end"/>
      </w:r>
    </w:p>
    <w:p w14:paraId="7FEC0EBD" w14:textId="77777777">
      <w:pPr>
        <w:pStyle w:val="Lista2"/>
      </w:pPr>
      <w:r>
        <w:t>this is recommended for incipits whose spatial location fits into the regular sequence of lines in the main field</w:t>
      </w:r>
    </w:p>
    <w:p w14:paraId="1DFE584E" w14:textId="77777777">
      <w:pPr>
        <w:pStyle w:val="Lista"/>
      </w:pPr>
      <w:r>
        <w:t>optionally, the incipit’s line(s) may be given a different numeration scheme, which by DHARMA convention indicates a visually offset incipit</w:t>
      </w:r>
    </w:p>
    <w:p w14:paraId="418E74B0" w14:textId="77777777">
      <w:pPr>
        <w:pStyle w:val="Lista2"/>
      </w:pPr>
      <w:r>
        <w:t>this is recommended when the incipit is outside the regular sequence of lines, such as</w:t>
      </w:r>
    </w:p>
    <w:p w14:paraId="111F614D" w14:textId="77777777">
      <w:pPr>
        <w:pStyle w:val="Lista3"/>
      </w:pPr>
      <w:r>
        <w:t xml:space="preserve">above the principal field and conspicuously separate from it (as in </w:t>
      </w:r>
      <w:r>
        <w:fldChar w:fldCharType="begin"/>
      </w:r>
      <w:r>
        <w:instrText xml:space="preserve"> REF _Ref239843991 \r \h </w:instrText>
      </w:r>
      <w:r>
        <w:fldChar w:fldCharType="separate"/>
      </w:r>
      <w:r>
        <w:t>Appendix A.6</w:t>
      </w:r>
      <w:r>
        <w:fldChar w:fldCharType="end"/>
      </w:r>
      <w:r>
        <w:t>)</w:t>
      </w:r>
    </w:p>
    <w:p w14:paraId="7BE486E2" w14:textId="77777777">
      <w:pPr>
        <w:pStyle w:val="Lista3"/>
      </w:pPr>
      <w:r>
        <w:t xml:space="preserve">inset into the principal campus at a corner, edge, or floating inside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r>
        <w:t>)</w:t>
      </w:r>
    </w:p>
    <w:p w14:paraId="091789FC" w14:textId="77777777">
      <w:pPr>
        <w:pStyle w:val="Lista3"/>
      </w:pPr>
      <w:r>
        <w:t xml:space="preserve">in a margin (as in </w:t>
      </w:r>
      <w:r>
        <w:fldChar w:fldCharType="begin"/>
      </w:r>
      <w:r>
        <w:instrText xml:space="preserve"> REF _Ref225765627 \h </w:instrText>
      </w:r>
      <w:r>
        <w:fldChar w:fldCharType="separate"/>
      </w:r>
      <w:r>
        <w:t xml:space="preserve">Exhibit </w:t>
      </w:r>
      <w:r>
        <w:rPr>
          <w:noProof/>
        </w:rPr>
        <w:t>4.7</w:t>
      </w:r>
      <w:r>
        <w:t>.</w:t>
      </w:r>
      <w:r>
        <w:rPr>
          <w:noProof/>
        </w:rPr>
        <w:t>C</w:t>
      </w:r>
      <w:r>
        <w:fldChar w:fldCharType="end"/>
      </w:r>
      <w:r>
        <w:t>)</w:t>
      </w:r>
    </w:p>
    <w:p w14:paraId="67154204" w14:textId="77777777">
      <w:pPr>
        <w:pStyle w:val="Lista2"/>
      </w:pPr>
      <w:r>
        <w:t>the recommended numeration scheme is to add a leading 0 (zero) to the numbers of offset lines, then starting the numeration of the main field’s lines normally from 1</w:t>
      </w:r>
    </w:p>
    <w:p w14:paraId="35927982" w14:textId="77777777">
      <w:pPr>
        <w:pStyle w:val="Lista3"/>
      </w:pPr>
      <w:r>
        <w:t xml:space="preserve">for simple line numbers, use 01, 02, etc. for visually offset incipit lines,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p>
    <w:p w14:paraId="4F4C32D6" w14:textId="77777777">
      <w:pPr>
        <w:pStyle w:val="Lista3"/>
      </w:pPr>
      <w:r>
        <w:t>if the lines of your edition are numbered using the repetitive scheme (§</w:t>
      </w:r>
      <w:r>
        <w:fldChar w:fldCharType="begin"/>
      </w:r>
      <w:r>
        <w:instrText xml:space="preserve"> REF _Ref182228380 \r \h </w:instrText>
      </w:r>
      <w:r>
        <w:fldChar w:fldCharType="separate"/>
      </w:r>
      <w:r>
        <w:t>4.5.2.2</w:t>
      </w:r>
      <w:r>
        <w:fldChar w:fldCharType="end"/>
      </w:r>
      <w:r>
        <w:t>), use A01, A02, B01, etc. on any pagelike partition where an offset incipit is present</w:t>
      </w:r>
    </w:p>
    <w:p w14:paraId="394727F0" w14:textId="77777777">
      <w:pPr>
        <w:pStyle w:val="Lista4"/>
      </w:pPr>
      <w:r>
        <w:t xml:space="preserve">see the Case Study in </w:t>
      </w:r>
      <w:r>
        <w:fldChar w:fldCharType="begin"/>
      </w:r>
      <w:r>
        <w:instrText xml:space="preserve"> REF _Ref239844234 \r \h </w:instrText>
      </w:r>
      <w:r>
        <w:fldChar w:fldCharType="separate"/>
      </w:r>
      <w:r>
        <w:t>Appendix A.6</w:t>
      </w:r>
      <w:r>
        <w:fldChar w:fldCharType="end"/>
      </w:r>
      <w:r>
        <w:t xml:space="preserve"> for a Cambodian stele as an illustration</w:t>
      </w:r>
    </w:p>
    <w:p w14:paraId="79D4071D" w14:textId="77777777">
      <w:pPr>
        <w:pStyle w:val="Lista2"/>
      </w:pPr>
      <w:r>
        <w:t>if desired, you may opt for a different numeration scheme for incipit lines, so long as all line numbers remain unique through an edition (or textpart division)</w:t>
      </w:r>
    </w:p>
    <w:p w14:paraId="5621D713" w14:textId="77777777">
      <w:pPr>
        <w:pStyle w:val="Lista"/>
      </w:pPr>
      <w:r>
        <w:t xml:space="preserve">if applicable </w:t>
      </w:r>
      <w:r>
        <w:rPr>
          <w:noProof/>
        </w:rPr>
        <w:t>(</w:t>
      </w:r>
      <w:r>
        <w:t>i.e. if different from the body text), optionally encode the alignment (§</w:t>
      </w:r>
      <w:r>
        <w:fldChar w:fldCharType="begin"/>
      </w:r>
      <w:r>
        <w:instrText xml:space="preserve"> REF _Ref43987598 \r \h </w:instrText>
      </w:r>
      <w:r>
        <w:fldChar w:fldCharType="separate"/>
      </w:r>
      <w:r>
        <w:t>8.5.1</w:t>
      </w:r>
      <w:r>
        <w:fldChar w:fldCharType="end"/>
      </w:r>
      <w:r>
        <w:t xml:space="preserve">) and/or orientation </w:t>
      </w:r>
      <w:r>
        <w:rPr>
          <w:noProof/>
        </w:rPr>
        <w:t>(</w:t>
      </w:r>
      <w:r>
        <w:t>§</w:t>
      </w:r>
      <w:r>
        <w:fldChar w:fldCharType="begin"/>
      </w:r>
      <w:r>
        <w:instrText xml:space="preserve"> REF _Ref43984782 \w \h  \* MERGEFORMAT </w:instrText>
      </w:r>
      <w:r>
        <w:fldChar w:fldCharType="separate"/>
      </w:r>
      <w:r>
        <w:t>8.5.2</w:t>
      </w:r>
      <w:r>
        <w:fldChar w:fldCharType="end"/>
      </w:r>
      <w:r>
        <w:t xml:space="preserve">) of the incipit lines using attributes on the </w:t>
      </w:r>
      <w:r>
        <w:rPr>
          <w:rStyle w:val="Code"/>
        </w:rPr>
        <w:t>&lt;lb/&gt;</w:t>
      </w:r>
      <w:r>
        <w:t xml:space="preserve"> element, as in </w:t>
      </w:r>
      <w:r>
        <w:fldChar w:fldCharType="begin"/>
      </w:r>
      <w:r>
        <w:instrText xml:space="preserve"> REF _Ref225765627 \h </w:instrText>
      </w:r>
      <w:r>
        <w:fldChar w:fldCharType="separate"/>
      </w:r>
      <w:r>
        <w:t xml:space="preserve">Exhibit </w:t>
      </w:r>
      <w:r>
        <w:rPr>
          <w:noProof/>
        </w:rPr>
        <w:t>4.7</w:t>
      </w:r>
      <w:r>
        <w:t>.</w:t>
      </w:r>
      <w:r>
        <w:rPr>
          <w:noProof/>
        </w:rPr>
        <w:t>C</w:t>
      </w:r>
      <w:r>
        <w:fldChar w:fldCharType="end"/>
      </w:r>
    </w:p>
    <w:p w14:paraId="4A1FBD7D" w14:textId="14A77E79">
      <w:pPr>
        <w:pStyle w:val="Lista2"/>
      </w:pPr>
      <w:r>
        <w:lastRenderedPageBreak/>
        <w:t xml:space="preserve">all other details of presentation </w:t>
      </w:r>
      <w:r>
        <w:rPr>
          <w:noProof/>
        </w:rPr>
        <w:t>(</w:t>
      </w:r>
      <w:r>
        <w:t>e.g. line length, relative location, interference with the regular lines) shall be recorded for human readers in your annotation, but not encoded explicitly</w:t>
      </w:r>
    </w:p>
    <w:tbl>
      <w:tblPr>
        <w:tblStyle w:val="CodeSampleTable"/>
        <w:tblW w:w="5000" w:type="pct"/>
        <w:tblLook w:val="04A0" w:firstRow="1" w:lastRow="0" w:firstColumn="1" w:lastColumn="0" w:noHBand="0" w:noVBand="1"/>
      </w:tblPr>
      <w:tblGrid>
        <w:gridCol w:w="6624"/>
        <w:gridCol w:w="3004"/>
      </w:tblGrid>
      <w:tr w14:paraId="493079C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EB537F5" w14:textId="77777777">
            <w:pPr>
              <w:pStyle w:val="Kpalrs"/>
            </w:pPr>
            <w:bookmarkStart w:id="312" w:name="_Ref225765626"/>
            <w:r>
              <w:t xml:space="preserve">Exhibit </w:t>
            </w:r>
            <w:fldSimple w:instr=" STYLEREF 2 \s ">
              <w:r>
                <w:rPr>
                  <w:noProof/>
                </w:rPr>
                <w:t>4.7</w:t>
              </w:r>
            </w:fldSimple>
            <w:r>
              <w:t>.</w:t>
            </w:r>
            <w:fldSimple w:instr=" SEQ Exhibit \* ALPHABETIC \s 2 ">
              <w:r>
                <w:rPr>
                  <w:noProof/>
                </w:rPr>
                <w:t>B</w:t>
              </w:r>
            </w:fldSimple>
            <w:bookmarkEnd w:id="312"/>
            <w:r>
              <w:t>: incipit of two lines inset in the top left corner</w:t>
            </w:r>
          </w:p>
        </w:tc>
      </w:tr>
      <w:tr w14:paraId="52CFA21D" w14:textId="77777777">
        <w:tc>
          <w:tcPr>
            <w:tcW w:w="3440" w:type="pct"/>
          </w:tcPr>
          <w:p w14:paraId="63BCEE4E" w14:textId="77777777">
            <w:pPr>
              <w:pStyle w:val="CodeParagraph"/>
              <w:rPr>
                <w:rStyle w:val="Codetext"/>
              </w:rPr>
            </w:pP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/&gt;&lt;ab&gt;</w:t>
            </w:r>
            <w:r>
              <w:rPr>
                <w:rStyle w:val="Codetext"/>
              </w:rPr>
              <w:t>dr̥ṣṭaM</w:t>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"02"</w:t>
            </w:r>
            <w:r>
              <w:rPr>
                <w:rStyle w:val="Code"/>
              </w:rPr>
              <w:t>/&gt;&lt;ab&gt;</w:t>
            </w:r>
            <w:r>
              <w:rPr>
                <w:rStyle w:val="Codetext"/>
              </w:rPr>
              <w:t>siddhaM</w:t>
            </w:r>
            <w:r>
              <w:rPr>
                <w:rStyle w:val="Code"/>
              </w:rPr>
              <w:t>&lt;/ab&gt;</w:t>
            </w:r>
            <w:r>
              <w:rPr>
                <w:rStyle w:val="Codetext"/>
              </w:rPr>
              <w:br/>
            </w:r>
            <w:r>
              <w:rPr>
                <w:rStyle w:val="Code"/>
              </w:rPr>
              <w:t>&lt;/ab&gt;</w:t>
            </w:r>
            <w:r>
              <w:rPr>
                <w:rStyle w:val="Codetext"/>
              </w:rPr>
              <w:br/>
            </w: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/&gt;&lt;p&gt;</w:t>
            </w:r>
            <w:r>
              <w:rPr>
                <w:rStyle w:val="Codetext"/>
              </w:rPr>
              <w:t>agniṣṭomāpto...</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sādyaskra-catur-aśvamedha...</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m mahārāja-śrī...</w:t>
            </w:r>
            <w:r>
              <w:rPr>
                <w:rStyle w:val="Codetext"/>
              </w:rPr>
              <w:br/>
              <w:t>...</w:t>
            </w:r>
          </w:p>
          <w:p w14:paraId="620F21D1" w14:textId="77777777">
            <w:pPr>
              <w:pStyle w:val="CodeParagraph"/>
            </w:pPr>
            <w:r>
              <w:rPr>
                <w:rStyle w:val="Code"/>
              </w:rPr>
              <w:t>&lt;/p&gt;</w:t>
            </w:r>
          </w:p>
        </w:tc>
        <w:tc>
          <w:tcPr>
            <w:tcW w:w="1560" w:type="pct"/>
            <w:vAlign w:val="bottom"/>
          </w:tcPr>
          <w:p w14:paraId="799135F3" w14:textId="77777777">
            <w:pPr>
              <w:pStyle w:val="Image"/>
            </w:pPr>
            <w:r>
              <w:drawing>
                <wp:inline distT="0" distB="0" distL="0" distR="0" wp14:anchorId="06764C86" wp14:editId="0362656F">
                  <wp:extent cx="1652905" cy="1303884"/>
                  <wp:effectExtent l="0" t="0" r="444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cstate="print">
                            <a:extLst>
                              <a:ext uri="{28A0092B-C50C-407E-A947-70E740481C1C}">
                                <a14:useLocalDpi xmlns:a14="http://schemas.microsoft.com/office/drawing/2010/main" val="0"/>
                              </a:ext>
                            </a:extLst>
                          </a:blip>
                          <a:srcRect/>
                          <a:stretch>
                            <a:fillRect/>
                          </a:stretch>
                        </pic:blipFill>
                        <pic:spPr>
                          <a:xfrm>
                            <a:off x="0" y="0"/>
                            <a:ext cx="1676551" cy="1322537"/>
                          </a:xfrm>
                          <a:prstGeom prst="rect">
                            <a:avLst/>
                          </a:prstGeom>
                          <a:ln/>
                        </pic:spPr>
                      </pic:pic>
                    </a:graphicData>
                  </a:graphic>
                </wp:inline>
              </w:drawing>
            </w:r>
          </w:p>
        </w:tc>
      </w:tr>
      <w:tr w14:paraId="2BE50ADC" w14:textId="77777777">
        <w:tc>
          <w:tcPr>
            <w:tcW w:w="5000" w:type="pct"/>
            <w:gridSpan w:val="2"/>
          </w:tcPr>
          <w:p w14:paraId="028B0FAD" w14:textId="77777777">
            <w:pPr>
              <w:pStyle w:val="TableNote"/>
            </w:pPr>
            <w:r>
              <w:t>the two lines of the incipit are outside the regular sequence of the lines of the principal field, so they have been encoded with special numbering</w:t>
            </w:r>
          </w:p>
        </w:tc>
      </w:tr>
    </w:tbl>
    <w:p w14:paraId="0CDE5772" w14:textId="77777777"/>
    <w:tbl>
      <w:tblPr>
        <w:tblStyle w:val="CodeSampleTable"/>
        <w:tblW w:w="5000" w:type="pct"/>
        <w:tblLook w:val="04A0" w:firstRow="1" w:lastRow="0" w:firstColumn="1" w:lastColumn="0" w:noHBand="0" w:noVBand="1"/>
      </w:tblPr>
      <w:tblGrid>
        <w:gridCol w:w="7227"/>
        <w:gridCol w:w="2401"/>
      </w:tblGrid>
      <w:tr w14:paraId="08EB859C"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8CD5966" w14:textId="77777777">
            <w:pPr>
              <w:pStyle w:val="Kpalrs"/>
            </w:pPr>
            <w:bookmarkStart w:id="313" w:name="_Ref225765627"/>
            <w:r>
              <w:t xml:space="preserve">Exhibit </w:t>
            </w:r>
            <w:fldSimple w:instr=" STYLEREF 2 \s ">
              <w:r>
                <w:rPr>
                  <w:noProof/>
                </w:rPr>
                <w:t>4.7</w:t>
              </w:r>
            </w:fldSimple>
            <w:r>
              <w:t>.</w:t>
            </w:r>
            <w:fldSimple w:instr=" SEQ Exhibit \* ALPHABETIC \s 2 ">
              <w:r>
                <w:rPr>
                  <w:noProof/>
                </w:rPr>
                <w:t>C</w:t>
              </w:r>
            </w:fldSimple>
            <w:bookmarkEnd w:id="313"/>
            <w:r>
              <w:t>: incipit written vertically, with upright glyphs, in the left margin</w:t>
            </w:r>
          </w:p>
        </w:tc>
      </w:tr>
      <w:tr w14:paraId="61BDD02D" w14:textId="77777777">
        <w:tc>
          <w:tcPr>
            <w:tcW w:w="3753" w:type="pct"/>
          </w:tcPr>
          <w:p w14:paraId="4E716632" w14:textId="77777777">
            <w:pPr>
              <w:pStyle w:val="CodeParagraph"/>
            </w:pP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 xml:space="preserve">"01" </w:t>
            </w:r>
            <w:r>
              <w:rPr>
                <w:rStyle w:val="Codeattribute"/>
              </w:rPr>
              <w:t>rend</w:t>
            </w:r>
            <w:r>
              <w:rPr>
                <w:rStyle w:val="Code"/>
              </w:rPr>
              <w:t>=</w:t>
            </w:r>
            <w:r>
              <w:rPr>
                <w:rStyle w:val="Codevalue"/>
              </w:rPr>
              <w:t>"tb-upright"</w:t>
            </w:r>
            <w:r>
              <w:rPr>
                <w:rStyle w:val="Code"/>
              </w:rPr>
              <w:t>/&gt;</w:t>
            </w:r>
            <w:r>
              <w:rPr>
                <w:rStyle w:val="Codetext"/>
              </w:rPr>
              <w:t>siddhaM</w:t>
            </w:r>
            <w:r>
              <w:rPr>
                <w:rStyle w:val="Codetext"/>
              </w:rPr>
              <w:br/>
            </w:r>
            <w:r>
              <w:rPr>
                <w:rStyle w:val="Code"/>
              </w:rPr>
              <w:t>&lt;/ab&gt;</w:t>
            </w:r>
            <w:r>
              <w:rPr>
                <w:rStyle w:val="Codetext"/>
              </w:rPr>
              <w:br/>
            </w: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"sragdharā"</w:t>
            </w:r>
            <w:r>
              <w:rPr>
                <w:rStyle w:val="Code"/>
              </w:rPr>
              <w:t>&gt;</w:t>
            </w:r>
            <w:r>
              <w:rPr>
                <w:rStyle w:val="Codetext"/>
              </w:rPr>
              <w:br/>
              <w:t xml:space="preserve">  </w:t>
            </w:r>
            <w:r>
              <w:rPr>
                <w:rStyle w:val="Code"/>
              </w:rPr>
              <w:t xml:space="preserve">&lt;l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rPr>
                <w:rStyle w:val="Codetext"/>
              </w:rPr>
              <w:t>yasyopasthāna...</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/&gt;</w:t>
            </w:r>
            <w:r>
              <w:rPr>
                <w:rStyle w:val="Codetext"/>
              </w:rPr>
              <w:t>guptānāṁ...</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/&gt;</w:t>
            </w:r>
            <w:r>
              <w:rPr>
                <w:rStyle w:val="Codetext"/>
              </w:rPr>
              <w:t>rājye...</w:t>
            </w:r>
            <w:r>
              <w:rPr>
                <w:rStyle w:val="Code"/>
              </w:rPr>
              <w:t>&lt;/l&gt;</w:t>
            </w:r>
            <w:r>
              <w:rPr>
                <w:rStyle w:val="Codetext"/>
              </w:rPr>
              <w:br/>
              <w:t xml:space="preserve">  </w:t>
            </w:r>
            <w:r>
              <w:rPr>
                <w:rStyle w:val="Code"/>
              </w:rPr>
              <w:t xml:space="preserve">&lt;l </w:t>
            </w:r>
            <w:r>
              <w:rPr>
                <w:rStyle w:val="Codeattribute"/>
              </w:rPr>
              <w:t>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/&gt;</w:t>
            </w:r>
            <w:r>
              <w:rPr>
                <w:rStyle w:val="Codetext"/>
              </w:rPr>
              <w:t>varṣe...</w:t>
            </w:r>
            <w:r>
              <w:rPr>
                <w:rStyle w:val="Code"/>
              </w:rPr>
              <w:t>&lt;/l&gt;</w:t>
            </w:r>
            <w:r>
              <w:rPr>
                <w:rStyle w:val="Codetext"/>
              </w:rPr>
              <w:br/>
            </w:r>
            <w:r>
              <w:rPr>
                <w:rStyle w:val="Code"/>
              </w:rPr>
              <w:t>&lt;/lg&gt;</w:t>
            </w:r>
          </w:p>
        </w:tc>
        <w:tc>
          <w:tcPr>
            <w:tcW w:w="1247" w:type="pct"/>
            <w:vAlign w:val="bottom"/>
          </w:tcPr>
          <w:p w14:paraId="6F6A72AA" w14:textId="77777777">
            <w:pPr>
              <w:pStyle w:val="Image"/>
            </w:pPr>
            <w:r>
              <w:drawing>
                <wp:inline distT="0" distB="0" distL="0" distR="0" wp14:anchorId="70DA0200" wp14:editId="768BC06B">
                  <wp:extent cx="1254125" cy="1198832"/>
                  <wp:effectExtent l="0" t="0" r="3175" b="1905"/>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cstate="print">
                            <a:extLst>
                              <a:ext uri="{28A0092B-C50C-407E-A947-70E740481C1C}">
                                <a14:useLocalDpi xmlns:a14="http://schemas.microsoft.com/office/drawing/2010/main" val="0"/>
                              </a:ext>
                            </a:extLst>
                          </a:blip>
                          <a:srcRect/>
                          <a:stretch>
                            <a:fillRect/>
                          </a:stretch>
                        </pic:blipFill>
                        <pic:spPr>
                          <a:xfrm>
                            <a:off x="0" y="0"/>
                            <a:ext cx="1280196" cy="1223753"/>
                          </a:xfrm>
                          <a:prstGeom prst="rect">
                            <a:avLst/>
                          </a:prstGeom>
                          <a:ln/>
                        </pic:spPr>
                      </pic:pic>
                    </a:graphicData>
                  </a:graphic>
                </wp:inline>
              </w:drawing>
            </w:r>
          </w:p>
        </w:tc>
      </w:tr>
      <w:tr w14:paraId="0A419B66" w14:textId="77777777">
        <w:tc>
          <w:tcPr>
            <w:tcW w:w="5000" w:type="pct"/>
            <w:gridSpan w:val="2"/>
          </w:tcPr>
          <w:p w14:paraId="49E84841" w14:textId="77777777">
            <w:pPr>
              <w:pStyle w:val="TableNote"/>
            </w:pPr>
            <w:r>
              <w:t>the incipit is outside the regular sequence of the lines, so it has been encoded with special numbering</w:t>
            </w:r>
          </w:p>
          <w:p w14:paraId="6F28D3C1" w14:textId="77777777">
            <w:pPr>
              <w:pStyle w:val="TableNote"/>
            </w:pPr>
            <w:r>
              <w:t>in the edition, the line with the incipit is placed before the lines of the body</w:t>
            </w:r>
          </w:p>
          <w:p w14:paraId="0C5093C5" w14:textId="77777777">
            <w:pPr>
              <w:pStyle w:val="TableNote"/>
            </w:pPr>
            <w:r>
              <w:t>the directionality of this line has been encoded as per §</w:t>
            </w:r>
            <w:r>
              <w:fldChar w:fldCharType="begin"/>
            </w:r>
            <w:r>
              <w:instrText xml:space="preserve"> REF _Ref43984782 \r \h </w:instrText>
            </w:r>
            <w:r>
              <w:fldChar w:fldCharType="separate"/>
            </w:r>
            <w:r>
              <w:t>8.5.2</w:t>
            </w:r>
            <w:r>
              <w:fldChar w:fldCharType="end"/>
            </w:r>
          </w:p>
        </w:tc>
      </w:tr>
    </w:tbl>
    <w:p w14:paraId="40AAAF4A" w14:textId="77777777">
      <w:pPr>
        <w:pStyle w:val="Cmsor4"/>
      </w:pPr>
      <w:bookmarkStart w:id="314" w:name="_tg7yz01k2pc5" w:colFirst="0" w:colLast="0"/>
      <w:bookmarkStart w:id="315" w:name="_Ref43984537"/>
      <w:bookmarkStart w:id="316" w:name="_Ref182233273"/>
      <w:bookmarkEnd w:id="314"/>
      <w:r>
        <w:t xml:space="preserve">Spatially offset closing lines </w:t>
      </w:r>
      <w:r>
        <w:rPr>
          <w:noProof/>
        </w:rPr>
        <w:t>(</w:t>
      </w:r>
      <w:r>
        <w:t>colophons)</w:t>
      </w:r>
      <w:bookmarkEnd w:id="315"/>
      <w:bookmarkEnd w:id="316"/>
    </w:p>
    <w:p w14:paraId="6F13873E" w14:textId="77777777">
      <w:pPr>
        <w:pStyle w:val="Lista"/>
      </w:pPr>
      <w:r>
        <w:t xml:space="preserve">colophons are usually semantically separate from the principal inscription, and will therefore be normally enclosed in one or more separate </w:t>
      </w:r>
      <w:r>
        <w:rPr>
          <w:rStyle w:val="Code"/>
        </w:rPr>
        <w:t>&lt;ab&gt;</w:t>
      </w:r>
      <w:r>
        <w:t xml:space="preserve">, </w:t>
      </w:r>
      <w:r>
        <w:rPr>
          <w:rStyle w:val="Code"/>
        </w:rPr>
        <w:t>&lt;p&gt;</w:t>
      </w:r>
      <w:r>
        <w:t xml:space="preserve"> or </w:t>
      </w:r>
      <w:r>
        <w:rPr>
          <w:rStyle w:val="Code"/>
        </w:rPr>
        <w:t>&lt;lg&gt;</w:t>
      </w:r>
      <w:r>
        <w:t xml:space="preserve"> element as applicable </w:t>
      </w:r>
      <w:r>
        <w:rPr>
          <w:noProof/>
        </w:rPr>
        <w:t>(</w:t>
      </w:r>
      <w:r>
        <w:t>§</w:t>
      </w:r>
      <w:r>
        <w:fldChar w:fldCharType="begin"/>
      </w:r>
      <w:r>
        <w:instrText xml:space="preserve"> REF _Ref43978632 \w \h  \* MERGEFORMAT </w:instrText>
      </w:r>
      <w:r>
        <w:fldChar w:fldCharType="separate"/>
      </w:r>
      <w:r>
        <w:t>3</w:t>
      </w:r>
      <w:r>
        <w:fldChar w:fldCharType="end"/>
      </w:r>
      <w:r>
        <w:t>)</w:t>
      </w:r>
    </w:p>
    <w:p w14:paraId="5B383BCD" w14:textId="77777777">
      <w:pPr>
        <w:pStyle w:val="Lista"/>
      </w:pPr>
      <w:r>
        <w:t>colophons in our texts often begin midline, contiguously with the end of the preceding text</w:t>
      </w:r>
    </w:p>
    <w:p w14:paraId="175AFF11" w14:textId="77777777">
      <w:pPr>
        <w:pStyle w:val="Lista"/>
      </w:pPr>
      <w:r>
        <w:t>even when a colophon occupies a line or lines on its own, such lines shall usually not be distinguished in the encoding from regular lines</w:t>
      </w:r>
    </w:p>
    <w:p w14:paraId="18F7EF9E" w14:textId="77777777">
      <w:pPr>
        <w:pStyle w:val="Lista2"/>
      </w:pPr>
      <w:r>
        <w:t>passages interpreted as colophons but physically integrated with the partition and line structure of the main field shall not be marked up in any special manner</w:t>
      </w:r>
    </w:p>
    <w:p w14:paraId="7AB03BF7" w14:textId="77777777">
      <w:pPr>
        <w:pStyle w:val="Lista3"/>
      </w:pPr>
      <w:r>
        <w:t>number their lines consecutively after the last regular line</w:t>
      </w:r>
    </w:p>
    <w:p w14:paraId="55F95C14" w14:textId="77777777">
      <w:pPr>
        <w:pStyle w:val="Lista2"/>
      </w:pPr>
      <w:r>
        <w:t xml:space="preserve">when one or a few last lines are aligned or oriented differently than the lines of the main field, as in </w:t>
      </w:r>
      <w:r>
        <w:fldChar w:fldCharType="begin"/>
      </w:r>
      <w:r>
        <w:instrText xml:space="preserve"> REF _Ref182232568 \h </w:instrText>
      </w:r>
      <w:r>
        <w:fldChar w:fldCharType="separate"/>
      </w:r>
      <w:r>
        <w:t xml:space="preserve">Exhibit </w:t>
      </w:r>
      <w:r>
        <w:rPr>
          <w:noProof/>
        </w:rPr>
        <w:t>4.7</w:t>
      </w:r>
      <w:r>
        <w:t>.</w:t>
      </w:r>
      <w:r>
        <w:rPr>
          <w:noProof/>
        </w:rPr>
        <w:t>D</w:t>
      </w:r>
      <w:r>
        <w:fldChar w:fldCharType="end"/>
      </w:r>
    </w:p>
    <w:p w14:paraId="5A4E5417" w14:textId="77777777">
      <w:pPr>
        <w:pStyle w:val="Lista3"/>
      </w:pPr>
      <w:r>
        <w:t>then regardless of whether these lines comprise a colophon, these visual layout features can be optionally encoded as per §</w:t>
      </w:r>
      <w:r>
        <w:fldChar w:fldCharType="begin"/>
      </w:r>
      <w:r>
        <w:instrText xml:space="preserve"> REF _Ref43987598 \r \h </w:instrText>
      </w:r>
      <w:r>
        <w:fldChar w:fldCharType="separate"/>
      </w:r>
      <w:r>
        <w:t>8.5.1</w:t>
      </w:r>
      <w:r>
        <w:fldChar w:fldCharType="end"/>
      </w:r>
      <w:r>
        <w:t xml:space="preserve"> and §</w:t>
      </w:r>
      <w:r>
        <w:fldChar w:fldCharType="begin"/>
      </w:r>
      <w:r>
        <w:instrText xml:space="preserve"> REF _Ref43984782 \w \h  \* MERGEFORMAT </w:instrText>
      </w:r>
      <w:r>
        <w:fldChar w:fldCharType="separate"/>
      </w:r>
      <w:r>
        <w:t>8.5.2</w:t>
      </w:r>
      <w:r>
        <w:fldChar w:fldCharType="end"/>
      </w:r>
    </w:p>
    <w:p w14:paraId="09FCD49E" w14:textId="77777777">
      <w:pPr>
        <w:pStyle w:val="Lista"/>
      </w:pPr>
      <w:r>
        <w:t xml:space="preserve">however, when a smaller piece of text that is deemed to belong rather to the end than to the beginning of the text (i.e. to be an explicit rather than an incipit) is inset into the principal campus at a corner, edge, or floating inside (as in </w:t>
      </w:r>
      <w:r>
        <w:fldChar w:fldCharType="begin"/>
      </w:r>
      <w:r>
        <w:instrText xml:space="preserve"> REF _Ref225765628 \h </w:instrText>
      </w:r>
      <w:r>
        <w:fldChar w:fldCharType="separate"/>
      </w:r>
      <w:r>
        <w:t xml:space="preserve">Exhibit </w:t>
      </w:r>
      <w:r>
        <w:rPr>
          <w:noProof/>
        </w:rPr>
        <w:t>4.7</w:t>
      </w:r>
      <w:r>
        <w:t>.</w:t>
      </w:r>
      <w:r>
        <w:rPr>
          <w:noProof/>
        </w:rPr>
        <w:t>E</w:t>
      </w:r>
      <w:r>
        <w:fldChar w:fldCharType="end"/>
      </w:r>
      <w:r>
        <w:t>), this may be represented by a different numeration scheme, which by DHARMA convention indicates a visually offset explicit</w:t>
      </w:r>
    </w:p>
    <w:p w14:paraId="43757835" w14:textId="77777777">
      <w:pPr>
        <w:pStyle w:val="Lista2"/>
      </w:pPr>
      <w:r>
        <w:t>the recommended numeration scheme is to add a leading 0 (zero) to the numbers of offset lines</w:t>
      </w:r>
    </w:p>
    <w:p w14:paraId="0C9155AF" w14:textId="77777777">
      <w:pPr>
        <w:pStyle w:val="Lista3"/>
      </w:pPr>
      <w:r>
        <w:t xml:space="preserve">for simple line numbers, use 01, 02, etc. for visually offset explicit lines, as in </w:t>
      </w:r>
      <w:r>
        <w:fldChar w:fldCharType="begin"/>
      </w:r>
      <w:r>
        <w:instrText xml:space="preserve"> REF _Ref225765626 \h </w:instrText>
      </w:r>
      <w:r>
        <w:fldChar w:fldCharType="separate"/>
      </w:r>
      <w:r>
        <w:t xml:space="preserve">Exhibit </w:t>
      </w:r>
      <w:r>
        <w:rPr>
          <w:noProof/>
        </w:rPr>
        <w:t>4.7</w:t>
      </w:r>
      <w:r>
        <w:t>.</w:t>
      </w:r>
      <w:r>
        <w:rPr>
          <w:noProof/>
        </w:rPr>
        <w:t>B</w:t>
      </w:r>
      <w:r>
        <w:fldChar w:fldCharType="end"/>
      </w:r>
    </w:p>
    <w:p w14:paraId="3E90D88A" w14:textId="77777777">
      <w:pPr>
        <w:pStyle w:val="Lista3"/>
      </w:pPr>
      <w:r>
        <w:t>if the lines of your edition are numbered using the repetitive scheme (§</w:t>
      </w:r>
      <w:r>
        <w:fldChar w:fldCharType="begin"/>
      </w:r>
      <w:r>
        <w:instrText xml:space="preserve"> REF _Ref182228380 \r \h </w:instrText>
      </w:r>
      <w:r>
        <w:fldChar w:fldCharType="separate"/>
      </w:r>
      <w:r>
        <w:t>4.5.2.2</w:t>
      </w:r>
      <w:r>
        <w:fldChar w:fldCharType="end"/>
      </w:r>
      <w:r>
        <w:t>), use A01, A02, B01, etc. on any pagelike partition where an offset explicit is present</w:t>
      </w:r>
    </w:p>
    <w:p w14:paraId="55D0084A" w14:textId="77777777">
      <w:pPr>
        <w:pStyle w:val="Lista2"/>
      </w:pPr>
      <w:r>
        <w:t>if desired, you may opt for a different numeration scheme for explicit lines, so long as all line numbers remain unique through an edition (or textpart division)</w:t>
      </w:r>
    </w:p>
    <w:p w14:paraId="28DAD6C7" w14:textId="77777777">
      <w:pPr>
        <w:pStyle w:val="Lista"/>
      </w:pPr>
      <w:r>
        <w:t xml:space="preserve">all other details of presentation </w:t>
      </w:r>
      <w:r>
        <w:rPr>
          <w:noProof/>
        </w:rPr>
        <w:t>(</w:t>
      </w:r>
      <w:r>
        <w:t>e.g. line length, relative location, interference with the regular lines) shall be recorded for human readers in your annotation, but not encoded expressly</w:t>
      </w:r>
    </w:p>
    <w:tbl>
      <w:tblPr>
        <w:tblStyle w:val="CodeSampleTable"/>
        <w:tblW w:w="5000" w:type="pct"/>
        <w:tblLook w:val="04A0" w:firstRow="1" w:lastRow="0" w:firstColumn="1" w:lastColumn="0" w:noHBand="0" w:noVBand="1"/>
      </w:tblPr>
      <w:tblGrid>
        <w:gridCol w:w="4814"/>
        <w:gridCol w:w="4814"/>
      </w:tblGrid>
      <w:tr w14:paraId="178989F9"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6E6E463D" w14:textId="77777777">
            <w:pPr>
              <w:pStyle w:val="Kpalrs"/>
              <w:keepLines/>
            </w:pPr>
            <w:bookmarkStart w:id="317" w:name="_Ref182232568"/>
            <w:r>
              <w:lastRenderedPageBreak/>
              <w:t xml:space="preserve">Exhibit </w:t>
            </w:r>
            <w:fldSimple w:instr=" STYLEREF 2 \s ">
              <w:r>
                <w:rPr>
                  <w:noProof/>
                </w:rPr>
                <w:t>4.7</w:t>
              </w:r>
            </w:fldSimple>
            <w:r>
              <w:t>.</w:t>
            </w:r>
            <w:fldSimple w:instr=" SEQ Exhibit \* ALPHABETIC \s 2 ">
              <w:r>
                <w:rPr>
                  <w:noProof/>
                </w:rPr>
                <w:t>D</w:t>
              </w:r>
            </w:fldSimple>
            <w:bookmarkEnd w:id="317"/>
            <w:r>
              <w:t>: last line inscribed vertically in the right margin</w:t>
            </w:r>
          </w:p>
        </w:tc>
      </w:tr>
      <w:tr w14:paraId="275E62CB" w14:textId="77777777">
        <w:tc>
          <w:tcPr>
            <w:tcW w:w="2500" w:type="pct"/>
          </w:tcPr>
          <w:p w14:paraId="127EDA05" w14:textId="77777777">
            <w:pPr>
              <w:pStyle w:val="CodeParagraph"/>
              <w:rPr>
                <w:rStyle w:val="Codetext"/>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/&gt;there lived a hobbit. Not</w:t>
            </w:r>
          </w:p>
          <w:p w14:paraId="277EAD03"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a nasty, dirty, wet hole,</w:t>
            </w:r>
          </w:p>
          <w:p w14:paraId="41C01299"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filled with the ends of</w:t>
            </w:r>
          </w:p>
          <w:p w14:paraId="00964E81"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worms and an oozy</w:t>
            </w:r>
          </w:p>
          <w:p w14:paraId="214E52F4"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smell, nor yet a dry, bare,</w:t>
            </w:r>
          </w:p>
          <w:p w14:paraId="54D114EF"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sandy hole with nothing</w:t>
            </w:r>
          </w:p>
          <w:p w14:paraId="741D064D" w14:textId="77777777">
            <w:pPr>
              <w:pStyle w:val="CodeParagraph"/>
            </w:pPr>
            <w:r>
              <w:rPr>
                <w:rStyle w:val="Codetext"/>
              </w:rPr>
              <w:t xml:space="preserve">  </w:t>
            </w:r>
            <w:r>
              <w:rPr>
                <w:rStyle w:val="Code"/>
              </w:rPr>
              <w:t xml:space="preserve">&lt;lb </w:t>
            </w:r>
            <w:r>
              <w:rPr>
                <w:rStyle w:val="Codeattribute"/>
              </w:rPr>
              <w:t>n</w:t>
            </w:r>
            <w:r>
              <w:rPr>
                <w:rStyle w:val="Code"/>
              </w:rPr>
              <w:t>=</w:t>
            </w:r>
            <w:r>
              <w:rPr>
                <w:rStyle w:val="Codevalue"/>
              </w:rPr>
              <w:t>"8"</w:t>
            </w:r>
            <w:r>
              <w:rPr>
                <w:rStyle w:val="Code"/>
              </w:rPr>
              <w:t>/&gt;</w:t>
            </w:r>
            <w:r>
              <w:rPr>
                <w:rStyle w:val="Codetext"/>
              </w:rPr>
              <w:t>in it to sit down on or to</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/&gt;</w:t>
            </w:r>
            <w:r>
              <w:rPr>
                <w:rStyle w:val="Codetext"/>
              </w:rPr>
              <w:t>eat: it was a hobbit-hole</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 xml:space="preserve"> </w:t>
            </w:r>
            <w:r>
              <w:rPr>
                <w:rStyle w:val="Codeattribute"/>
              </w:rPr>
              <w:t>rend</w:t>
            </w:r>
            <w:r>
              <w:rPr>
                <w:rStyle w:val="Code"/>
              </w:rPr>
              <w:t>=</w:t>
            </w:r>
            <w:r>
              <w:rPr>
                <w:rStyle w:val="Codevalue"/>
              </w:rPr>
              <w:t>"bt-rotated"</w:t>
            </w:r>
            <w:r>
              <w:rPr>
                <w:rStyle w:val="Code"/>
              </w:rPr>
              <w:t>/&gt;</w:t>
            </w:r>
            <w:r>
              <w:rPr>
                <w:rStyle w:val="Codetext"/>
              </w:rPr>
              <w:t>and that means comfort.</w:t>
            </w:r>
            <w:r>
              <w:rPr>
                <w:rStyle w:val="Codetext"/>
              </w:rPr>
              <w:br/>
            </w:r>
            <w:r>
              <w:rPr>
                <w:rStyle w:val="Code"/>
              </w:rPr>
              <w:t>&lt;/p&gt;</w:t>
            </w:r>
          </w:p>
        </w:tc>
        <w:tc>
          <w:tcPr>
            <w:tcW w:w="2500" w:type="pct"/>
            <w:vAlign w:val="bottom"/>
          </w:tcPr>
          <w:p w14:paraId="1887A8AB" w14:textId="77777777">
            <w:pPr>
              <w:pStyle w:val="Image"/>
            </w:pPr>
            <w:r>
              <w:drawing>
                <wp:inline distT="0" distB="0" distL="0" distR="0" wp14:anchorId="6A61C3FA" wp14:editId="43A83872">
                  <wp:extent cx="2879725" cy="2381250"/>
                  <wp:effectExtent l="0" t="0" r="0" b="0"/>
                  <wp:docPr id="1563944009"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79725" cy="2381250"/>
                          </a:xfrm>
                          <a:prstGeom prst="rect">
                            <a:avLst/>
                          </a:prstGeom>
                          <a:noFill/>
                          <a:ln>
                            <a:noFill/>
                          </a:ln>
                        </pic:spPr>
                      </pic:pic>
                    </a:graphicData>
                  </a:graphic>
                </wp:inline>
              </w:drawing>
            </w:r>
          </w:p>
        </w:tc>
      </w:tr>
      <w:tr w14:paraId="4F2B48E7" w14:textId="77777777">
        <w:tc>
          <w:tcPr>
            <w:tcW w:w="5000" w:type="pct"/>
            <w:gridSpan w:val="2"/>
          </w:tcPr>
          <w:p w14:paraId="6B00C1D6" w14:textId="77777777">
            <w:pPr>
              <w:pStyle w:val="TableNote"/>
            </w:pPr>
            <w:r>
              <w:t>the last line was presumably written in the margin because the engraver had run out of space</w:t>
            </w:r>
          </w:p>
          <w:p w14:paraId="17192282" w14:textId="77777777">
            <w:pPr>
              <w:pStyle w:val="TableNote"/>
            </w:pPr>
            <w:r>
              <w:t>no encoding indicates this quirk of layout</w:t>
            </w:r>
          </w:p>
          <w:p w14:paraId="3A4DA121" w14:textId="77777777">
            <w:pPr>
              <w:pStyle w:val="TableNote"/>
            </w:pPr>
            <w:r>
              <w:t>but the directionality of the last line is encoded as per §</w:t>
            </w:r>
            <w:r>
              <w:fldChar w:fldCharType="begin"/>
            </w:r>
            <w:r>
              <w:instrText xml:space="preserve"> REF _Ref43984782 \w \h  \* MERGEFORMAT </w:instrText>
            </w:r>
            <w:r>
              <w:fldChar w:fldCharType="separate"/>
            </w:r>
            <w:r>
              <w:t>8.5.2</w:t>
            </w:r>
            <w:r>
              <w:fldChar w:fldCharType="end"/>
            </w:r>
          </w:p>
        </w:tc>
      </w:tr>
    </w:tbl>
    <w:p w14:paraId="4A989E8F" w14:textId="77777777"/>
    <w:tbl>
      <w:tblPr>
        <w:tblStyle w:val="CodeSampleTable"/>
        <w:tblW w:w="5000" w:type="pct"/>
        <w:tblLook w:val="04A0" w:firstRow="1" w:lastRow="0" w:firstColumn="1" w:lastColumn="0" w:noHBand="0" w:noVBand="1"/>
      </w:tblPr>
      <w:tblGrid>
        <w:gridCol w:w="9628"/>
      </w:tblGrid>
      <w:tr w14:paraId="2CF397F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C07A937" w14:textId="77777777">
            <w:pPr>
              <w:pStyle w:val="Kpalrs"/>
            </w:pPr>
            <w:bookmarkStart w:id="318" w:name="_Ref225765628"/>
            <w:r>
              <w:t xml:space="preserve">Exhibit </w:t>
            </w:r>
            <w:fldSimple w:instr=" STYLEREF 2 \s ">
              <w:r>
                <w:rPr>
                  <w:noProof/>
                </w:rPr>
                <w:t>4.7</w:t>
              </w:r>
            </w:fldSimple>
            <w:r>
              <w:t>.</w:t>
            </w:r>
            <w:fldSimple w:instr=" SEQ Exhibit \* ALPHABETIC \s 2 ">
              <w:r>
                <w:rPr>
                  <w:noProof/>
                </w:rPr>
                <w:t>E</w:t>
              </w:r>
            </w:fldSimple>
            <w:bookmarkEnd w:id="318"/>
            <w:r>
              <w:t>: explicit floating within the principal inscribed field</w:t>
            </w:r>
          </w:p>
        </w:tc>
      </w:tr>
      <w:tr w14:paraId="0E68542E" w14:textId="77777777">
        <w:tc>
          <w:tcPr>
            <w:tcW w:w="5000" w:type="pct"/>
          </w:tcPr>
          <w:p w14:paraId="1818E726" w14:textId="77777777">
            <w:pPr>
              <w:pStyle w:val="Image"/>
            </w:pPr>
            <w:r>
              <w:drawing>
                <wp:inline distT="0" distB="0" distL="0" distR="0" wp14:anchorId="278A3319" wp14:editId="7BD71D12">
                  <wp:extent cx="6120765" cy="1167130"/>
                  <wp:effectExtent l="0" t="0" r="0" b="0"/>
                  <wp:docPr id="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765" cy="1167130"/>
                          </a:xfrm>
                          <a:prstGeom prst="rect">
                            <a:avLst/>
                          </a:prstGeom>
                          <a:noFill/>
                          <a:ln>
                            <a:noFill/>
                          </a:ln>
                        </pic:spPr>
                      </pic:pic>
                    </a:graphicData>
                  </a:graphic>
                </wp:inline>
              </w:drawing>
            </w:r>
          </w:p>
        </w:tc>
      </w:tr>
      <w:tr w14:paraId="2C90CA42" w14:textId="77777777">
        <w:tc>
          <w:tcPr>
            <w:tcW w:w="5000" w:type="pct"/>
          </w:tcPr>
          <w:p w14:paraId="5372251A" w14:textId="77777777">
            <w:pPr>
              <w:pStyle w:val="CodeParagraph"/>
              <w:rPr>
                <w:rStyle w:val="Code"/>
              </w:rPr>
            </w:pPr>
            <w:r>
              <w:rPr>
                <w:rStyle w:val="Code"/>
              </w:rPr>
              <w:t>&lt;p&gt;</w:t>
            </w:r>
          </w:p>
          <w:p w14:paraId="5D063FB8" w14:textId="77777777">
            <w:pPr>
              <w:pStyle w:val="CodeParagraph"/>
              <w:rPr>
                <w:rStyle w:val="Code"/>
              </w:rPr>
            </w:pPr>
            <w:r>
              <w:rPr>
                <w:rStyle w:val="Code"/>
              </w:rPr>
              <w:t xml:space="preserve">  ...</w:t>
            </w:r>
          </w:p>
          <w:p w14:paraId="53C7578D" w14:textId="77777777">
            <w:pPr>
              <w:pStyle w:val="CodeParagraph"/>
              <w:rPr>
                <w:rStyle w:val="Code"/>
              </w:rPr>
            </w:pPr>
            <w:r>
              <w:rPr>
                <w:rStyle w:val="Code"/>
              </w:rPr>
              <w:t xml:space="preserve">  &lt;lb </w:t>
            </w:r>
            <w:r>
              <w:rPr>
                <w:rStyle w:val="Codeattribute"/>
              </w:rPr>
              <w:t>n=</w:t>
            </w:r>
            <w:r>
              <w:rPr>
                <w:rStyle w:val="Codevalue"/>
              </w:rPr>
              <w:t>"60"</w:t>
            </w:r>
            <w:r>
              <w:rPr>
                <w:rStyle w:val="Code"/>
              </w:rPr>
              <w:t xml:space="preserve"> </w:t>
            </w:r>
            <w:r>
              <w:rPr>
                <w:rStyle w:val="Codeattribute"/>
              </w:rPr>
              <w:t>break=</w:t>
            </w:r>
            <w:r>
              <w:rPr>
                <w:rStyle w:val="Codevalue"/>
              </w:rPr>
              <w:t>"no"</w:t>
            </w:r>
            <w:r>
              <w:rPr>
                <w:rStyle w:val="Code"/>
              </w:rPr>
              <w:t>/&gt;āṉat=tuk=ku=M&lt;/p&gt;</w:t>
            </w:r>
          </w:p>
          <w:p w14:paraId="217690AB" w14:textId="77777777">
            <w:pPr>
              <w:pStyle w:val="CodeParagraph"/>
              <w:rPr>
                <w:rStyle w:val="Code"/>
              </w:rPr>
            </w:pPr>
            <w:r>
              <w:rPr>
                <w:rStyle w:val="Code"/>
              </w:rPr>
              <w:t>&lt;p&gt;civayōka-ṉāyaki A</w:t>
            </w:r>
          </w:p>
          <w:p w14:paraId="5C98BECB" w14:textId="77777777">
            <w:pPr>
              <w:pStyle w:val="CodeParagraph"/>
              <w:rPr>
                <w:rStyle w:val="Code"/>
              </w:rPr>
            </w:pPr>
            <w:r>
              <w:rPr>
                <w:rStyle w:val="Code"/>
              </w:rPr>
              <w:t xml:space="preserve">  &lt;lb </w:t>
            </w:r>
            <w:r>
              <w:rPr>
                <w:rStyle w:val="Codeattribute"/>
              </w:rPr>
              <w:t>n=</w:t>
            </w:r>
            <w:r>
              <w:rPr>
                <w:rStyle w:val="Codevalue"/>
              </w:rPr>
              <w:t>"61"</w:t>
            </w:r>
            <w:r>
              <w:rPr>
                <w:rStyle w:val="Code"/>
              </w:rPr>
              <w:t xml:space="preserve"> </w:t>
            </w:r>
            <w:r>
              <w:rPr>
                <w:rStyle w:val="Codeattribute"/>
              </w:rPr>
              <w:t>break=</w:t>
            </w:r>
            <w:r>
              <w:rPr>
                <w:rStyle w:val="Code"/>
              </w:rPr>
              <w:t>"</w:t>
            </w:r>
            <w:r>
              <w:rPr>
                <w:rStyle w:val="Codevalue"/>
              </w:rPr>
              <w:t>no"</w:t>
            </w:r>
            <w:r>
              <w:rPr>
                <w:rStyle w:val="Code"/>
              </w:rPr>
              <w:t>/&gt;mmaṉuk=ku=M Aṭap=pa-varicai Āparaṇat=tu=k=ku=M</w:t>
            </w:r>
          </w:p>
          <w:p w14:paraId="6ADC674E" w14:textId="77777777">
            <w:pPr>
              <w:pStyle w:val="CodeParagraph"/>
              <w:rPr>
                <w:rStyle w:val="Code"/>
              </w:rPr>
            </w:pPr>
            <w:r>
              <w:rPr>
                <w:rStyle w:val="Code"/>
              </w:rPr>
              <w:t xml:space="preserve">  ...</w:t>
            </w:r>
          </w:p>
          <w:p w14:paraId="24741B51" w14:textId="77777777">
            <w:pPr>
              <w:pStyle w:val="CodeParagraph"/>
              <w:rPr>
                <w:rStyle w:val="Code"/>
              </w:rPr>
            </w:pPr>
            <w:r>
              <w:rPr>
                <w:rStyle w:val="Code"/>
              </w:rPr>
              <w:t>&lt;/p&gt;</w:t>
            </w:r>
          </w:p>
          <w:p w14:paraId="1548AF32" w14:textId="77777777">
            <w:pPr>
              <w:pStyle w:val="CodeParagraph"/>
              <w:rPr>
                <w:rStyle w:val="Code"/>
              </w:rPr>
            </w:pPr>
            <w:r>
              <w:rPr>
                <w:rStyle w:val="Code"/>
              </w:rPr>
              <w:t>&lt;ab&gt;</w:t>
            </w:r>
          </w:p>
          <w:p w14:paraId="2075D08E" w14:textId="77777777">
            <w:pPr>
              <w:pStyle w:val="CodeParagraph"/>
              <w:rPr>
                <w:rStyle w:val="Code"/>
              </w:rPr>
            </w:pPr>
            <w:r>
              <w:rPr>
                <w:rStyle w:val="Code"/>
              </w:rPr>
              <w:t xml:space="preserve">  &lt;lb </w:t>
            </w:r>
            <w:r>
              <w:rPr>
                <w:rStyle w:val="Codeattribute"/>
              </w:rPr>
              <w:t>n=</w:t>
            </w:r>
            <w:r>
              <w:rPr>
                <w:rStyle w:val="Codevalue"/>
              </w:rPr>
              <w:t>"01"</w:t>
            </w:r>
            <w:r>
              <w:rPr>
                <w:rStyle w:val="Code"/>
              </w:rPr>
              <w:t xml:space="preserve">/&gt;&lt;seg </w:t>
            </w:r>
            <w:r>
              <w:rPr>
                <w:rStyle w:val="Codeattribute"/>
              </w:rPr>
              <w:t>rendition</w:t>
            </w:r>
            <w:r>
              <w:rPr>
                <w:rStyle w:val="Codetext"/>
              </w:rPr>
              <w:t>=</w:t>
            </w:r>
            <w:r>
              <w:rPr>
                <w:rStyle w:val="Codevalue"/>
              </w:rPr>
              <w:t>"class:36768 maturity:83213"</w:t>
            </w:r>
            <w:r>
              <w:rPr>
                <w:rStyle w:val="Code"/>
              </w:rPr>
              <w:t>&gt;śrī-śaṁkaran·&lt;/seg&gt; tuṇai</w:t>
            </w:r>
          </w:p>
          <w:p w14:paraId="62CEA4AF" w14:textId="77777777">
            <w:pPr>
              <w:pStyle w:val="CodeParagraph"/>
              <w:rPr>
                <w:rStyle w:val="Code"/>
              </w:rPr>
            </w:pPr>
            <w:r>
              <w:rPr>
                <w:rStyle w:val="Code"/>
              </w:rPr>
              <w:t>&lt;/ab&gt;</w:t>
            </w:r>
          </w:p>
        </w:tc>
      </w:tr>
      <w:tr w14:paraId="2BF0B859" w14:textId="77777777">
        <w:tc>
          <w:tcPr>
            <w:tcW w:w="5000" w:type="pct"/>
          </w:tcPr>
          <w:p w14:paraId="49AC030B" w14:textId="77777777">
            <w:pPr>
              <w:pStyle w:val="TableNote"/>
            </w:pPr>
            <w:r>
              <w:t>the text in the frame is a blessing that is not connected to the adjacent text</w:t>
            </w:r>
          </w:p>
          <w:p w14:paraId="66FD9842" w14:textId="77777777">
            <w:pPr>
              <w:pStyle w:val="TableNote"/>
            </w:pPr>
            <w:r>
              <w:t>the frame is located in the lower third of the verso of a copper plate</w:t>
            </w:r>
          </w:p>
          <w:p w14:paraId="29C6FEF5" w14:textId="77777777">
            <w:pPr>
              <w:pStyle w:val="TableNote"/>
            </w:pPr>
            <w:r>
              <w:t>the contents of the frame have been represented as a specially numbered explicit</w:t>
            </w:r>
          </w:p>
          <w:p w14:paraId="522FD4D2" w14:textId="77777777">
            <w:pPr>
              <w:pStyle w:val="TableNote"/>
            </w:pPr>
            <w:r>
              <w:t>in the edition, it is placed in logical sequence after the lines of the body</w:t>
            </w:r>
          </w:p>
          <w:p w14:paraId="100451A3" w14:textId="77777777">
            <w:pPr>
              <w:pStyle w:val="TableNote"/>
            </w:pPr>
            <w:r>
              <w:t>at the physical location of the inset, only the regular body lines are represented in the edition</w:t>
            </w:r>
          </w:p>
          <w:p w14:paraId="10BC896C" w14:textId="77777777">
            <w:pPr>
              <w:pStyle w:val="TableNote"/>
            </w:pPr>
            <w:r>
              <w:t>the Grantha script used in part of the blessing is encoded as per §</w:t>
            </w:r>
            <w:r>
              <w:fldChar w:fldCharType="begin"/>
            </w:r>
            <w:r>
              <w:instrText xml:space="preserve"> REF _Ref232173895 \r \h </w:instrText>
            </w:r>
            <w:r>
              <w:fldChar w:fldCharType="separate"/>
            </w:r>
            <w:r>
              <w:t>8.2.3.4</w:t>
            </w:r>
            <w:r>
              <w:fldChar w:fldCharType="end"/>
            </w:r>
            <w:r>
              <w:t xml:space="preserve"> </w:t>
            </w:r>
          </w:p>
        </w:tc>
      </w:tr>
    </w:tbl>
    <w:p w14:paraId="51736C80" w14:textId="77777777">
      <w:pPr>
        <w:pStyle w:val="Cmsor3"/>
      </w:pPr>
      <w:bookmarkStart w:id="319" w:name="_l370o66akj7v" w:colFirst="0" w:colLast="0"/>
      <w:bookmarkStart w:id="320" w:name="_Ref43984607"/>
      <w:bookmarkStart w:id="321" w:name="_Toc243900279"/>
      <w:bookmarkEnd w:id="319"/>
      <w:r>
        <w:t>Pagination or foliation: “forme work”</w:t>
      </w:r>
      <w:bookmarkEnd w:id="320"/>
      <w:bookmarkEnd w:id="321"/>
    </w:p>
    <w:p w14:paraId="54163F2B" w14:textId="77777777">
      <w:r>
        <w:t>Copperplate sets sometimes bear numbers to indicate the reading order of folios. In principle, other inscriptions involving pagelike partitions (§</w:t>
      </w:r>
      <w:r>
        <w:fldChar w:fldCharType="begin"/>
      </w:r>
      <w:r>
        <w:instrText xml:space="preserve"> REF _Ref233982406 \r \h </w:instrText>
      </w:r>
      <w:r>
        <w:fldChar w:fldCharType="separate"/>
      </w:r>
      <w:r>
        <w:t>4.4</w:t>
      </w:r>
      <w:r>
        <w:fldChar w:fldCharType="end"/>
      </w:r>
      <w:r>
        <w:t xml:space="preserve">) might also include labels or numeration outside the principal field of one or more pages. The generic term for such items is </w:t>
      </w:r>
      <w:r>
        <w:rPr>
          <w:i/>
          <w:iCs/>
        </w:rPr>
        <w:t>forme work</w:t>
      </w:r>
      <w:r>
        <w:t xml:space="preserve">, borrowed from printing jargon, where </w:t>
      </w:r>
      <w:r>
        <w:rPr>
          <w:rStyle w:val="Foreign"/>
        </w:rPr>
        <w:t>forme</w:t>
      </w:r>
      <w:r>
        <w:t xml:space="preserve"> means the frame constructed to hold the blocks of movable type that constitute a page. In our encoding practice, the use of forme work shall be restricted to cases where very short, identical or similar pieces of text (typically for numeration) appear in conjunction with one or more pages of a document involving pagelike partitions. In other cases, consider whether the text item you are dealing with is rather an incipit (§</w:t>
      </w:r>
      <w:r>
        <w:fldChar w:fldCharType="begin"/>
      </w:r>
      <w:r>
        <w:instrText xml:space="preserve"> REF _Ref43978135 \r \h </w:instrText>
      </w:r>
      <w:r>
        <w:fldChar w:fldCharType="separate"/>
      </w:r>
      <w:r>
        <w:t>4.7.1.1</w:t>
      </w:r>
      <w:r>
        <w:fldChar w:fldCharType="end"/>
      </w:r>
      <w:r>
        <w:t>) or a colophon (§</w:t>
      </w:r>
      <w:r>
        <w:fldChar w:fldCharType="begin"/>
      </w:r>
      <w:r>
        <w:instrText xml:space="preserve"> REF _Ref182233273 \r \h </w:instrText>
      </w:r>
      <w:r>
        <w:fldChar w:fldCharType="separate"/>
      </w:r>
      <w:r>
        <w:t>4.7.1.2</w:t>
      </w:r>
      <w:r>
        <w:fldChar w:fldCharType="end"/>
      </w:r>
      <w:r>
        <w:t xml:space="preserve">). The encoding of forme work is illustrated in </w:t>
      </w:r>
      <w:r>
        <w:fldChar w:fldCharType="begin"/>
      </w:r>
      <w:r>
        <w:instrText xml:space="preserve"> REF _Ref182234393 \h </w:instrText>
      </w:r>
      <w:r>
        <w:fldChar w:fldCharType="separate"/>
      </w:r>
      <w:r>
        <w:t xml:space="preserve">Exhibit </w:t>
      </w:r>
      <w:r>
        <w:rPr>
          <w:noProof/>
        </w:rPr>
        <w:t>4.7</w:t>
      </w:r>
      <w:r>
        <w:t>.</w:t>
      </w:r>
      <w:r>
        <w:rPr>
          <w:noProof/>
        </w:rPr>
        <w:t>G</w:t>
      </w:r>
      <w:r>
        <w:fldChar w:fldCharType="end"/>
      </w:r>
      <w:r>
        <w:t>.</w:t>
      </w:r>
    </w:p>
    <w:p w14:paraId="74823833" w14:textId="77777777">
      <w:pPr>
        <w:pStyle w:val="Cmsor4"/>
      </w:pPr>
      <w:r>
        <w:lastRenderedPageBreak/>
        <w:t>Encoding forme work</w:t>
      </w:r>
    </w:p>
    <w:tbl>
      <w:tblPr>
        <w:tblStyle w:val="FigureTable"/>
        <w:tblpPr w:leftFromText="181" w:rightFromText="181" w:vertAnchor="text" w:horzAnchor="margin" w:tblpXSpec="right" w:tblpY="92"/>
        <w:tblW w:w="4536" w:type="dxa"/>
        <w:jc w:val="right"/>
        <w:tblLook w:val="04A0" w:firstRow="1" w:lastRow="0" w:firstColumn="1" w:lastColumn="0" w:noHBand="0" w:noVBand="1"/>
      </w:tblPr>
      <w:tblGrid>
        <w:gridCol w:w="4536"/>
      </w:tblGrid>
      <w:tr w14:paraId="6423EB4E" w14:textId="77777777">
        <w:trPr>
          <w:cnfStyle w:val="100000000000" w:firstRow="1" w:lastRow="0" w:firstColumn="0" w:lastColumn="0" w:oddVBand="0" w:evenVBand="0" w:oddHBand="0" w:evenHBand="0" w:firstRowFirstColumn="0" w:firstRowLastColumn="0" w:lastRowFirstColumn="0" w:lastRowLastColumn="0"/>
          <w:jc w:val="right"/>
        </w:trPr>
        <w:tc>
          <w:tcPr>
            <w:tcW w:w="0" w:type="auto"/>
          </w:tcPr>
          <w:p w14:paraId="42B2E5BA" w14:textId="77777777">
            <w:pPr>
              <w:pStyle w:val="Kpalrs"/>
            </w:pPr>
            <w:bookmarkStart w:id="322" w:name="_Ref225777931"/>
            <w:r>
              <w:t xml:space="preserve">Exhibit </w:t>
            </w:r>
            <w:fldSimple w:instr=" STYLEREF 2 \s ">
              <w:r>
                <w:rPr>
                  <w:noProof/>
                </w:rPr>
                <w:t>4.7</w:t>
              </w:r>
            </w:fldSimple>
            <w:r>
              <w:t>.</w:t>
            </w:r>
            <w:fldSimple w:instr=" SEQ Exhibit \* ALPHABETIC \s 2 ">
              <w:r>
                <w:rPr>
                  <w:noProof/>
                </w:rPr>
                <w:t>F</w:t>
              </w:r>
            </w:fldSimple>
            <w:bookmarkEnd w:id="322"/>
            <w:r>
              <w:t>. Location of forme work with respect to the principal field</w:t>
            </w:r>
          </w:p>
        </w:tc>
      </w:tr>
      <w:tr w14:paraId="1EE88DCD" w14:textId="77777777">
        <w:trPr>
          <w:jc w:val="right"/>
        </w:trPr>
        <w:tc>
          <w:tcPr>
            <w:tcW w:w="0" w:type="auto"/>
          </w:tcPr>
          <w:tbl>
            <w:tblPr>
              <w:tblStyle w:val="77"/>
              <w:tblW w:w="4253"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75"/>
              <w:gridCol w:w="1524"/>
              <w:gridCol w:w="1454"/>
            </w:tblGrid>
            <w:tr w14:paraId="7E2105D8" w14:textId="77777777">
              <w:trPr>
                <w:jc w:val="center"/>
              </w:trPr>
              <w:tc>
                <w:tcPr>
                  <w:tcW w:w="0" w:type="auto"/>
                  <w:tcBorders>
                    <w:top w:val="single" w:sz="8" w:space="0" w:color="auto"/>
                  </w:tcBorders>
                  <w:tcMar>
                    <w:top w:w="100" w:type="dxa"/>
                    <w:left w:w="100" w:type="dxa"/>
                    <w:bottom w:w="100" w:type="dxa"/>
                    <w:right w:w="100" w:type="dxa"/>
                  </w:tcMar>
                </w:tcPr>
                <w:p w14:paraId="51070E44" w14:textId="77777777">
                  <w:pPr>
                    <w:pStyle w:val="Tabletext"/>
                    <w:keepNext/>
                    <w:keepLines/>
                    <w:framePr w:hSpace="181" w:wrap="around" w:vAnchor="text" w:hAnchor="margin" w:xAlign="right" w:y="92"/>
                    <w:jc w:val="right"/>
                  </w:pPr>
                  <w:r>
                    <w:t>top-left</w:t>
                  </w:r>
                </w:p>
              </w:tc>
              <w:tc>
                <w:tcPr>
                  <w:tcW w:w="0" w:type="auto"/>
                  <w:tcBorders>
                    <w:top w:val="single" w:sz="8" w:space="0" w:color="auto"/>
                  </w:tcBorders>
                  <w:tcMar>
                    <w:top w:w="100" w:type="dxa"/>
                    <w:left w:w="100" w:type="dxa"/>
                    <w:bottom w:w="100" w:type="dxa"/>
                    <w:right w:w="100" w:type="dxa"/>
                  </w:tcMar>
                </w:tcPr>
                <w:p w14:paraId="16BB1502" w14:textId="77777777">
                  <w:pPr>
                    <w:pStyle w:val="Tabletext"/>
                    <w:keepNext/>
                    <w:keepLines/>
                    <w:framePr w:hSpace="181" w:wrap="around" w:vAnchor="text" w:hAnchor="margin" w:xAlign="right" w:y="92"/>
                    <w:jc w:val="center"/>
                  </w:pPr>
                  <w:r>
                    <w:t>top</w:t>
                  </w:r>
                </w:p>
              </w:tc>
              <w:tc>
                <w:tcPr>
                  <w:tcW w:w="0" w:type="auto"/>
                  <w:tcBorders>
                    <w:top w:val="single" w:sz="8" w:space="0" w:color="auto"/>
                  </w:tcBorders>
                  <w:tcMar>
                    <w:top w:w="100" w:type="dxa"/>
                    <w:left w:w="100" w:type="dxa"/>
                    <w:bottom w:w="100" w:type="dxa"/>
                    <w:right w:w="100" w:type="dxa"/>
                  </w:tcMar>
                </w:tcPr>
                <w:p w14:paraId="22219A16" w14:textId="77777777">
                  <w:pPr>
                    <w:pStyle w:val="Tabletext"/>
                    <w:keepNext/>
                    <w:keepLines/>
                    <w:framePr w:hSpace="181" w:wrap="around" w:vAnchor="text" w:hAnchor="margin" w:xAlign="right" w:y="92"/>
                  </w:pPr>
                  <w:r>
                    <w:t>top-right</w:t>
                  </w:r>
                </w:p>
              </w:tc>
            </w:tr>
            <w:tr w14:paraId="5BE39A52" w14:textId="77777777">
              <w:trPr>
                <w:jc w:val="center"/>
              </w:trPr>
              <w:tc>
                <w:tcPr>
                  <w:tcW w:w="0" w:type="auto"/>
                  <w:tcMar>
                    <w:top w:w="100" w:type="dxa"/>
                    <w:left w:w="100" w:type="dxa"/>
                    <w:bottom w:w="100" w:type="dxa"/>
                    <w:right w:w="100" w:type="dxa"/>
                  </w:tcMar>
                  <w:vAlign w:val="center"/>
                </w:tcPr>
                <w:p w14:paraId="53EA3717" w14:textId="77777777">
                  <w:pPr>
                    <w:pStyle w:val="Tabletext"/>
                    <w:keepNext/>
                    <w:keepLines/>
                    <w:framePr w:hSpace="181" w:wrap="around" w:vAnchor="text" w:hAnchor="margin" w:xAlign="right" w:y="92"/>
                    <w:jc w:val="center"/>
                  </w:pPr>
                </w:p>
                <w:p w14:paraId="5B503E80" w14:textId="77777777">
                  <w:pPr>
                    <w:pStyle w:val="Tabletext"/>
                    <w:keepNext/>
                    <w:keepLines/>
                    <w:framePr w:hSpace="181" w:wrap="around" w:vAnchor="text" w:hAnchor="margin" w:xAlign="right" w:y="92"/>
                    <w:jc w:val="center"/>
                  </w:pPr>
                  <w:r>
                    <w:t>left</w:t>
                  </w:r>
                </w:p>
              </w:tc>
              <w:tc>
                <w:tcPr>
                  <w:tcW w:w="0" w:type="auto"/>
                  <w:shd w:val="clear" w:color="auto" w:fill="D0E0E3"/>
                  <w:tcMar>
                    <w:top w:w="100" w:type="dxa"/>
                    <w:left w:w="100" w:type="dxa"/>
                    <w:bottom w:w="100" w:type="dxa"/>
                    <w:right w:w="100" w:type="dxa"/>
                  </w:tcMar>
                  <w:vAlign w:val="center"/>
                </w:tcPr>
                <w:p w14:paraId="307AA9D7" w14:textId="77777777">
                  <w:pPr>
                    <w:pStyle w:val="Tabletext"/>
                    <w:keepNext/>
                    <w:keepLines/>
                    <w:framePr w:hSpace="181" w:wrap="around" w:vAnchor="text" w:hAnchor="margin" w:xAlign="right" w:y="92"/>
                    <w:jc w:val="center"/>
                    <w:rPr>
                      <w:rFonts w:ascii="Gentium" w:hAnsi="Gentium" w:cs="Gentium"/>
                    </w:rPr>
                  </w:pPr>
                  <w:r>
                    <w:rPr>
                      <w:rFonts w:ascii="Gentium" w:hAnsi="Gentium" w:cs="Gentium"/>
                    </w:rPr>
                    <w:t>principal</w:t>
                  </w:r>
                </w:p>
                <w:p w14:paraId="6CD261D0" w14:textId="77777777">
                  <w:pPr>
                    <w:pStyle w:val="Tabletext"/>
                    <w:keepNext/>
                    <w:keepLines/>
                    <w:framePr w:hSpace="181" w:wrap="around" w:vAnchor="text" w:hAnchor="margin" w:xAlign="right" w:y="92"/>
                    <w:jc w:val="center"/>
                    <w:rPr>
                      <w:rFonts w:ascii="Gentium" w:hAnsi="Gentium" w:cs="Gentium"/>
                    </w:rPr>
                  </w:pPr>
                </w:p>
                <w:p w14:paraId="5DFF580E" w14:textId="77777777">
                  <w:pPr>
                    <w:pStyle w:val="Tabletext"/>
                    <w:keepNext/>
                    <w:keepLines/>
                    <w:framePr w:hSpace="181" w:wrap="around" w:vAnchor="text" w:hAnchor="margin" w:xAlign="right" w:y="92"/>
                    <w:jc w:val="center"/>
                    <w:rPr>
                      <w:rFonts w:ascii="Gentium" w:hAnsi="Gentium" w:cs="Gentium"/>
                    </w:rPr>
                  </w:pPr>
                  <w:r>
                    <w:rPr>
                      <w:rFonts w:ascii="Gentium" w:hAnsi="Gentium" w:cs="Gentium"/>
                    </w:rPr>
                    <w:t>inscribed</w:t>
                  </w:r>
                </w:p>
                <w:p w14:paraId="27E1F5B7" w14:textId="77777777">
                  <w:pPr>
                    <w:pStyle w:val="Tabletext"/>
                    <w:keepNext/>
                    <w:keepLines/>
                    <w:framePr w:hSpace="181" w:wrap="around" w:vAnchor="text" w:hAnchor="margin" w:xAlign="right" w:y="92"/>
                    <w:jc w:val="center"/>
                    <w:rPr>
                      <w:rFonts w:ascii="Gentium" w:hAnsi="Gentium" w:cs="Gentium"/>
                    </w:rPr>
                  </w:pPr>
                </w:p>
                <w:p w14:paraId="229C4526" w14:textId="77777777">
                  <w:pPr>
                    <w:pStyle w:val="Tabletext"/>
                    <w:keepNext/>
                    <w:keepLines/>
                    <w:framePr w:hSpace="181" w:wrap="around" w:vAnchor="text" w:hAnchor="margin" w:xAlign="right" w:y="92"/>
                    <w:jc w:val="center"/>
                  </w:pPr>
                  <w:r>
                    <w:rPr>
                      <w:rFonts w:ascii="Gentium" w:hAnsi="Gentium" w:cs="Gentium"/>
                    </w:rPr>
                    <w:t>field</w:t>
                  </w:r>
                </w:p>
              </w:tc>
              <w:tc>
                <w:tcPr>
                  <w:tcW w:w="0" w:type="auto"/>
                  <w:tcMar>
                    <w:top w:w="100" w:type="dxa"/>
                    <w:left w:w="100" w:type="dxa"/>
                    <w:bottom w:w="100" w:type="dxa"/>
                    <w:right w:w="100" w:type="dxa"/>
                  </w:tcMar>
                  <w:vAlign w:val="center"/>
                </w:tcPr>
                <w:p w14:paraId="60158A36" w14:textId="77777777">
                  <w:pPr>
                    <w:pStyle w:val="Tabletext"/>
                    <w:keepNext/>
                    <w:keepLines/>
                    <w:framePr w:hSpace="181" w:wrap="around" w:vAnchor="text" w:hAnchor="margin" w:xAlign="right" w:y="92"/>
                    <w:jc w:val="center"/>
                  </w:pPr>
                </w:p>
                <w:p w14:paraId="3564176E" w14:textId="77777777">
                  <w:pPr>
                    <w:pStyle w:val="Tabletext"/>
                    <w:keepNext/>
                    <w:keepLines/>
                    <w:framePr w:hSpace="181" w:wrap="around" w:vAnchor="text" w:hAnchor="margin" w:xAlign="right" w:y="92"/>
                    <w:jc w:val="center"/>
                  </w:pPr>
                  <w:r>
                    <w:t>right</w:t>
                  </w:r>
                </w:p>
              </w:tc>
            </w:tr>
            <w:tr w14:paraId="34FDBE5D" w14:textId="77777777">
              <w:trPr>
                <w:jc w:val="center"/>
              </w:trPr>
              <w:tc>
                <w:tcPr>
                  <w:tcW w:w="0" w:type="auto"/>
                  <w:tcMar>
                    <w:top w:w="100" w:type="dxa"/>
                    <w:left w:w="100" w:type="dxa"/>
                    <w:bottom w:w="100" w:type="dxa"/>
                    <w:right w:w="100" w:type="dxa"/>
                  </w:tcMar>
                </w:tcPr>
                <w:p w14:paraId="45A420F1" w14:textId="77777777">
                  <w:pPr>
                    <w:pStyle w:val="Tabletext"/>
                    <w:keepNext/>
                    <w:keepLines/>
                    <w:framePr w:hSpace="181" w:wrap="around" w:vAnchor="text" w:hAnchor="margin" w:xAlign="right" w:y="92"/>
                    <w:jc w:val="right"/>
                  </w:pPr>
                  <w:r>
                    <w:t>bot-left</w:t>
                  </w:r>
                </w:p>
              </w:tc>
              <w:tc>
                <w:tcPr>
                  <w:tcW w:w="0" w:type="auto"/>
                  <w:tcMar>
                    <w:top w:w="100" w:type="dxa"/>
                    <w:left w:w="100" w:type="dxa"/>
                    <w:bottom w:w="100" w:type="dxa"/>
                    <w:right w:w="100" w:type="dxa"/>
                  </w:tcMar>
                </w:tcPr>
                <w:p w14:paraId="44909FA2" w14:textId="77777777">
                  <w:pPr>
                    <w:pStyle w:val="Tabletext"/>
                    <w:keepNext/>
                    <w:keepLines/>
                    <w:framePr w:hSpace="181" w:wrap="around" w:vAnchor="text" w:hAnchor="margin" w:xAlign="right" w:y="92"/>
                    <w:jc w:val="center"/>
                  </w:pPr>
                  <w:r>
                    <w:t>bottom</w:t>
                  </w:r>
                </w:p>
              </w:tc>
              <w:tc>
                <w:tcPr>
                  <w:tcW w:w="0" w:type="auto"/>
                  <w:tcMar>
                    <w:top w:w="100" w:type="dxa"/>
                    <w:left w:w="100" w:type="dxa"/>
                    <w:bottom w:w="100" w:type="dxa"/>
                    <w:right w:w="100" w:type="dxa"/>
                  </w:tcMar>
                </w:tcPr>
                <w:p w14:paraId="7B48DAC5" w14:textId="77777777">
                  <w:pPr>
                    <w:pStyle w:val="Tabletext"/>
                    <w:keepNext/>
                    <w:keepLines/>
                    <w:framePr w:hSpace="181" w:wrap="around" w:vAnchor="text" w:hAnchor="margin" w:xAlign="right" w:y="92"/>
                  </w:pPr>
                  <w:r>
                    <w:t>bot-right</w:t>
                  </w:r>
                </w:p>
              </w:tc>
            </w:tr>
          </w:tbl>
          <w:p w14:paraId="057CC6F0" w14:textId="77777777">
            <w:pPr>
              <w:keepLines/>
            </w:pPr>
          </w:p>
        </w:tc>
      </w:tr>
    </w:tbl>
    <w:p w14:paraId="5A94B62E" w14:textId="77777777">
      <w:pPr>
        <w:pStyle w:val="Lista"/>
      </w:pPr>
      <w:r>
        <w:t xml:space="preserve">forme work items shall be wrapped in the element </w:t>
      </w:r>
      <w:r>
        <w:rPr>
          <w:rStyle w:val="Code"/>
        </w:rPr>
        <w:t>&lt;fw&gt;</w:t>
      </w:r>
      <w:r>
        <w:t>, with the following attributes</w:t>
      </w:r>
    </w:p>
    <w:p w14:paraId="161DF235" w14:textId="77777777">
      <w:pPr>
        <w:pStyle w:val="Lista2"/>
      </w:pPr>
      <w:r>
        <w:t xml:space="preserve">mandatorily, </w:t>
      </w:r>
      <w:r>
        <w:rPr>
          <w:rStyle w:val="Codeattribute"/>
        </w:rPr>
        <w:t>@n</w:t>
      </w:r>
      <w:r>
        <w:t xml:space="preserve"> </w:t>
      </w:r>
      <w:r>
        <w:rPr>
          <w:noProof/>
        </w:rPr>
        <w:t>(</w:t>
      </w:r>
      <w:r>
        <w:t>even if there is only one forme work item in your document)</w:t>
      </w:r>
    </w:p>
    <w:p w14:paraId="15E19986" w14:textId="77777777">
      <w:pPr>
        <w:pStyle w:val="Lista3"/>
      </w:pPr>
      <w:r>
        <w:t xml:space="preserve">the value of </w:t>
      </w:r>
      <w:r>
        <w:rPr>
          <w:rStyle w:val="Codeattribute"/>
        </w:rPr>
        <w:t>@n</w:t>
      </w:r>
      <w:r>
        <w:t xml:space="preserve"> shall be the same as the </w:t>
      </w:r>
      <w:r>
        <w:rPr>
          <w:rStyle w:val="Codeattribute"/>
        </w:rPr>
        <w:t>@n</w:t>
      </w:r>
      <w:r>
        <w:t xml:space="preserve"> of the </w:t>
      </w:r>
      <w:r>
        <w:rPr>
          <w:rStyle w:val="Code"/>
        </w:rPr>
        <w:t>&lt;pb&gt;</w:t>
      </w:r>
      <w:r>
        <w:t xml:space="preserve"> (or </w:t>
      </w:r>
      <w:r>
        <w:rPr>
          <w:rStyle w:val="Code"/>
        </w:rPr>
        <w:t>&lt;milestone/&gt;</w:t>
      </w:r>
      <w:r>
        <w:t>) element marking the beginning of the page on which the forme work item appears, e.g. “1v”, “2v”, etc.</w:t>
      </w:r>
    </w:p>
    <w:p w14:paraId="0ACB5AFC" w14:textId="77777777">
      <w:pPr>
        <w:pStyle w:val="Lista2"/>
      </w:pPr>
      <w:r>
        <w:t xml:space="preserve">mandatorily, </w:t>
      </w:r>
      <w:r>
        <w:rPr>
          <w:rStyle w:val="Codeattribute"/>
        </w:rPr>
        <w:t>@place</w:t>
      </w:r>
      <w:r>
        <w:t xml:space="preserve"> relative to the principal inscribed field, with values as shown in </w:t>
      </w:r>
      <w:r>
        <w:fldChar w:fldCharType="begin"/>
      </w:r>
      <w:r>
        <w:instrText xml:space="preserve"> REF _Ref225777931 \h </w:instrText>
      </w:r>
      <w:r>
        <w:fldChar w:fldCharType="separate"/>
      </w:r>
      <w:r>
        <w:t xml:space="preserve">Exhibit </w:t>
      </w:r>
      <w:r>
        <w:rPr>
          <w:noProof/>
        </w:rPr>
        <w:t>4.7</w:t>
      </w:r>
      <w:r>
        <w:t>.</w:t>
      </w:r>
      <w:r>
        <w:rPr>
          <w:noProof/>
        </w:rPr>
        <w:t>F</w:t>
      </w:r>
      <w:r>
        <w:fldChar w:fldCharType="end"/>
      </w:r>
    </w:p>
    <w:p w14:paraId="366E3CF4" w14:textId="77777777">
      <w:pPr>
        <w:pStyle w:val="Lista3"/>
      </w:pPr>
      <w:r>
        <w:t>should forme work be partly or wholly inside the principal field, use the value that best describes its location relative to the centre of the inscribed field</w:t>
      </w:r>
    </w:p>
    <w:p w14:paraId="3E253A74" w14:textId="77777777">
      <w:pPr>
        <w:pStyle w:val="Lista"/>
      </w:pPr>
      <w:r>
        <w:t xml:space="preserve">details of presentation </w:t>
      </w:r>
      <w:r>
        <w:rPr>
          <w:noProof/>
        </w:rPr>
        <w:t>(</w:t>
      </w:r>
      <w:r>
        <w:t xml:space="preserve">e.g. precise location, interference with the regular lines) shall be recorded for human readers in your metadata </w:t>
      </w:r>
      <w:r>
        <w:rPr>
          <w:noProof/>
        </w:rPr>
        <w:t>(</w:t>
      </w:r>
      <w:r>
        <w:t>layout description), but not encoded explicitly</w:t>
      </w:r>
    </w:p>
    <w:tbl>
      <w:tblPr>
        <w:tblStyle w:val="CodeSampleTable"/>
        <w:tblW w:w="5000" w:type="pct"/>
        <w:tblLook w:val="04A0" w:firstRow="1" w:lastRow="0" w:firstColumn="1" w:lastColumn="0" w:noHBand="0" w:noVBand="1"/>
      </w:tblPr>
      <w:tblGrid>
        <w:gridCol w:w="2763"/>
        <w:gridCol w:w="6865"/>
      </w:tblGrid>
      <w:tr w14:paraId="7B9E0EA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5403781" w14:textId="77777777">
            <w:pPr>
              <w:pStyle w:val="Kpalrs"/>
              <w:keepLines/>
            </w:pPr>
            <w:bookmarkStart w:id="323" w:name="_Ref182234393"/>
            <w:bookmarkStart w:id="324" w:name="_Ref182234390"/>
            <w:r>
              <w:t xml:space="preserve">Exhibit </w:t>
            </w:r>
            <w:fldSimple w:instr=" STYLEREF 2 \s ">
              <w:r>
                <w:rPr>
                  <w:noProof/>
                </w:rPr>
                <w:t>4.7</w:t>
              </w:r>
            </w:fldSimple>
            <w:r>
              <w:t>.</w:t>
            </w:r>
            <w:fldSimple w:instr=" SEQ Exhibit \* ALPHABETIC \s 2 ">
              <w:r>
                <w:rPr>
                  <w:noProof/>
                </w:rPr>
                <w:t>G</w:t>
              </w:r>
            </w:fldSimple>
            <w:bookmarkEnd w:id="323"/>
            <w:r>
              <w:t>: foliation in the right margin</w:t>
            </w:r>
            <w:bookmarkEnd w:id="324"/>
          </w:p>
        </w:tc>
      </w:tr>
      <w:tr w14:paraId="5B1F2183" w14:textId="77777777">
        <w:tc>
          <w:tcPr>
            <w:tcW w:w="1435" w:type="pct"/>
          </w:tcPr>
          <w:p w14:paraId="79A4FEBF" w14:textId="77777777">
            <w:pPr>
              <w:pStyle w:val="CodeParagraph"/>
              <w:rPr>
                <w:rStyle w:val="Code"/>
              </w:rPr>
            </w:pPr>
            <w:r>
              <w:rPr>
                <w:rStyle w:val="Code"/>
              </w:rPr>
              <w:t>&lt;p&gt;</w:t>
            </w:r>
            <w:r>
              <w:rPr>
                <w:rStyle w:val="Codetext"/>
              </w:rPr>
              <w:br/>
            </w:r>
            <w:r>
              <w:rPr>
                <w:rStyle w:val="Code"/>
              </w:rPr>
              <w:t xml:space="preserve">&lt;pb </w:t>
            </w:r>
            <w:r>
              <w:rPr>
                <w:rStyle w:val="Codeattribute"/>
              </w:rPr>
              <w:t>n</w:t>
            </w:r>
            <w:r>
              <w:rPr>
                <w:rStyle w:val="Code"/>
              </w:rPr>
              <w:t>=</w:t>
            </w:r>
            <w:r>
              <w:rPr>
                <w:rStyle w:val="Codevalue"/>
              </w:rPr>
              <w:t>"1r"</w:t>
            </w:r>
            <w:r>
              <w:rPr>
                <w:rStyle w:val="Code"/>
              </w:rPr>
              <w:t>/&gt;</w:t>
            </w:r>
            <w:r>
              <w:rPr>
                <w:rStyle w:val="Codetext"/>
              </w:rPr>
              <w:br/>
            </w:r>
            <w:r>
              <w:rPr>
                <w:rStyle w:val="Code"/>
              </w:rPr>
              <w:t>&lt;fw</w:t>
            </w:r>
            <w:r>
              <w:rPr>
                <w:rStyle w:val="Codeattribute"/>
              </w:rPr>
              <w:t xml:space="preserve"> n</w:t>
            </w:r>
            <w:r>
              <w:rPr>
                <w:rStyle w:val="Code"/>
              </w:rPr>
              <w:t>=</w:t>
            </w:r>
            <w:r>
              <w:rPr>
                <w:rStyle w:val="Codevalue"/>
              </w:rPr>
              <w:t>"1r"</w:t>
            </w:r>
            <w:r>
              <w:rPr>
                <w:rStyle w:val="Code"/>
              </w:rPr>
              <w:t xml:space="preserve"> </w:t>
            </w:r>
            <w:r>
              <w:rPr>
                <w:rStyle w:val="Codeattribute"/>
              </w:rPr>
              <w:t>place</w:t>
            </w:r>
            <w:r>
              <w:rPr>
                <w:rStyle w:val="Code"/>
              </w:rPr>
              <w:t>=</w:t>
            </w:r>
            <w:r>
              <w:rPr>
                <w:rStyle w:val="Codevalue"/>
              </w:rPr>
              <w:t>"right"</w:t>
            </w:r>
            <w:r>
              <w:rPr>
                <w:rStyle w:val="Code"/>
              </w:rPr>
              <w:t>&gt;</w:t>
            </w:r>
          </w:p>
          <w:p w14:paraId="49CDDCBF" w14:textId="77777777">
            <w:pPr>
              <w:pStyle w:val="CodeParagraph"/>
              <w:rPr>
                <w:rStyle w:val="Code"/>
              </w:rPr>
            </w:pPr>
            <w:r>
              <w:rPr>
                <w:rStyle w:val="Code"/>
              </w:rPr>
              <w:t xml:space="preserve">  &lt;num </w:t>
            </w:r>
            <w:r>
              <w:rPr>
                <w:rStyle w:val="Codeattribute"/>
              </w:rPr>
              <w:t>value</w:t>
            </w:r>
            <w:r>
              <w:rPr>
                <w:rStyle w:val="Code"/>
              </w:rPr>
              <w:t>=</w:t>
            </w:r>
            <w:r>
              <w:rPr>
                <w:rStyle w:val="Codevalue"/>
              </w:rPr>
              <w:t>"1"</w:t>
            </w:r>
            <w:r>
              <w:rPr>
                <w:rStyle w:val="Code"/>
              </w:rPr>
              <w:t>&gt;</w:t>
            </w:r>
            <w:r>
              <w:rPr>
                <w:rStyle w:val="Codetext"/>
              </w:rPr>
              <w:t>1</w:t>
            </w:r>
            <w:r>
              <w:rPr>
                <w:rStyle w:val="Code"/>
              </w:rPr>
              <w:t>&lt;/num&gt;</w:t>
            </w:r>
          </w:p>
          <w:p w14:paraId="799A72DC" w14:textId="77777777">
            <w:pPr>
              <w:pStyle w:val="CodeParagraph"/>
            </w:pPr>
            <w:r>
              <w:rPr>
                <w:rStyle w:val="Code"/>
              </w:rPr>
              <w:t>&lt;/fw&gt;</w:t>
            </w:r>
            <w:r>
              <w:rPr>
                <w:rStyle w:val="Codetext"/>
              </w:rPr>
              <w:br/>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r>
            <w:r>
              <w:rPr>
                <w:rStyle w:val="Code"/>
              </w:rPr>
              <w:t xml:space="preserve">&lt;lb </w:t>
            </w:r>
            <w:r>
              <w:rPr>
                <w:rStyle w:val="Codeattribute"/>
              </w:rPr>
              <w:t>n</w:t>
            </w:r>
            <w:r>
              <w:rPr>
                <w:rStyle w:val="Code"/>
              </w:rPr>
              <w:t>=</w:t>
            </w:r>
            <w:r>
              <w:rPr>
                <w:rStyle w:val="Codevalue"/>
              </w:rPr>
              <w:t>"2"</w:t>
            </w:r>
            <w:r>
              <w:rPr>
                <w:rStyle w:val="Code"/>
              </w:rPr>
              <w:t>/&gt;</w:t>
            </w:r>
            <w:r>
              <w:rPr>
                <w:rStyle w:val="Codetext"/>
              </w:rPr>
              <w:t>nasty, dirty...</w:t>
            </w:r>
            <w:r>
              <w:rPr>
                <w:rStyle w:val="Codetext"/>
              </w:rPr>
              <w:br/>
              <w:t>...</w:t>
            </w:r>
            <w:r>
              <w:rPr>
                <w:rStyle w:val="Codetext"/>
              </w:rPr>
              <w:br/>
            </w:r>
            <w:r>
              <w:rPr>
                <w:rStyle w:val="Code"/>
              </w:rPr>
              <w:t>&lt;/p&gt;</w:t>
            </w:r>
          </w:p>
        </w:tc>
        <w:tc>
          <w:tcPr>
            <w:tcW w:w="3565" w:type="pct"/>
            <w:vAlign w:val="center"/>
          </w:tcPr>
          <w:p w14:paraId="35355C35" w14:textId="77777777">
            <w:pPr>
              <w:pStyle w:val="Image"/>
            </w:pPr>
            <w:r>
              <w:drawing>
                <wp:inline distT="114300" distB="114300" distL="114300" distR="114300" wp14:anchorId="06833753" wp14:editId="72EE2153">
                  <wp:extent cx="4064400" cy="1206000"/>
                  <wp:effectExtent l="0" t="0" r="0" b="0"/>
                  <wp:docPr id="11"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26"/>
                          <a:stretch>
                            <a:fillRect/>
                          </a:stretch>
                        </pic:blipFill>
                        <pic:spPr>
                          <a:xfrm>
                            <a:off x="0" y="0"/>
                            <a:ext cx="4064400" cy="1206000"/>
                          </a:xfrm>
                          <a:prstGeom prst="rect">
                            <a:avLst/>
                          </a:prstGeom>
                          <a:ln/>
                        </pic:spPr>
                      </pic:pic>
                    </a:graphicData>
                  </a:graphic>
                </wp:inline>
              </w:drawing>
            </w:r>
          </w:p>
        </w:tc>
      </w:tr>
      <w:tr w14:paraId="70B46634" w14:textId="77777777">
        <w:tc>
          <w:tcPr>
            <w:tcW w:w="5000" w:type="pct"/>
            <w:gridSpan w:val="2"/>
          </w:tcPr>
          <w:p w14:paraId="54558AA3" w14:textId="77777777">
            <w:pPr>
              <w:pStyle w:val="TableNote"/>
            </w:pPr>
            <w:r>
              <w:t xml:space="preserve">for a complete encoded example see the Case Study in </w:t>
            </w:r>
            <w:r>
              <w:fldChar w:fldCharType="begin"/>
            </w:r>
            <w:r>
              <w:instrText xml:space="preserve"> REF _Ref239844274 \r \h </w:instrText>
            </w:r>
            <w:r>
              <w:fldChar w:fldCharType="separate"/>
            </w:r>
            <w:r>
              <w:t>Appendix A.2</w:t>
            </w:r>
            <w:r>
              <w:fldChar w:fldCharType="end"/>
            </w:r>
            <w:r>
              <w:t xml:space="preserve"> </w:t>
            </w:r>
          </w:p>
        </w:tc>
      </w:tr>
    </w:tbl>
    <w:p w14:paraId="53C1D4AC" w14:textId="77777777">
      <w:pPr>
        <w:pStyle w:val="Cmsor4"/>
      </w:pPr>
      <w:r>
        <w:t>The position of forme work in the encoded edition</w:t>
      </w:r>
    </w:p>
    <w:p w14:paraId="4E08A705" w14:textId="77777777">
      <w:pPr>
        <w:pStyle w:val="Lista"/>
      </w:pPr>
      <w:r>
        <w:t xml:space="preserve">as in the case of boxlike partitions </w:t>
      </w:r>
      <w:r>
        <w:rPr>
          <w:noProof/>
        </w:rPr>
        <w:t>(</w:t>
      </w:r>
      <w:r>
        <w:t>§</w:t>
      </w:r>
      <w:r>
        <w:fldChar w:fldCharType="begin"/>
      </w:r>
      <w:r>
        <w:instrText xml:space="preserve"> REF _Ref225778181 \r \h </w:instrText>
      </w:r>
      <w:r>
        <w:fldChar w:fldCharType="separate"/>
      </w:r>
      <w:r>
        <w:t>4.2</w:t>
      </w:r>
      <w:r>
        <w:fldChar w:fldCharType="end"/>
      </w:r>
      <w:r>
        <w:t xml:space="preserve">), the content of forme work is a complete and meaningful unit in itself, but unlike a textpart division, forme work is a supplement to </w:t>
      </w:r>
      <w:r>
        <w:rPr>
          <w:noProof/>
        </w:rPr>
        <w:t>(</w:t>
      </w:r>
      <w:r>
        <w:t>rather than a subunit of) the principal text of an inscription and is associated with a specific page</w:t>
      </w:r>
    </w:p>
    <w:p w14:paraId="3CFC512B" w14:textId="77777777">
      <w:pPr>
        <w:pStyle w:val="Lista2"/>
      </w:pPr>
      <w:r>
        <w:t xml:space="preserve">the </w:t>
      </w:r>
      <w:r>
        <w:rPr>
          <w:rStyle w:val="Code"/>
        </w:rPr>
        <w:t>&lt;fw&gt;</w:t>
      </w:r>
      <w:r>
        <w:t xml:space="preserve"> element shall be placed immediately after the </w:t>
      </w:r>
      <w:r>
        <w:rPr>
          <w:rStyle w:val="Code"/>
        </w:rPr>
        <w:t>&lt;pb/&gt;</w:t>
      </w:r>
      <w:r>
        <w:t xml:space="preserve">  (or </w:t>
      </w:r>
      <w:r>
        <w:rPr>
          <w:rStyle w:val="Code"/>
        </w:rPr>
        <w:t>&lt;milestone/&gt;</w:t>
      </w:r>
      <w:r>
        <w:t>) element marking the start of the page on which the forme work item is found, therefore</w:t>
      </w:r>
    </w:p>
    <w:p w14:paraId="36C2BD1B" w14:textId="77777777">
      <w:pPr>
        <w:pStyle w:val="Lista3"/>
      </w:pPr>
      <w:r>
        <w:t xml:space="preserve">it must come before the first </w:t>
      </w:r>
      <w:r>
        <w:rPr>
          <w:rStyle w:val="Code"/>
        </w:rPr>
        <w:t>&lt;lb/&gt;</w:t>
      </w:r>
      <w:r>
        <w:t xml:space="preserve">  element on that page</w:t>
      </w:r>
    </w:p>
    <w:p w14:paraId="67DD9085" w14:textId="77777777">
      <w:pPr>
        <w:pStyle w:val="Lista3"/>
      </w:pPr>
      <w:r>
        <w:t xml:space="preserve">it will normally appear inside block-level containers for intrinsic structure </w:t>
      </w:r>
      <w:r>
        <w:rPr>
          <w:noProof/>
        </w:rPr>
        <w:t>(</w:t>
      </w:r>
      <w:r>
        <w:t>§</w:t>
      </w:r>
      <w:r>
        <w:fldChar w:fldCharType="begin"/>
      </w:r>
      <w:r>
        <w:instrText xml:space="preserve"> REF _Ref43978632 \w \h  \* MERGEFORMAT </w:instrText>
      </w:r>
      <w:r>
        <w:fldChar w:fldCharType="separate"/>
      </w:r>
      <w:r>
        <w:t>3</w:t>
      </w:r>
      <w:r>
        <w:fldChar w:fldCharType="end"/>
      </w:r>
      <w:r>
        <w:t>), often interrupting the course of the text within such containers</w:t>
      </w:r>
    </w:p>
    <w:p w14:paraId="39FE24BE" w14:textId="77777777">
      <w:pPr>
        <w:pStyle w:val="Lista4"/>
      </w:pPr>
      <w:r>
        <w:t>the occurrence of such an interruption is encoded on the page and line beginnings and does not affect the markup for forme work</w:t>
      </w:r>
    </w:p>
    <w:p w14:paraId="65D47279" w14:textId="77777777">
      <w:pPr>
        <w:pStyle w:val="Lista3"/>
      </w:pPr>
      <w:r>
        <w:t xml:space="preserve">the </w:t>
      </w:r>
      <w:r>
        <w:rPr>
          <w:rStyle w:val="Code"/>
        </w:rPr>
        <w:t>&lt;fw&gt;</w:t>
      </w:r>
      <w:r>
        <w:t xml:space="preserve"> element may be outside block-level containers when forme work is present on a page whose </w:t>
      </w:r>
      <w:r>
        <w:rPr>
          <w:rStyle w:val="Code"/>
        </w:rPr>
        <w:t>&lt;pb/&gt;</w:t>
      </w:r>
      <w:r>
        <w:t xml:space="preserve"> element is outside block-level containers, i.e. in the rare but potentially possible cases where a page bears forme work, but the rest of the page is blank </w:t>
      </w:r>
      <w:r>
        <w:rPr>
          <w:noProof/>
        </w:rPr>
        <w:t>(</w:t>
      </w:r>
      <w:r>
        <w:t>§</w:t>
      </w:r>
      <w:r>
        <w:fldChar w:fldCharType="begin"/>
      </w:r>
      <w:r>
        <w:instrText xml:space="preserve"> REF _Ref182318940 \r \h </w:instrText>
      </w:r>
      <w:r>
        <w:fldChar w:fldCharType="separate"/>
      </w:r>
      <w:r>
        <w:t>4.4.2.2</w:t>
      </w:r>
      <w:r>
        <w:fldChar w:fldCharType="end"/>
      </w:r>
      <w:r>
        <w:t xml:space="preserve">) or lacunose </w:t>
      </w:r>
      <w:r>
        <w:rPr>
          <w:noProof/>
        </w:rPr>
        <w:t>(</w:t>
      </w:r>
      <w:r>
        <w:t>§</w:t>
      </w:r>
      <w:r>
        <w:fldChar w:fldCharType="begin"/>
      </w:r>
      <w:r>
        <w:instrText xml:space="preserve"> REF _Ref43981711 \w \h  \* MERGEFORMAT </w:instrText>
      </w:r>
      <w:r>
        <w:fldChar w:fldCharType="separate"/>
      </w:r>
      <w:r>
        <w:t>6.5.4</w:t>
      </w:r>
      <w:r>
        <w:fldChar w:fldCharType="end"/>
      </w:r>
      <w:r>
        <w:t>)</w:t>
      </w:r>
    </w:p>
    <w:p w14:paraId="223889EA" w14:textId="77777777">
      <w:pPr>
        <w:pStyle w:val="Lista"/>
      </w:pPr>
      <w:r>
        <w:t xml:space="preserve">should your inscription have two </w:t>
      </w:r>
      <w:r>
        <w:rPr>
          <w:noProof/>
        </w:rPr>
        <w:t>(</w:t>
      </w:r>
      <w:r>
        <w:t xml:space="preserve">or more) foliation marks on a single page, encode two </w:t>
      </w:r>
      <w:r>
        <w:rPr>
          <w:noProof/>
        </w:rPr>
        <w:t>(</w:t>
      </w:r>
      <w:r>
        <w:t xml:space="preserve">or more) </w:t>
      </w:r>
      <w:r>
        <w:rPr>
          <w:rStyle w:val="Code"/>
        </w:rPr>
        <w:t>&lt;fw&gt;</w:t>
      </w:r>
      <w:r>
        <w:t xml:space="preserve"> elements one after the other, in an order that seems most logical</w:t>
      </w:r>
    </w:p>
    <w:p w14:paraId="6E0F9672" w14:textId="77777777">
      <w:pPr>
        <w:pStyle w:val="Lista2"/>
      </w:pPr>
      <w:r>
        <w:t xml:space="preserve">in this case, add trailing numbers to the number generated from the page number, e.g. </w:t>
      </w:r>
      <w:r>
        <w:rPr>
          <w:rStyle w:val="Code"/>
        </w:rPr>
        <w:t>&lt;fw</w:t>
      </w:r>
      <w:r>
        <w:rPr>
          <w:rStyle w:val="Codeattribute"/>
        </w:rPr>
        <w:t xml:space="preserve"> n</w:t>
      </w:r>
      <w:r>
        <w:rPr>
          <w:rStyle w:val="Code"/>
        </w:rPr>
        <w:t>=</w:t>
      </w:r>
      <w:r>
        <w:rPr>
          <w:rStyle w:val="Codevalue"/>
        </w:rPr>
        <w:t>"2v1"</w:t>
      </w:r>
      <w:r>
        <w:rPr>
          <w:rStyle w:val="Code"/>
        </w:rPr>
        <w:t>&gt;</w:t>
      </w:r>
      <w:r>
        <w:t xml:space="preserve">, </w:t>
      </w:r>
      <w:r>
        <w:rPr>
          <w:rStyle w:val="Code"/>
        </w:rPr>
        <w:t>&lt;fw</w:t>
      </w:r>
      <w:r>
        <w:rPr>
          <w:rStyle w:val="Codeattribute"/>
        </w:rPr>
        <w:t xml:space="preserve"> n</w:t>
      </w:r>
      <w:r>
        <w:rPr>
          <w:rStyle w:val="Code"/>
        </w:rPr>
        <w:t>=</w:t>
      </w:r>
      <w:r>
        <w:rPr>
          <w:rStyle w:val="Codevalue"/>
        </w:rPr>
        <w:t>"2v2"</w:t>
      </w:r>
      <w:r>
        <w:rPr>
          <w:rStyle w:val="Code"/>
        </w:rPr>
        <w:t>&gt;</w:t>
      </w:r>
      <w:r>
        <w:t>, etc.</w:t>
      </w:r>
    </w:p>
    <w:p w14:paraId="670B7558" w14:textId="77777777">
      <w:pPr>
        <w:pStyle w:val="Cmsor4"/>
      </w:pPr>
      <w:r>
        <w:t>The content of forme work</w:t>
      </w:r>
    </w:p>
    <w:p w14:paraId="3DA19A65" w14:textId="77777777">
      <w:pPr>
        <w:pStyle w:val="Lista"/>
      </w:pPr>
      <w:r>
        <w:t xml:space="preserve">the </w:t>
      </w:r>
      <w:r>
        <w:rPr>
          <w:rStyle w:val="Code"/>
        </w:rPr>
        <w:t>&lt;fw&gt;</w:t>
      </w:r>
      <w:r>
        <w:t xml:space="preserve"> element shall by default be the direct parent of the text of the forme work, without an additional text container such as </w:t>
      </w:r>
      <w:r>
        <w:rPr>
          <w:rStyle w:val="Code"/>
        </w:rPr>
        <w:t>&lt;ab&gt;</w:t>
      </w:r>
    </w:p>
    <w:p w14:paraId="7BACDDF8" w14:textId="77777777">
      <w:pPr>
        <w:pStyle w:val="Lista"/>
      </w:pPr>
      <w:r>
        <w:lastRenderedPageBreak/>
        <w:t>as a rule, line beginnings  shall not be marked up within forme work, with the following exceptions</w:t>
      </w:r>
    </w:p>
    <w:p w14:paraId="31CC65A9" w14:textId="77777777">
      <w:pPr>
        <w:pStyle w:val="Lista2"/>
      </w:pPr>
      <w:r>
        <w:t xml:space="preserve">should you encounter forme work written in two or more distinct lines, use an </w:t>
      </w:r>
      <w:r>
        <w:rPr>
          <w:rStyle w:val="Code"/>
        </w:rPr>
        <w:t>&lt;lb/&gt;</w:t>
      </w:r>
      <w:r>
        <w:t xml:space="preserve"> element (§</w:t>
      </w:r>
      <w:r>
        <w:fldChar w:fldCharType="begin"/>
      </w:r>
      <w:r>
        <w:instrText xml:space="preserve"> REF _Ref224720139 \r \h </w:instrText>
      </w:r>
      <w:r>
        <w:fldChar w:fldCharType="separate"/>
      </w:r>
      <w:r>
        <w:t>4.5</w:t>
      </w:r>
      <w:r>
        <w:fldChar w:fldCharType="end"/>
      </w:r>
      <w:r>
        <w:t>) to encode each line beginning</w:t>
      </w:r>
    </w:p>
    <w:p w14:paraId="0964D3E6" w14:textId="77777777">
      <w:pPr>
        <w:pStyle w:val="Lista3"/>
      </w:pPr>
      <w:r>
        <w:t xml:space="preserve">in this case we recommend using line numbers prefixed with the number of the </w:t>
      </w:r>
      <w:r>
        <w:rPr>
          <w:rStyle w:val="Code"/>
        </w:rPr>
        <w:t>&lt;fw&gt;</w:t>
      </w:r>
      <w:r>
        <w:t xml:space="preserve"> element, e.g. “1r-1”, “1r-2”, etc.</w:t>
      </w:r>
    </w:p>
    <w:p w14:paraId="7C21C750" w14:textId="77777777">
      <w:pPr>
        <w:pStyle w:val="Lista2"/>
      </w:pPr>
      <w:r>
        <w:t xml:space="preserve">if the orientation of the forme work is different from that of the principal field, then this can be encoded optionally, but only on </w:t>
      </w:r>
      <w:r>
        <w:rPr>
          <w:rStyle w:val="Code"/>
        </w:rPr>
        <w:t>&lt;lb/&gt;</w:t>
      </w:r>
      <w:r>
        <w:t xml:space="preserve"> elements, therefore if you wish to avail of the option, create a line beginning within the forme work and encode orientation on this </w:t>
      </w:r>
      <w:r>
        <w:rPr>
          <w:rStyle w:val="Code"/>
        </w:rPr>
        <w:t>&lt;lb/&gt;</w:t>
      </w:r>
      <w:r>
        <w:t xml:space="preserve"> element as per §</w:t>
      </w:r>
      <w:r>
        <w:fldChar w:fldCharType="begin"/>
      </w:r>
      <w:r>
        <w:instrText xml:space="preserve"> REF _Ref43984782 \r \h </w:instrText>
      </w:r>
      <w:r>
        <w:fldChar w:fldCharType="separate"/>
      </w:r>
      <w:r>
        <w:t>8.5.2</w:t>
      </w:r>
      <w:r>
        <w:fldChar w:fldCharType="end"/>
      </w:r>
    </w:p>
    <w:p w14:paraId="36E84113" w14:textId="77777777">
      <w:pPr>
        <w:pStyle w:val="Lista"/>
      </w:pPr>
      <w:r>
        <w:t>numeral signs used in foliation/pagination must be marked up as usual</w:t>
      </w:r>
    </w:p>
    <w:p w14:paraId="071536DE" w14:textId="77777777">
      <w:pPr>
        <w:pStyle w:val="Lista2"/>
      </w:pPr>
      <w:r>
        <w:t>for numeric glyphs other than decimal digits (§</w:t>
      </w:r>
      <w:r>
        <w:fldChar w:fldCharType="begin"/>
      </w:r>
      <w:r>
        <w:instrText xml:space="preserve"> REF _Ref225950738 \r \h </w:instrText>
      </w:r>
      <w:r>
        <w:fldChar w:fldCharType="separate"/>
      </w:r>
      <w:r>
        <w:t>5.2.1</w:t>
      </w:r>
      <w:r>
        <w:fldChar w:fldCharType="end"/>
      </w:r>
      <w:r>
        <w:t>)</w:t>
      </w:r>
    </w:p>
    <w:p w14:paraId="53E6A8A1" w14:textId="77777777">
      <w:pPr>
        <w:pStyle w:val="Lista2"/>
      </w:pPr>
      <w:r>
        <w:t>for the number denoted by the signs (§</w:t>
      </w:r>
      <w:r>
        <w:fldChar w:fldCharType="begin"/>
      </w:r>
      <w:r>
        <w:instrText xml:space="preserve"> REF _Ref43980607 \r \h  \* MERGEFORMAT </w:instrText>
      </w:r>
      <w:r>
        <w:fldChar w:fldCharType="separate"/>
      </w:r>
      <w:r>
        <w:t>9.1</w:t>
      </w:r>
      <w:r>
        <w:fldChar w:fldCharType="end"/>
      </w:r>
      <w:r>
        <w:t>)</w:t>
      </w:r>
    </w:p>
    <w:p w14:paraId="52E01B5A" w14:textId="77777777">
      <w:pPr>
        <w:pStyle w:val="Cmsor3"/>
      </w:pPr>
      <w:bookmarkStart w:id="325" w:name="_Ref225759775"/>
      <w:bookmarkStart w:id="326" w:name="_Toc243900280"/>
      <w:r>
        <w:t>When to use textpart divisions</w:t>
      </w:r>
      <w:bookmarkEnd w:id="325"/>
      <w:bookmarkEnd w:id="326"/>
    </w:p>
    <w:p w14:paraId="7A8636FD" w14:textId="77777777">
      <w:r>
        <w:t xml:space="preserve">Since most of the texts for which we create documentary editions are not long enough to warrant division into chapters on a purely semantic basis, in DHARMA encoding practice we strive to keep complexity down by restricting the use of textpart divisions to well-warranted situations where a major semantic division coincides with a conspicuous break in extrinsic structure. To continue our book analogy for structural elements, we prefer to create textpart divisions for units whose semantic independence is not merely like that of chapters in any book, but more like that of short stories in an anthology or scholarly articles in a compiled volume. This section identifies the specific situations for which we consider textpart divisions ideal or acceptable. </w:t>
      </w:r>
    </w:p>
    <w:p w14:paraId="09F88C50" w14:textId="77777777">
      <w:pPr>
        <w:pStyle w:val="Normlbehzs"/>
      </w:pPr>
      <w:r>
        <w:t>In any other case where you feel that textpart partitions may be relevant for a text partitioned into physical and semantic sections, consider carefully whether this encoding method is ideal, or if alternatives would be feasible (on which see also §</w:t>
      </w:r>
      <w:r>
        <w:fldChar w:fldCharType="begin"/>
      </w:r>
      <w:r>
        <w:instrText xml:space="preserve"> REF _Ref225781091 \r \h </w:instrText>
      </w:r>
      <w:r>
        <w:fldChar w:fldCharType="separate"/>
      </w:r>
      <w:r>
        <w:t>4.7.4.2</w:t>
      </w:r>
      <w:r>
        <w:fldChar w:fldCharType="end"/>
      </w:r>
      <w:r>
        <w:t>).</w:t>
      </w:r>
    </w:p>
    <w:p w14:paraId="1F2B8B0B" w14:textId="77777777">
      <w:pPr>
        <w:pStyle w:val="Cmsor4"/>
      </w:pPr>
      <w:r>
        <w:t>Copperplate sets with an inscribed seal</w:t>
      </w:r>
    </w:p>
    <w:p w14:paraId="6481DE64" w14:textId="77777777">
      <w:r>
        <w:t xml:space="preserve">Since the seal text is not an integral part of the text of a copperplate charter, we always encode copperplate sets with inscribed seals as textpart divisions, as shown in </w:t>
      </w:r>
      <w:r>
        <w:fldChar w:fldCharType="begin"/>
      </w:r>
      <w:r>
        <w:instrText xml:space="preserve"> REF _Ref44078277 \h </w:instrText>
      </w:r>
      <w:r>
        <w:fldChar w:fldCharType="separate"/>
      </w:r>
      <w:r>
        <w:t xml:space="preserve">Exhibit </w:t>
      </w:r>
      <w:r>
        <w:rPr>
          <w:noProof/>
        </w:rPr>
        <w:t>4.7</w:t>
      </w:r>
      <w:r>
        <w:t>.</w:t>
      </w:r>
      <w:r>
        <w:rPr>
          <w:noProof/>
        </w:rPr>
        <w:t>H</w:t>
      </w:r>
      <w:r>
        <w:fldChar w:fldCharType="end"/>
      </w:r>
      <w:r>
        <w:t>.</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4536"/>
      </w:tblGrid>
      <w:tr w14:paraId="039A863E"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653D8169" w14:textId="77777777">
            <w:pPr>
              <w:pStyle w:val="Kpalrs"/>
            </w:pPr>
            <w:bookmarkStart w:id="327" w:name="_Ref44078277"/>
            <w:r>
              <w:t xml:space="preserve">Exhibit </w:t>
            </w:r>
            <w:fldSimple w:instr=" STYLEREF 2 \s ">
              <w:r>
                <w:rPr>
                  <w:noProof/>
                </w:rPr>
                <w:t>4.7</w:t>
              </w:r>
            </w:fldSimple>
            <w:r>
              <w:t>.</w:t>
            </w:r>
            <w:fldSimple w:instr=" SEQ Exhibit \* ALPHABETIC \s 2 ">
              <w:r>
                <w:rPr>
                  <w:noProof/>
                </w:rPr>
                <w:t>H</w:t>
              </w:r>
            </w:fldSimple>
            <w:bookmarkEnd w:id="327"/>
            <w:r>
              <w:t>: copper plates with inscribed seal</w:t>
            </w:r>
          </w:p>
        </w:tc>
      </w:tr>
      <w:tr w14:paraId="1BB12EA3" w14:textId="77777777">
        <w:trPr>
          <w:jc w:val="right"/>
        </w:trPr>
        <w:tc>
          <w:tcPr>
            <w:tcW w:w="5000" w:type="pct"/>
          </w:tcPr>
          <w:p w14:paraId="5A1CBDFB" w14:textId="77777777">
            <w:pPr>
              <w:pStyle w:val="Image"/>
              <w:rPr>
                <w:rStyle w:val="Code"/>
              </w:rPr>
            </w:pPr>
            <w:r>
              <w:rPr>
                <w:rStyle w:val="Code"/>
              </w:rPr>
              <w:drawing>
                <wp:inline distT="0" distB="0" distL="0" distR="0" wp14:anchorId="34815381" wp14:editId="606D5A7F">
                  <wp:extent cx="2674800" cy="802800"/>
                  <wp:effectExtent l="0" t="0" r="0" b="0"/>
                  <wp:docPr id="7106047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74800" cy="802800"/>
                          </a:xfrm>
                          <a:prstGeom prst="rect">
                            <a:avLst/>
                          </a:prstGeom>
                          <a:noFill/>
                          <a:ln>
                            <a:noFill/>
                          </a:ln>
                        </pic:spPr>
                      </pic:pic>
                    </a:graphicData>
                  </a:graphic>
                </wp:inline>
              </w:drawing>
            </w:r>
          </w:p>
        </w:tc>
      </w:tr>
      <w:tr w14:paraId="3CE6A341" w14:textId="77777777">
        <w:trPr>
          <w:jc w:val="right"/>
        </w:trPr>
        <w:tc>
          <w:tcPr>
            <w:tcW w:w="5000" w:type="pct"/>
          </w:tcPr>
          <w:p w14:paraId="7756DEA1" w14:textId="77777777">
            <w:pPr>
              <w:pStyle w:val="CodeParagraph"/>
              <w:keepNext/>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5AA7C843" w14:textId="77777777">
            <w:pPr>
              <w:pStyle w:val="CodeParagraph"/>
              <w:keepNext/>
              <w:rPr>
                <w:rStyle w:val="Code"/>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p>
          <w:p w14:paraId="71BAA341" w14:textId="77777777">
            <w:pPr>
              <w:pStyle w:val="CodeParagraph"/>
              <w:keepNext/>
              <w:rPr>
                <w:rStyle w:val="Code"/>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text"/>
              </w:rPr>
              <w:br/>
            </w:r>
            <w:r>
              <w:rPr>
                <w:rStyle w:val="Code"/>
              </w:rPr>
              <w:t xml:space="preserve">  &lt;/div&gt;</w:t>
            </w:r>
          </w:p>
          <w:p w14:paraId="2015EA8D" w14:textId="77777777">
            <w:pPr>
              <w:pStyle w:val="CodeParagraph"/>
              <w:keepNext/>
              <w:rPr>
                <w:rStyle w:val="Code"/>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p>
          <w:p w14:paraId="03D3F978" w14:textId="77777777">
            <w:pPr>
              <w:pStyle w:val="CodeParagraph"/>
              <w:keepNext/>
              <w:rPr>
                <w:rStyle w:val="Codetext"/>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p>
          <w:p w14:paraId="761626B0" w14:textId="77777777">
            <w:pPr>
              <w:pStyle w:val="CodeParagraph"/>
              <w:keepNext/>
              <w:rPr>
                <w:rStyle w:val="Code"/>
              </w:rPr>
            </w:pPr>
            <w:r>
              <w:rPr>
                <w:rStyle w:val="Code"/>
              </w:rPr>
              <w:t xml:space="preserve">  &lt;/div&gt;</w:t>
            </w:r>
          </w:p>
          <w:p w14:paraId="4AD733AF" w14:textId="77777777">
            <w:pPr>
              <w:pStyle w:val="CodeParagraph"/>
              <w:keepNext/>
              <w:rPr>
                <w:rFonts w:ascii="Consolas" w:hAnsi="Consolas" w:cs="Consolas"/>
                <w:noProof/>
                <w:color w:val="002060"/>
                <w:shd w:val="clear" w:color="auto" w:fill="F2F2F2" w:themeFill="background1" w:themeFillShade="F2"/>
              </w:rPr>
            </w:pPr>
            <w:r>
              <w:rPr>
                <w:rStyle w:val="Code"/>
              </w:rPr>
              <w:t>&lt;/div&gt;</w:t>
            </w:r>
          </w:p>
        </w:tc>
      </w:tr>
      <w:tr w14:paraId="026EDB34" w14:textId="77777777">
        <w:trPr>
          <w:jc w:val="right"/>
        </w:trPr>
        <w:tc>
          <w:tcPr>
            <w:tcW w:w="5000" w:type="pct"/>
          </w:tcPr>
          <w:p w14:paraId="7711D6EB" w14:textId="77777777">
            <w:pPr>
              <w:pStyle w:val="TableNote"/>
              <w:rPr>
                <w:rStyle w:val="Code"/>
              </w:rPr>
            </w:pPr>
            <w:r>
              <w:t xml:space="preserve">complete encoded illustration: </w:t>
            </w:r>
            <w:r>
              <w:fldChar w:fldCharType="begin"/>
            </w:r>
            <w:r>
              <w:instrText xml:space="preserve"> REF _Ref239844290 \r \h </w:instrText>
            </w:r>
            <w:r>
              <w:fldChar w:fldCharType="separate"/>
            </w:r>
            <w:r>
              <w:t>Appendix A.2</w:t>
            </w:r>
            <w:r>
              <w:fldChar w:fldCharType="end"/>
            </w:r>
          </w:p>
        </w:tc>
      </w:tr>
    </w:tbl>
    <w:p w14:paraId="71DC07AB" w14:textId="77777777">
      <w:pPr>
        <w:pStyle w:val="Lista"/>
      </w:pPr>
      <w:r>
        <w:t>this applies to single or multiple plates provided with a seal inscription that is represented in the edition, regardless of whether the seal is soldered to a plate, attached with a ring to a set of plates, or currently detached</w:t>
      </w:r>
    </w:p>
    <w:p w14:paraId="211F2AA7" w14:textId="77777777">
      <w:pPr>
        <w:pStyle w:val="Lista2"/>
      </w:pPr>
      <w:r>
        <w:t>including seal inscriptions which are completely illegible and represented only as a lacuna</w:t>
      </w:r>
    </w:p>
    <w:p w14:paraId="43B41911" w14:textId="77777777">
      <w:pPr>
        <w:pStyle w:val="Lista2"/>
      </w:pPr>
      <w:r>
        <w:t>but excluding cases where no seal inscription is represented in the edition for any reason, such as</w:t>
      </w:r>
    </w:p>
    <w:p w14:paraId="6F327731" w14:textId="77777777">
      <w:pPr>
        <w:pStyle w:val="Lista3"/>
      </w:pPr>
      <w:r>
        <w:t>when the seal never bore an inscription</w:t>
      </w:r>
    </w:p>
    <w:p w14:paraId="7E1380B8" w14:textId="77777777">
      <w:pPr>
        <w:pStyle w:val="Lista3"/>
      </w:pPr>
      <w:r>
        <w:t>when the seal as a whole is lost</w:t>
      </w:r>
    </w:p>
    <w:p w14:paraId="4D3DFEAA" w14:textId="77777777">
      <w:pPr>
        <w:pStyle w:val="Lista"/>
      </w:pPr>
      <w:r>
        <w:t>for the sake of consistency throughout the corpus, the textpart for the seal text shall precede the textpart for the plates</w:t>
      </w:r>
    </w:p>
    <w:p w14:paraId="5E5FA848" w14:textId="77777777">
      <w:pPr>
        <w:pStyle w:val="Lista2"/>
      </w:pPr>
      <w:r>
        <w:t>unless the seal’s point of attachment is at the bottom of a single plate</w:t>
      </w:r>
    </w:p>
    <w:p w14:paraId="16C7BAE9" w14:textId="77777777">
      <w:pPr>
        <w:pStyle w:val="Lista"/>
      </w:pPr>
      <w:r>
        <w:t>should more than one inscribed seal be present, create separate textparts for each, in the sequence you deem most appropriate</w:t>
      </w:r>
    </w:p>
    <w:p w14:paraId="075A2D94" w14:textId="77777777">
      <w:pPr>
        <w:pStyle w:val="Lista"/>
      </w:pPr>
      <w:r>
        <w:t xml:space="preserve">the textparts shall be numbered normally, without </w:t>
      </w:r>
      <w:r>
        <w:rPr>
          <w:rStyle w:val="Codeattribute"/>
        </w:rPr>
        <w:t>@subtype</w:t>
      </w:r>
      <w:r>
        <w:t xml:space="preserve">, but with custom headings “Seal” and “Plates” as shown in </w:t>
      </w:r>
      <w:r>
        <w:fldChar w:fldCharType="begin"/>
      </w:r>
      <w:r>
        <w:instrText xml:space="preserve"> REF _Ref44078277 \h </w:instrText>
      </w:r>
      <w:r>
        <w:fldChar w:fldCharType="separate"/>
      </w:r>
      <w:r>
        <w:t xml:space="preserve">Exhibit </w:t>
      </w:r>
      <w:r>
        <w:rPr>
          <w:noProof/>
        </w:rPr>
        <w:t>4.7</w:t>
      </w:r>
      <w:r>
        <w:t>.</w:t>
      </w:r>
      <w:r>
        <w:rPr>
          <w:noProof/>
        </w:rPr>
        <w:t>H</w:t>
      </w:r>
      <w:r>
        <w:fldChar w:fldCharType="end"/>
      </w:r>
    </w:p>
    <w:p w14:paraId="29932B55" w14:textId="77777777">
      <w:pPr>
        <w:pStyle w:val="Lista2"/>
      </w:pPr>
      <w:r>
        <w:t>for more than one inscribed seal, use “First seal,” “Second seal,” etc. in the headings</w:t>
      </w:r>
    </w:p>
    <w:p w14:paraId="0DF227EF" w14:textId="77777777">
      <w:pPr>
        <w:pStyle w:val="Cmsor4"/>
      </w:pPr>
      <w:bookmarkStart w:id="328" w:name="_Ref225346692"/>
      <w:r>
        <w:lastRenderedPageBreak/>
        <w:t>Non-contiguous fragments</w:t>
      </w:r>
      <w:bookmarkEnd w:id="328"/>
    </w:p>
    <w:p w14:paraId="1DF2BD50" w14:textId="77777777">
      <w:pPr>
        <w:rPr>
          <w:lang w:eastAsia="en-US" w:bidi="ar-SA"/>
        </w:rPr>
      </w:pPr>
      <w:r>
        <w:rPr>
          <w:lang w:eastAsia="en-US" w:bidi="ar-SA"/>
        </w:rPr>
        <w:t xml:space="preserve">When an inscription survives in two or more fragments which were not physically contiguous on the unbroken support, it is usually not possible to reconstruct how many lines of text were lost between the two fragments. Sometimes, even the order in which the extant fragments were meant to be read may be doubtful. In such cases it is best to encode each fragment as a standalone textpart as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r>
        <w:rPr>
          <w:lang w:eastAsia="en-US" w:bidi="ar-SA"/>
        </w:rPr>
        <w:t>, with the lines numbered separately in each.</w:t>
      </w:r>
    </w:p>
    <w:tbl>
      <w:tblPr>
        <w:tblStyle w:val="CodeSampleTable"/>
        <w:tblpPr w:leftFromText="180" w:rightFromText="180" w:vertAnchor="text" w:tblpXSpec="right" w:tblpY="1"/>
        <w:tblOverlap w:val="never"/>
        <w:tblW w:w="5103" w:type="dxa"/>
        <w:jc w:val="right"/>
        <w:tblLook w:val="04A0" w:firstRow="1" w:lastRow="0" w:firstColumn="1" w:lastColumn="0" w:noHBand="0" w:noVBand="1"/>
      </w:tblPr>
      <w:tblGrid>
        <w:gridCol w:w="5112"/>
      </w:tblGrid>
      <w:tr w14:paraId="5DAE62E2" w14:textId="77777777">
        <w:trPr>
          <w:cnfStyle w:val="100000000000" w:firstRow="1" w:lastRow="0" w:firstColumn="0" w:lastColumn="0" w:oddVBand="0" w:evenVBand="0" w:oddHBand="0" w:evenHBand="0" w:firstRowFirstColumn="0" w:firstRowLastColumn="0" w:lastRowFirstColumn="0" w:lastRowLastColumn="0"/>
          <w:jc w:val="right"/>
        </w:trPr>
        <w:tc>
          <w:tcPr>
            <w:tcW w:w="5000" w:type="pct"/>
          </w:tcPr>
          <w:p w14:paraId="04557677" w14:textId="77777777">
            <w:pPr>
              <w:pStyle w:val="Kpalrs"/>
              <w:keepLines/>
            </w:pPr>
            <w:bookmarkStart w:id="329" w:name="_Ref44078070"/>
            <w:r>
              <w:t xml:space="preserve">Exhibit </w:t>
            </w:r>
            <w:fldSimple w:instr=" STYLEREF 2 \s ">
              <w:r>
                <w:rPr>
                  <w:noProof/>
                </w:rPr>
                <w:t>4.7</w:t>
              </w:r>
            </w:fldSimple>
            <w:r>
              <w:t>.</w:t>
            </w:r>
            <w:fldSimple w:instr=" SEQ Exhibit \* ALPHABETIC \s 2 ">
              <w:r>
                <w:rPr>
                  <w:noProof/>
                </w:rPr>
                <w:t>I</w:t>
              </w:r>
            </w:fldSimple>
            <w:bookmarkEnd w:id="329"/>
            <w:r>
              <w:t>: non-contiguous fragments</w:t>
            </w:r>
          </w:p>
        </w:tc>
      </w:tr>
      <w:tr w14:paraId="579AB990" w14:textId="77777777">
        <w:trPr>
          <w:jc w:val="right"/>
        </w:trPr>
        <w:tc>
          <w:tcPr>
            <w:tcW w:w="5000" w:type="pct"/>
          </w:tcPr>
          <w:p w14:paraId="06146606" w14:textId="77777777">
            <w:pPr>
              <w:pStyle w:val="Image"/>
            </w:pPr>
            <w:r>
              <w:drawing>
                <wp:inline distT="0" distB="0" distL="0" distR="0" wp14:anchorId="5E35A3C9" wp14:editId="4AD93434">
                  <wp:extent cx="3240000" cy="2203200"/>
                  <wp:effectExtent l="0" t="0" r="0" b="6985"/>
                  <wp:docPr id="872493282"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40000" cy="2203200"/>
                          </a:xfrm>
                          <a:prstGeom prst="rect">
                            <a:avLst/>
                          </a:prstGeom>
                          <a:noFill/>
                          <a:ln>
                            <a:noFill/>
                          </a:ln>
                        </pic:spPr>
                      </pic:pic>
                    </a:graphicData>
                  </a:graphic>
                </wp:inline>
              </w:drawing>
            </w:r>
          </w:p>
        </w:tc>
      </w:tr>
      <w:tr w14:paraId="1671AF1C" w14:textId="77777777">
        <w:trPr>
          <w:jc w:val="right"/>
        </w:trPr>
        <w:tc>
          <w:tcPr>
            <w:tcW w:w="5000" w:type="pct"/>
          </w:tcPr>
          <w:p w14:paraId="65CDAACB" w14:textId="77777777">
            <w:pPr>
              <w:pStyle w:val="CodeParagraph"/>
              <w:keepLines/>
              <w:rPr>
                <w:rStyle w:val="Code"/>
              </w:rPr>
            </w:pPr>
            <w:r>
              <w:rPr>
                <w:rStyle w:val="Code"/>
              </w:rPr>
              <w:t xml:space="preserve">&lt;div </w:t>
            </w:r>
            <w:r>
              <w:rPr>
                <w:rStyle w:val="Codeattribute"/>
              </w:rPr>
              <w:t>type</w:t>
            </w:r>
            <w:r>
              <w:rPr>
                <w:rStyle w:val="Code"/>
              </w:rPr>
              <w:t>=</w:t>
            </w:r>
            <w:r>
              <w:rPr>
                <w:rStyle w:val="Codevalue"/>
              </w:rPr>
              <w:t>"edition"</w:t>
            </w:r>
            <w:r>
              <w:rPr>
                <w:rStyle w:val="Code"/>
              </w:rPr>
              <w:t>&gt;</w:t>
            </w:r>
          </w:p>
          <w:p w14:paraId="1E1E13A7" w14:textId="77777777">
            <w:pPr>
              <w:pStyle w:val="CodeParagraph"/>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p>
          <w:p w14:paraId="02E4A259" w14:textId="77777777">
            <w:pPr>
              <w:pStyle w:val="CodeParagraph"/>
              <w:keepLines/>
              <w:rPr>
                <w:rStyle w:val="Code"/>
              </w:rPr>
            </w:pPr>
            <w:r>
              <w:rPr>
                <w:rStyle w:val="Code"/>
              </w:rPr>
              <w:t xml:space="preserve">  &lt;/div&gt;</w:t>
            </w:r>
          </w:p>
          <w:p w14:paraId="1834D80C" w14:textId="77777777">
            <w:pPr>
              <w:pStyle w:val="CodeParagraph"/>
              <w:keepLines/>
              <w:rPr>
                <w:rStyle w:val="Codetext"/>
              </w:rPr>
            </w:pPr>
            <w:r>
              <w:rPr>
                <w:rStyle w:val="Code"/>
              </w:rPr>
              <w:t xml:space="preserve">  &lt;div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p>
          <w:p w14:paraId="3E51022E" w14:textId="77777777">
            <w:pPr>
              <w:pStyle w:val="CodeParagraph"/>
              <w:keepLines/>
              <w:rPr>
                <w:rStyle w:val="Code"/>
              </w:rPr>
            </w:pPr>
            <w:r>
              <w:rPr>
                <w:rStyle w:val="Code"/>
              </w:rPr>
              <w:t xml:space="preserve">  &lt;/div&gt;</w:t>
            </w:r>
          </w:p>
          <w:p w14:paraId="44CD6392" w14:textId="77777777">
            <w:pPr>
              <w:pStyle w:val="CodeParagraph"/>
              <w:keepLines/>
              <w:rPr>
                <w:rFonts w:ascii="Consolas" w:hAnsi="Consolas" w:cs="Consolas"/>
                <w:noProof/>
                <w:color w:val="002060"/>
                <w:shd w:val="clear" w:color="auto" w:fill="F2F2F2" w:themeFill="background1" w:themeFillShade="F2"/>
              </w:rPr>
            </w:pPr>
            <w:r>
              <w:rPr>
                <w:rStyle w:val="Code"/>
              </w:rPr>
              <w:t>&lt;/div&gt;</w:t>
            </w:r>
          </w:p>
        </w:tc>
      </w:tr>
      <w:tr w14:paraId="111E0595" w14:textId="77777777">
        <w:trPr>
          <w:jc w:val="right"/>
        </w:trPr>
        <w:tc>
          <w:tcPr>
            <w:tcW w:w="5000" w:type="pct"/>
          </w:tcPr>
          <w:p w14:paraId="22577B33" w14:textId="77777777">
            <w:pPr>
              <w:pStyle w:val="TableNote"/>
              <w:rPr>
                <w:rStyle w:val="Code"/>
              </w:rPr>
            </w:pPr>
            <w:r>
              <w:t xml:space="preserve">complete encoded illustration: </w:t>
            </w:r>
            <w:r>
              <w:fldChar w:fldCharType="begin"/>
            </w:r>
            <w:r>
              <w:instrText xml:space="preserve"> REF _Ref239844299 \r \h </w:instrText>
            </w:r>
            <w:r>
              <w:fldChar w:fldCharType="separate"/>
            </w:r>
            <w:r>
              <w:t>Appendix A.1</w:t>
            </w:r>
            <w:r>
              <w:fldChar w:fldCharType="end"/>
            </w:r>
          </w:p>
        </w:tc>
      </w:tr>
    </w:tbl>
    <w:p w14:paraId="47C8E57E" w14:textId="77777777">
      <w:pPr>
        <w:pStyle w:val="Lista"/>
      </w:pPr>
      <w:r>
        <w:t>this applies whenever the text connecting the extant parts of the text is not represented at all in the edition</w:t>
      </w:r>
    </w:p>
    <w:p w14:paraId="0118EDBE" w14:textId="77777777">
      <w:pPr>
        <w:pStyle w:val="Lista2"/>
      </w:pPr>
      <w:r>
        <w:t>such a situation might also come about in an inscription that is not fragmented, but so thoroughly worn in the middle that its lines cannot even be counted, much less read</w:t>
      </w:r>
    </w:p>
    <w:p w14:paraId="346532C5" w14:textId="77777777">
      <w:pPr>
        <w:pStyle w:val="Lista2"/>
      </w:pPr>
      <w:r>
        <w:t>however, if the connecting text is represented, even if only so far as its basic structure (e.g. lines, copperplate pages), then the fragments need not and should not be encoded as textparts</w:t>
      </w:r>
    </w:p>
    <w:p w14:paraId="29597182" w14:textId="77777777">
      <w:pPr>
        <w:pStyle w:val="Lista2"/>
      </w:pPr>
      <w:r>
        <w:t>see also §</w:t>
      </w:r>
      <w:r>
        <w:fldChar w:fldCharType="begin"/>
      </w:r>
      <w:r>
        <w:instrText xml:space="preserve"> REF _Ref43981711 \w \h  \* MERGEFORMAT </w:instrText>
      </w:r>
      <w:r>
        <w:fldChar w:fldCharType="separate"/>
      </w:r>
      <w:r>
        <w:t>6.5.4</w:t>
      </w:r>
      <w:r>
        <w:fldChar w:fldCharType="end"/>
      </w:r>
      <w:r>
        <w:t xml:space="preserve"> about encoding massive lacunae without resorting to textparts</w:t>
      </w:r>
    </w:p>
    <w:p w14:paraId="67644135" w14:textId="77777777">
      <w:pPr>
        <w:pStyle w:val="Lista"/>
      </w:pPr>
      <w:r>
        <w:t>the textparts shall be created in the sequence you deem most appropriate</w:t>
      </w:r>
    </w:p>
    <w:p w14:paraId="0C26808F" w14:textId="77777777">
      <w:pPr>
        <w:pStyle w:val="Lista"/>
        <w:rPr>
          <w:rStyle w:val="Codevalue"/>
          <w:rFonts w:ascii="Gentium" w:eastAsiaTheme="minorEastAsia" w:hAnsi="Gentium" w:cs="Tiro Devanagari Sanskrit"/>
          <w:noProof w:val="0"/>
          <w:color w:val="auto"/>
          <w:shd w:val="clear" w:color="auto" w:fill="auto"/>
        </w:rPr>
      </w:pPr>
      <w:r>
        <w:t xml:space="preserve">the textparts shall be numbered normally, with </w:t>
      </w:r>
      <w:r>
        <w:rPr>
          <w:rStyle w:val="Codeattribute"/>
        </w:rPr>
        <w:t>@subtype=</w:t>
      </w:r>
      <w:r>
        <w:rPr>
          <w:rStyle w:val="Codevalue"/>
        </w:rPr>
        <w:t>"fragment"</w:t>
      </w:r>
      <w:r>
        <w:t xml:space="preserve"> as shown in </w:t>
      </w:r>
      <w:r>
        <w:fldChar w:fldCharType="begin"/>
      </w:r>
      <w:r>
        <w:instrText xml:space="preserve"> REF _Ref44078070 \h </w:instrText>
      </w:r>
      <w:r>
        <w:fldChar w:fldCharType="separate"/>
      </w:r>
      <w:r>
        <w:t xml:space="preserve">Exhibit </w:t>
      </w:r>
      <w:r>
        <w:rPr>
          <w:noProof/>
        </w:rPr>
        <w:t>4.7</w:t>
      </w:r>
      <w:r>
        <w:t>.</w:t>
      </w:r>
      <w:r>
        <w:rPr>
          <w:noProof/>
        </w:rPr>
        <w:t>I</w:t>
      </w:r>
      <w:r>
        <w:fldChar w:fldCharType="end"/>
      </w:r>
    </w:p>
    <w:p w14:paraId="3C1EB821" w14:textId="77777777">
      <w:pPr>
        <w:pStyle w:val="Lista2"/>
      </w:pPr>
      <w:r>
        <w:t>resulting in auto-generated headings such as “Fragment A”</w:t>
      </w:r>
    </w:p>
    <w:p w14:paraId="018A9D17" w14:textId="77777777">
      <w:pPr>
        <w:pStyle w:val="Lista2"/>
      </w:pPr>
      <w:r>
        <w:t xml:space="preserve">alternatively, you may choose to use descriptive custom headings, for example as shown in </w:t>
      </w:r>
      <w:r>
        <w:fldChar w:fldCharType="begin"/>
      </w:r>
      <w:r>
        <w:instrText xml:space="preserve"> REF _Ref44078271 \h </w:instrText>
      </w:r>
      <w:r>
        <w:fldChar w:fldCharType="separate"/>
      </w:r>
      <w:r>
        <w:t xml:space="preserve">Exhibit </w:t>
      </w:r>
      <w:r>
        <w:rPr>
          <w:noProof/>
        </w:rPr>
        <w:t>4.2</w:t>
      </w:r>
      <w:r>
        <w:t>.</w:t>
      </w:r>
      <w:r>
        <w:rPr>
          <w:noProof/>
        </w:rPr>
        <w:t>B</w:t>
      </w:r>
      <w:r>
        <w:fldChar w:fldCharType="end"/>
      </w:r>
    </w:p>
    <w:p w14:paraId="3DB91954" w14:textId="77777777">
      <w:pPr>
        <w:pStyle w:val="Lista"/>
      </w:pPr>
      <w:r>
        <w:t>incomplete block-level containers on any fragment shall be encoded as per §</w:t>
      </w:r>
      <w:r>
        <w:fldChar w:fldCharType="begin"/>
      </w:r>
      <w:r>
        <w:instrText xml:space="preserve"> REF _Ref228980509 \r \h </w:instrText>
      </w:r>
      <w:r>
        <w:fldChar w:fldCharType="separate"/>
      </w:r>
      <w:r>
        <w:t>3.2.3.1</w:t>
      </w:r>
      <w:r>
        <w:fldChar w:fldCharType="end"/>
      </w:r>
    </w:p>
    <w:p w14:paraId="010D782C" w14:textId="77777777">
      <w:pPr>
        <w:pStyle w:val="Cmsor4"/>
      </w:pPr>
      <w:bookmarkStart w:id="330" w:name="_Ref225178060"/>
      <w:r>
        <w:t>Trial engravings</w:t>
      </w:r>
      <w:bookmarkEnd w:id="330"/>
      <w:r>
        <w:t xml:space="preserve"> </w:t>
      </w:r>
    </w:p>
    <w:p w14:paraId="7CC7E7F4" w14:textId="77777777">
      <w:r>
        <w:t>Trial engravings are short, often unintelligible, pieces of text outside the campus of the main inscription, which were presumably created for testing purposes before engraving the actual inscriptions and were probably not visible when the finished inscription was displayed in its original setting. We always encode trial engravings as textpart divisions.</w:t>
      </w:r>
    </w:p>
    <w:p w14:paraId="1C1A6FC8" w14:textId="77777777">
      <w:pPr>
        <w:pStyle w:val="Lista"/>
      </w:pPr>
      <w:r>
        <w:t>textparts for trial engravings may be created before or after the textpart for the main inscription as you deem fit</w:t>
      </w:r>
    </w:p>
    <w:p w14:paraId="3D3F1F80" w14:textId="77777777">
      <w:pPr>
        <w:pStyle w:val="Lista"/>
      </w:pPr>
      <w:r>
        <w:t xml:space="preserve">the textparts shall be numbered normally, with </w:t>
      </w:r>
      <w:r>
        <w:rPr>
          <w:rStyle w:val="Codeattribute"/>
        </w:rPr>
        <w:t>@subtype=</w:t>
      </w:r>
      <w:r>
        <w:rPr>
          <w:rStyle w:val="Codevalue"/>
        </w:rPr>
        <w:t>"trial"</w:t>
      </w:r>
      <w:r>
        <w:t xml:space="preserve"> for the trial engravings and no </w:t>
      </w:r>
      <w:r>
        <w:rPr>
          <w:rStyle w:val="Codeattribute"/>
        </w:rPr>
        <w:t>@subtype</w:t>
      </w:r>
      <w:r>
        <w:t xml:space="preserve"> for the main inscription (unless one is warranted for some reason beyond the fact that it is accompanied by trial engravings)</w:t>
      </w:r>
    </w:p>
    <w:p w14:paraId="39A85528" w14:textId="77777777">
      <w:pPr>
        <w:pStyle w:val="Lista2"/>
      </w:pPr>
      <w:r>
        <w:t xml:space="preserve">this value of </w:t>
      </w:r>
      <w:r>
        <w:rPr>
          <w:rStyle w:val="Codeattribute"/>
        </w:rPr>
        <w:t>@subtype</w:t>
      </w:r>
      <w:r>
        <w:t xml:space="preserve"> is an exception to the general preference for classifying textparts purely on the basis of physical nature, in order to facilitate searching the corpus for trial engravings</w:t>
      </w:r>
    </w:p>
    <w:p w14:paraId="09D7A957" w14:textId="77777777">
      <w:pPr>
        <w:pStyle w:val="Lista"/>
      </w:pPr>
      <w:r>
        <w:t xml:space="preserve">a custom heading may be created at your discretion, but </w:t>
      </w:r>
      <w:r>
        <w:rPr>
          <w:rStyle w:val="Codeattribute"/>
        </w:rPr>
        <w:t>@subtype=</w:t>
      </w:r>
      <w:r>
        <w:rPr>
          <w:rStyle w:val="Codevalue"/>
        </w:rPr>
        <w:t>"trial"</w:t>
      </w:r>
      <w:r>
        <w:t xml:space="preserve"> must always be present on the trial textparts</w:t>
      </w:r>
    </w:p>
    <w:p w14:paraId="31881EDC" w14:textId="77777777">
      <w:pPr>
        <w:pStyle w:val="Cmsor4"/>
      </w:pPr>
      <w:bookmarkStart w:id="331" w:name="_gwyk1jzb0av6" w:colFirst="0" w:colLast="0"/>
      <w:bookmarkStart w:id="332" w:name="_Ref231898382"/>
      <w:bookmarkStart w:id="333" w:name="_Ref43990385"/>
      <w:bookmarkEnd w:id="331"/>
      <w:r>
        <w:t>Same message in different languages</w:t>
      </w:r>
      <w:bookmarkEnd w:id="332"/>
    </w:p>
    <w:p w14:paraId="4E14B6DC" w14:textId="77777777">
      <w:pPr>
        <w:rPr>
          <w:lang w:eastAsia="en-US" w:bidi="ar-SA"/>
        </w:rPr>
      </w:pPr>
      <w:r>
        <w:rPr>
          <w:lang w:eastAsia="en-US" w:bidi="ar-SA"/>
        </w:rPr>
        <w:t>When two inscriptions on the same support or on associated supports carry an identical (or closely related) message in two (or more) separate languages, these can be encoded as textpart divisions.</w:t>
      </w:r>
    </w:p>
    <w:p w14:paraId="0BB80711" w14:textId="77777777">
      <w:pPr>
        <w:pStyle w:val="Lista"/>
      </w:pPr>
      <w:r>
        <w:t>this applies whenever the two inscriptions are connected closely enough to be recognised as parts of a single epigraphic installation, but nonetheless separate in layout</w:t>
      </w:r>
    </w:p>
    <w:p w14:paraId="2DF3D54B" w14:textId="77777777">
      <w:pPr>
        <w:pStyle w:val="Lista2"/>
      </w:pPr>
      <w:r>
        <w:lastRenderedPageBreak/>
        <w:t>language change within a single integral inscription must not be encoded with textpart divisions</w:t>
      </w:r>
    </w:p>
    <w:p w14:paraId="7E4A67F9" w14:textId="77777777">
      <w:pPr>
        <w:pStyle w:val="Lista2"/>
      </w:pPr>
      <w:r>
        <w:t>for further guidance on multilingual inscriptions, including the encoding of language, see §</w:t>
      </w:r>
      <w:r>
        <w:fldChar w:fldCharType="begin"/>
      </w:r>
      <w:r>
        <w:instrText xml:space="preserve"> REF _Ref232089615 \r \h </w:instrText>
      </w:r>
      <w:r>
        <w:fldChar w:fldCharType="separate"/>
      </w:r>
      <w:r>
        <w:t>8.1.2</w:t>
      </w:r>
      <w:r>
        <w:fldChar w:fldCharType="end"/>
      </w:r>
      <w:r>
        <w:t xml:space="preserve"> </w:t>
      </w:r>
    </w:p>
    <w:p w14:paraId="0783B179" w14:textId="77777777">
      <w:pPr>
        <w:pStyle w:val="Lista"/>
      </w:pPr>
      <w:r>
        <w:t>create the textparts in the order you deem most appropriate</w:t>
      </w:r>
    </w:p>
    <w:p w14:paraId="623C25BA" w14:textId="77777777">
      <w:pPr>
        <w:pStyle w:val="Lista"/>
      </w:pPr>
      <w:r>
        <w:t xml:space="preserve">the textparts shall be numbered normally, with </w:t>
      </w:r>
      <w:r>
        <w:rPr>
          <w:rStyle w:val="Codeattribute"/>
        </w:rPr>
        <w:t>@subtype</w:t>
      </w:r>
      <w:r>
        <w:t xml:space="preserve"> or custom headings at your discretion</w:t>
      </w:r>
    </w:p>
    <w:p w14:paraId="3880484E" w14:textId="77777777">
      <w:pPr>
        <w:pStyle w:val="Cmsor4"/>
      </w:pPr>
      <w:r>
        <w:t>No obvious reading order</w:t>
      </w:r>
    </w:p>
    <w:p w14:paraId="2C62BC38" w14:textId="77777777">
      <w:r>
        <w:t>When, for whatever reason, there is no obvious order in which physically and semantically distinct zones of text ought to be read, but there is nevertheless good reason for treating them as a single document rather than as separate inscriptions, you may choose to encode them as textpart divisions.</w:t>
      </w:r>
    </w:p>
    <w:p w14:paraId="62DB68B0" w14:textId="77777777">
      <w:pPr>
        <w:pStyle w:val="Lista"/>
      </w:pPr>
      <w:r>
        <w:t>this applies in particular to multiple short inscriptions engraved on various parts of a support such as a rock face, a monument or a sculpture</w:t>
      </w:r>
    </w:p>
    <w:p w14:paraId="164C188F" w14:textId="77777777">
      <w:pPr>
        <w:pStyle w:val="Lista2"/>
      </w:pPr>
      <w:r>
        <w:t>if there is reason to believe that the inscriptions do not constitute a semantic whole and/or that they were engraved on separate occasions (as for instance various graffiti on a monument), then it is preferable to encode each as a separate edition</w:t>
      </w:r>
    </w:p>
    <w:p w14:paraId="0056D9A7" w14:textId="3F3267FC">
      <w:pPr>
        <w:pStyle w:val="Lista"/>
      </w:pPr>
      <w:r>
        <w:t>create the textparts in the order you deem most appropriate</w:t>
      </w:r>
    </w:p>
    <w:p w14:paraId="1EE89BE2" w14:textId="77777777">
      <w:pPr>
        <w:pStyle w:val="Lista"/>
      </w:pPr>
      <w:r>
        <w:t xml:space="preserve">the textparts shall be numbered normally, with </w:t>
      </w:r>
      <w:r>
        <w:rPr>
          <w:rStyle w:val="Codeattribute"/>
        </w:rPr>
        <w:t>@subtype</w:t>
      </w:r>
      <w:r>
        <w:t xml:space="preserve"> or custom headings at your discretion</w:t>
      </w:r>
    </w:p>
    <w:p w14:paraId="5CB0FA21" w14:textId="77777777">
      <w:pPr>
        <w:pStyle w:val="Lista2"/>
      </w:pPr>
      <w:r>
        <w:t xml:space="preserve">custom headers such as “Head”, “Halo”, “Back” and “Pedestal” </w:t>
      </w:r>
      <w:r>
        <w:rPr>
          <w:noProof/>
        </w:rPr>
        <w:t>(</w:t>
      </w:r>
      <w:r>
        <w:t>etc.) are recommended for inscriptions on various parts of a statue</w:t>
      </w:r>
    </w:p>
    <w:p w14:paraId="0C78A1BA" w14:textId="77777777">
      <w:pPr>
        <w:pStyle w:val="Cmsor4"/>
      </w:pPr>
      <w:bookmarkStart w:id="334" w:name="_Ref225782390"/>
      <w:r>
        <w:t>Complex, hierarchical extrinsic structure</w:t>
      </w:r>
      <w:bookmarkEnd w:id="334"/>
    </w:p>
    <w:p w14:paraId="0AE118F7" w14:textId="77777777">
      <w:r>
        <w:t>If an inscription is written in several distinct zones and one or more of these zones are further subdivided, this cannot be represented in our encoding because for practical reasons we have chosen not to employ more than one kind of pagelike partition in a division (§</w:t>
      </w:r>
      <w:r>
        <w:fldChar w:fldCharType="begin"/>
      </w:r>
      <w:r>
        <w:instrText xml:space="preserve"> REF _Ref182923075 \r \h </w:instrText>
      </w:r>
      <w:r>
        <w:fldChar w:fldCharType="separate"/>
      </w:r>
      <w:r>
        <w:t>4.1</w:t>
      </w:r>
      <w:r>
        <w:fldChar w:fldCharType="end"/>
      </w:r>
      <w:r>
        <w:t xml:space="preserve">). If you are certain that the hierarchical structure must be reflected in your encoded edition, you may choose to employ textpart divisions for the top level of such a hierarchical structure, and pagelike partitions within one or more of the divisions as applicable. Keep in mind, however, that there is no solid advantage to attempting to faithfully represent every detail of a structurally complex document in your encoding. Creating separate editions </w:t>
      </w:r>
      <w:r>
        <w:rPr>
          <w:noProof/>
        </w:rPr>
        <w:t>(</w:t>
      </w:r>
      <w:r>
        <w:t>in separate XML documents) is also a viable alternative to creating textparts in a single edition, especially if the parts concerned are integral in themselves, if they have little semantic connection, and especially if they were engraved on separate occasions or on separate objects.</w:t>
      </w:r>
    </w:p>
    <w:p w14:paraId="78877EA3" w14:textId="77777777">
      <w:pPr>
        <w:pStyle w:val="Cmsor3"/>
      </w:pPr>
      <w:bookmarkStart w:id="335" w:name="_Ref225759789"/>
      <w:bookmarkStart w:id="336" w:name="_Toc243900281"/>
      <w:bookmarkEnd w:id="333"/>
      <w:r>
        <w:t>When to use pagelike partitions</w:t>
      </w:r>
      <w:bookmarkEnd w:id="335"/>
      <w:bookmarkEnd w:id="336"/>
    </w:p>
    <w:p w14:paraId="01123B4A" w14:textId="77777777">
      <w:r>
        <w:t xml:space="preserve">The use of the </w:t>
      </w:r>
      <w:r>
        <w:rPr>
          <w:rStyle w:val="Code"/>
        </w:rPr>
        <w:t>&lt;pb/&gt;</w:t>
      </w:r>
      <w:r>
        <w:t xml:space="preserve"> element is restricted in DHARMA practice to genuine pages, i.e. the sides of effectively two-dimensional sheets of a thin material. Other pagelike partitions, encoded with </w:t>
      </w:r>
      <w:r>
        <w:rPr>
          <w:rStyle w:val="Code"/>
        </w:rPr>
        <w:t xml:space="preserve">&lt;milestone </w:t>
      </w:r>
      <w:r>
        <w:rPr>
          <w:rStyle w:val="Codeattribute"/>
        </w:rPr>
        <w:t>type=</w:t>
      </w:r>
      <w:r>
        <w:rPr>
          <w:rStyle w:val="Codevalue"/>
        </w:rPr>
        <w:t>"pagelike"</w:t>
      </w:r>
      <w:r>
        <w:rPr>
          <w:rStyle w:val="Code"/>
        </w:rPr>
        <w:t>&gt;</w:t>
      </w:r>
      <w:r>
        <w:t>, can also occur on stone and other supports. When deciding whether to encode a pagelike partition, the questions to ask yourself is whether the visual separation of the zones is strong enough to warrant a partition at all, and if yes, whether the semantic distinctness of the zones is strong enough to warrant a boxlike (rather than a pagelike) partition.</w:t>
      </w:r>
    </w:p>
    <w:p w14:paraId="337933F7" w14:textId="77777777">
      <w:pPr>
        <w:pStyle w:val="Cmsor4"/>
      </w:pPr>
      <w:bookmarkStart w:id="337" w:name="_Ref225781502"/>
      <w:r>
        <w:t>A pagelike partition is not always necessary</w:t>
      </w:r>
      <w:bookmarkEnd w:id="337"/>
    </w:p>
    <w:p w14:paraId="4BCB5968" w14:textId="77777777">
      <w:r>
        <w:t xml:space="preserve">Sections of a reasonably coherent text are sometimes separated by vertical </w:t>
      </w:r>
      <w:r>
        <w:rPr>
          <w:noProof/>
        </w:rPr>
        <w:t>(</w:t>
      </w:r>
      <w:r>
        <w:t>interlinear) space in what is otherwise a fairly well-defined single zone. If the first or last line (or few lines) of an inscription are set apart visually from the rest, see §</w:t>
      </w:r>
      <w:r>
        <w:fldChar w:fldCharType="begin"/>
      </w:r>
      <w:r>
        <w:instrText xml:space="preserve"> REF _Ref225779703 \r \h </w:instrText>
      </w:r>
      <w:r>
        <w:fldChar w:fldCharType="separate"/>
      </w:r>
      <w:r>
        <w:t>4.7.1</w:t>
      </w:r>
      <w:r>
        <w:fldChar w:fldCharType="end"/>
      </w:r>
      <w:r>
        <w:t xml:space="preserve"> for the relevant encoding. Otherwise, choose one of the following options depending on your judgement of the degree to which the sections are semantically and physically distinct.</w:t>
      </w:r>
    </w:p>
    <w:p w14:paraId="5331C57B" w14:textId="77777777">
      <w:pPr>
        <w:pStyle w:val="Lista"/>
      </w:pPr>
      <w:r>
        <w:t xml:space="preserve">if there is </w:t>
      </w:r>
      <w:r>
        <w:rPr>
          <w:b/>
          <w:bCs/>
        </w:rPr>
        <w:t>little to no</w:t>
      </w:r>
      <w:r>
        <w:t xml:space="preserve"> semantic discontinuity between the sections, and the physical separation is not very emphatic, as in </w:t>
      </w:r>
      <w:r>
        <w:fldChar w:fldCharType="begin"/>
      </w:r>
      <w:r>
        <w:instrText xml:space="preserve"> REF _Ref225779765 \h </w:instrText>
      </w:r>
      <w:r>
        <w:fldChar w:fldCharType="separate"/>
      </w:r>
      <w:r>
        <w:t xml:space="preserve">Exhibit </w:t>
      </w:r>
      <w:r>
        <w:rPr>
          <w:noProof/>
        </w:rPr>
        <w:t>4.7</w:t>
      </w:r>
      <w:r>
        <w:t>.</w:t>
      </w:r>
      <w:r>
        <w:rPr>
          <w:noProof/>
        </w:rPr>
        <w:t>J</w:t>
      </w:r>
      <w:r>
        <w:fldChar w:fldCharType="end"/>
      </w:r>
      <w:r>
        <w:t>, then encode the text as a single unit, ignoring the interlinear space in your edition and only describing it in your annotation</w:t>
      </w:r>
    </w:p>
    <w:p w14:paraId="3771E7FC" w14:textId="77777777">
      <w:pPr>
        <w:pStyle w:val="Lista2"/>
      </w:pPr>
      <w:r>
        <w:t>since epigraphic lines may appear in any visual arrangement (§</w:t>
      </w:r>
      <w:r>
        <w:fldChar w:fldCharType="begin"/>
      </w:r>
      <w:r>
        <w:instrText xml:space="preserve"> REF _Ref224720139 \r \h </w:instrText>
      </w:r>
      <w:r>
        <w:fldChar w:fldCharType="separate"/>
      </w:r>
      <w:r>
        <w:t>4.5</w:t>
      </w:r>
      <w:r>
        <w:fldChar w:fldCharType="end"/>
      </w:r>
      <w:r>
        <w:t>), encoding one line after another does not assert that the lines are equidistant</w:t>
      </w:r>
    </w:p>
    <w:p w14:paraId="27DD8265" w14:textId="77777777">
      <w:pPr>
        <w:pStyle w:val="Lista"/>
      </w:pPr>
      <w:r>
        <w:t xml:space="preserve">if the sections are </w:t>
      </w:r>
      <w:r>
        <w:rPr>
          <w:b/>
          <w:bCs/>
        </w:rPr>
        <w:t>semantically separate</w:t>
      </w:r>
      <w:r>
        <w:t xml:space="preserve"> and/or the </w:t>
      </w:r>
      <w:r>
        <w:rPr>
          <w:b/>
          <w:bCs/>
        </w:rPr>
        <w:t>physical separation is emphasized</w:t>
      </w:r>
      <w:r>
        <w:t xml:space="preserve"> (for instance by a large space or by a carved feature), then encode pagelike partitions as per §</w:t>
      </w:r>
      <w:r>
        <w:fldChar w:fldCharType="begin"/>
      </w:r>
      <w:r>
        <w:instrText xml:space="preserve"> REF _Ref233982406 \r \h </w:instrText>
      </w:r>
      <w:r>
        <w:fldChar w:fldCharType="separate"/>
      </w:r>
      <w:r>
        <w:t>4.4</w:t>
      </w:r>
      <w:r>
        <w:fldChar w:fldCharType="end"/>
      </w:r>
    </w:p>
    <w:p w14:paraId="77E019FB" w14:textId="77777777">
      <w:pPr>
        <w:pStyle w:val="Lista"/>
      </w:pPr>
      <w:r>
        <w:lastRenderedPageBreak/>
        <w:t>if the sections are completely independent, then boxlike partitions may be applicable, but before encoding such a partition, consider the guidelines in §</w:t>
      </w:r>
      <w:r>
        <w:fldChar w:fldCharType="begin"/>
      </w:r>
      <w:r>
        <w:instrText xml:space="preserve"> REF _Ref225781091 \r \h </w:instrText>
      </w:r>
      <w:r>
        <w:fldChar w:fldCharType="separate"/>
      </w:r>
      <w:r>
        <w:t>4.7.4.2</w:t>
      </w:r>
      <w:r>
        <w:fldChar w:fldCharType="end"/>
      </w:r>
      <w:r>
        <w:t xml:space="preserve"> </w:t>
      </w:r>
    </w:p>
    <w:tbl>
      <w:tblPr>
        <w:tblStyle w:val="CodeSampleTable"/>
        <w:tblW w:w="5000" w:type="pct"/>
        <w:tblLook w:val="04A0" w:firstRow="1" w:lastRow="0" w:firstColumn="1" w:lastColumn="0" w:noHBand="0" w:noVBand="1"/>
      </w:tblPr>
      <w:tblGrid>
        <w:gridCol w:w="9628"/>
      </w:tblGrid>
      <w:tr w14:paraId="35CE2D6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B51A259" w14:textId="77777777">
            <w:pPr>
              <w:pStyle w:val="Kpalrs"/>
              <w:keepLines/>
            </w:pPr>
            <w:bookmarkStart w:id="338" w:name="_Ref225779765"/>
            <w:r>
              <w:t xml:space="preserve">Exhibit </w:t>
            </w:r>
            <w:fldSimple w:instr=" STYLEREF 2 \s ">
              <w:r>
                <w:rPr>
                  <w:noProof/>
                </w:rPr>
                <w:t>4.7</w:t>
              </w:r>
            </w:fldSimple>
            <w:r>
              <w:t>.</w:t>
            </w:r>
            <w:fldSimple w:instr=" SEQ Exhibit \* ALPHABETIC \s 2 ">
              <w:r>
                <w:rPr>
                  <w:noProof/>
                </w:rPr>
                <w:t>J</w:t>
              </w:r>
            </w:fldSimple>
            <w:bookmarkEnd w:id="338"/>
            <w:r>
              <w:t>: a quasi-partition with interlinear space</w:t>
            </w:r>
          </w:p>
        </w:tc>
      </w:tr>
      <w:tr w14:paraId="1A3A4DE8" w14:textId="77777777">
        <w:tc>
          <w:tcPr>
            <w:tcW w:w="5000" w:type="pct"/>
            <w:vAlign w:val="center"/>
          </w:tcPr>
          <w:p w14:paraId="41B00EF3" w14:textId="77777777">
            <w:pPr>
              <w:pStyle w:val="Image"/>
              <w:keepLines/>
              <w:rPr>
                <w:rStyle w:val="Code"/>
              </w:rPr>
            </w:pPr>
            <w:r>
              <w:drawing>
                <wp:inline distT="0" distB="0" distL="0" distR="0" wp14:anchorId="09B49519" wp14:editId="6FC88A44">
                  <wp:extent cx="4497070" cy="2702560"/>
                  <wp:effectExtent l="0" t="0" r="0" b="2540"/>
                  <wp:docPr id="793827664"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97070" cy="2702560"/>
                          </a:xfrm>
                          <a:prstGeom prst="rect">
                            <a:avLst/>
                          </a:prstGeom>
                          <a:noFill/>
                          <a:ln>
                            <a:noFill/>
                          </a:ln>
                        </pic:spPr>
                      </pic:pic>
                    </a:graphicData>
                  </a:graphic>
                </wp:inline>
              </w:drawing>
            </w:r>
          </w:p>
        </w:tc>
      </w:tr>
      <w:tr w14:paraId="090315B7" w14:textId="77777777">
        <w:tc>
          <w:tcPr>
            <w:tcW w:w="5000" w:type="pct"/>
          </w:tcPr>
          <w:p w14:paraId="49CB77A6" w14:textId="77777777">
            <w:pPr>
              <w:pStyle w:val="CodeParagraph"/>
              <w:rPr>
                <w:rStyle w:val="Code"/>
              </w:rPr>
            </w:pPr>
            <w:r>
              <w:rPr>
                <w:rStyle w:val="Code"/>
              </w:rPr>
              <w:t>&lt;p&gt;</w:t>
            </w:r>
          </w:p>
          <w:p w14:paraId="1DBA0841" w14:textId="77777777">
            <w:pPr>
              <w:pStyle w:val="CodeParagraph"/>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 xml:space="preserve"> In a hole in the ground there lived a hobbit. Not a</w:t>
            </w:r>
          </w:p>
          <w:p w14:paraId="04DB5D24" w14:textId="77777777">
            <w:pPr>
              <w:pStyle w:val="CodeParagraph"/>
              <w:rPr>
                <w:rStyle w:val="Code"/>
              </w:rPr>
            </w:pPr>
            <w:r>
              <w:rPr>
                <w:rStyle w:val="Code"/>
              </w:rPr>
              <w:t xml:space="preserve">  ...</w:t>
            </w:r>
          </w:p>
          <w:p w14:paraId="6E90D20B" w14:textId="77777777">
            <w:pPr>
              <w:pStyle w:val="CodeParagraph"/>
              <w:rPr>
                <w:rStyle w:val="Codetext"/>
              </w:rPr>
            </w:pPr>
            <w:r>
              <w:rPr>
                <w:rStyle w:val="Code"/>
              </w:rPr>
              <w:t xml:space="preserve">  &lt;lb </w:t>
            </w:r>
            <w:r>
              <w:rPr>
                <w:rStyle w:val="Codeattribute"/>
              </w:rPr>
              <w:t>n</w:t>
            </w:r>
            <w:r>
              <w:rPr>
                <w:rStyle w:val="Code"/>
              </w:rPr>
              <w:t>=</w:t>
            </w:r>
            <w:r>
              <w:rPr>
                <w:rStyle w:val="Codevalue"/>
              </w:rPr>
              <w:t>"5"</w:t>
            </w:r>
            <w:r>
              <w:rPr>
                <w:rStyle w:val="Code"/>
              </w:rPr>
              <w:t>/&gt;&lt;p&gt;</w:t>
            </w:r>
            <w:r>
              <w:rPr>
                <w:rStyle w:val="Codetext"/>
              </w:rPr>
              <w:t>hobbit-hole, and that means comfort.</w:t>
            </w:r>
          </w:p>
          <w:p w14:paraId="44D6D107" w14:textId="77777777">
            <w:pPr>
              <w:pStyle w:val="CodeParagraph"/>
              <w:rPr>
                <w:rStyle w:val="Code"/>
              </w:rPr>
            </w:pPr>
            <w:r>
              <w:rPr>
                <w:rStyle w:val="Code"/>
              </w:rPr>
              <w:t>&lt;/p&gt;</w:t>
            </w:r>
          </w:p>
          <w:p w14:paraId="001DDC14" w14:textId="77777777">
            <w:pPr>
              <w:pStyle w:val="CodeParagraph"/>
              <w:rPr>
                <w:rStyle w:val="Code"/>
              </w:rPr>
            </w:pPr>
            <w:r>
              <w:rPr>
                <w:rStyle w:val="Code"/>
              </w:rPr>
              <w:t>&lt;p&gt;</w:t>
            </w:r>
          </w:p>
          <w:p w14:paraId="14909946" w14:textId="77777777">
            <w:pPr>
              <w:pStyle w:val="CodeParagraph"/>
              <w:rPr>
                <w:rStyle w:val="Codetext"/>
              </w:rPr>
            </w:pPr>
            <w:r>
              <w:rPr>
                <w:rStyle w:val="Code"/>
              </w:rPr>
              <w:t xml:space="preserve">  &lt;lb </w:t>
            </w:r>
            <w:r>
              <w:rPr>
                <w:rStyle w:val="Codeattribute"/>
              </w:rPr>
              <w:t>n</w:t>
            </w:r>
            <w:r>
              <w:rPr>
                <w:rStyle w:val="Code"/>
              </w:rPr>
              <w:t>=</w:t>
            </w:r>
            <w:r>
              <w:rPr>
                <w:rStyle w:val="Codevalue"/>
              </w:rPr>
              <w:t>"6"</w:t>
            </w:r>
            <w:r>
              <w:rPr>
                <w:rStyle w:val="Code"/>
              </w:rPr>
              <w:t>/&gt;</w:t>
            </w:r>
            <w:r>
              <w:rPr>
                <w:rStyle w:val="Codetext"/>
              </w:rPr>
              <w:t>It had a perfectly round door like a porthole, painted</w:t>
            </w:r>
          </w:p>
          <w:p w14:paraId="0A54DA24" w14:textId="77777777">
            <w:pPr>
              <w:pStyle w:val="CodeParagraph"/>
              <w:rPr>
                <w:rStyle w:val="Codetext"/>
              </w:rPr>
            </w:pPr>
            <w:r>
              <w:rPr>
                <w:rStyle w:val="Code"/>
              </w:rPr>
              <w:t xml:space="preserve">  ...</w:t>
            </w:r>
          </w:p>
          <w:p w14:paraId="74415266" w14:textId="77777777">
            <w:pPr>
              <w:pStyle w:val="CodeParagraph"/>
            </w:pPr>
            <w:r>
              <w:rPr>
                <w:rStyle w:val="Code"/>
              </w:rPr>
              <w:t>&lt;/p&gt;</w:t>
            </w:r>
          </w:p>
        </w:tc>
      </w:tr>
      <w:tr w14:paraId="2F09873F" w14:textId="77777777">
        <w:tc>
          <w:tcPr>
            <w:tcW w:w="5000" w:type="pct"/>
          </w:tcPr>
          <w:p w14:paraId="5664C081" w14:textId="77777777">
            <w:pPr>
              <w:pStyle w:val="TableNote"/>
            </w:pPr>
            <w:r>
              <w:t>this inscription can be perceived as a single inscribed field</w:t>
            </w:r>
          </w:p>
          <w:p w14:paraId="723A0973" w14:textId="77777777">
            <w:pPr>
              <w:pStyle w:val="TableNote"/>
            </w:pPr>
            <w:r>
              <w:t>the two blocks of writing are semantically cohesive and their visual separation is moderate</w:t>
            </w:r>
          </w:p>
          <w:p w14:paraId="378972E5" w14:textId="77777777">
            <w:pPr>
              <w:pStyle w:val="TableNote"/>
            </w:pPr>
            <w:r>
              <w:t>therefore the text has been encoded simply as a sequence of lines</w:t>
            </w:r>
          </w:p>
        </w:tc>
      </w:tr>
    </w:tbl>
    <w:p w14:paraId="6DBD5C45" w14:textId="77777777">
      <w:pPr>
        <w:pStyle w:val="Cmsor4"/>
      </w:pPr>
      <w:bookmarkStart w:id="339" w:name="_Ref225781091"/>
      <w:r>
        <w:t>Pagelike partitions are preferable to boxlike partitions</w:t>
      </w:r>
      <w:bookmarkEnd w:id="339"/>
    </w:p>
    <w:p w14:paraId="1489BF73" w14:textId="77777777">
      <w:pPr>
        <w:pStyle w:val="Lista"/>
      </w:pPr>
      <w:r>
        <w:t>pagelike partitions are normally applicable when the text of an inscription is laid out in two or more zones which are to be read consecutively and are not genuine pages on a thin, effectively two-dimensional support</w:t>
      </w:r>
    </w:p>
    <w:p w14:paraId="03826656" w14:textId="77777777">
      <w:pPr>
        <w:pStyle w:val="Lista"/>
      </w:pPr>
      <w:r>
        <w:t>pagelike zones may be presented in any arrangement on one or more surfaces, e.g.</w:t>
      </w:r>
    </w:p>
    <w:p w14:paraId="3C9CB6A0" w14:textId="77777777">
      <w:pPr>
        <w:pStyle w:val="Lista2"/>
      </w:pPr>
      <w:r>
        <w:t xml:space="preserve">one below the other on a single surface, as in </w:t>
      </w:r>
      <w:r>
        <w:fldChar w:fldCharType="begin"/>
      </w:r>
      <w:r>
        <w:instrText xml:space="preserve"> REF _Ref225779765 \h </w:instrText>
      </w:r>
      <w:r>
        <w:fldChar w:fldCharType="separate"/>
      </w:r>
      <w:r>
        <w:t xml:space="preserve">Exhibit </w:t>
      </w:r>
      <w:r>
        <w:rPr>
          <w:noProof/>
        </w:rPr>
        <w:t>4.7</w:t>
      </w:r>
      <w:r>
        <w:t>.</w:t>
      </w:r>
      <w:r>
        <w:rPr>
          <w:noProof/>
        </w:rPr>
        <w:t>J</w:t>
      </w:r>
      <w:r>
        <w:fldChar w:fldCharType="end"/>
      </w:r>
    </w:p>
    <w:p w14:paraId="6316F99B" w14:textId="77777777">
      <w:pPr>
        <w:pStyle w:val="Lista2"/>
      </w:pPr>
      <w:r>
        <w:t xml:space="preserve">one beside the other on a single surface,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p>
    <w:p w14:paraId="03729537" w14:textId="77777777">
      <w:pPr>
        <w:pStyle w:val="Lista2"/>
      </w:pPr>
      <w:r>
        <w:t xml:space="preserve">on adjacent faces (or face-pairs) of a three-dimensional object </w:t>
      </w:r>
      <w:r>
        <w:rPr>
          <w:noProof/>
        </w:rPr>
        <w:t>(</w:t>
      </w:r>
      <w:r>
        <w:t xml:space="preserve">e.g. stele or pillar), as in </w:t>
      </w:r>
      <w:r>
        <w:fldChar w:fldCharType="begin"/>
      </w:r>
      <w:r>
        <w:instrText xml:space="preserve"> REF _Ref239844313 \r \h </w:instrText>
      </w:r>
      <w:r>
        <w:fldChar w:fldCharType="separate"/>
      </w:r>
      <w:r>
        <w:t>Appendix A.5</w:t>
      </w:r>
      <w:r>
        <w:fldChar w:fldCharType="end"/>
      </w:r>
      <w:r>
        <w:t xml:space="preserve"> and </w:t>
      </w:r>
      <w:r>
        <w:fldChar w:fldCharType="begin"/>
      </w:r>
      <w:r>
        <w:instrText xml:space="preserve"> REF _Ref239844315 \r \h </w:instrText>
      </w:r>
      <w:r>
        <w:fldChar w:fldCharType="separate"/>
      </w:r>
      <w:r>
        <w:t>Appendix A.6</w:t>
      </w:r>
      <w:r>
        <w:fldChar w:fldCharType="end"/>
      </w:r>
      <w:r>
        <w:t>)</w:t>
      </w:r>
    </w:p>
    <w:p w14:paraId="5DD313A7" w14:textId="77777777">
      <w:pPr>
        <w:pStyle w:val="Lista2"/>
      </w:pPr>
      <w:r>
        <w:t xml:space="preserve">on multiple linked objects </w:t>
      </w:r>
      <w:r>
        <w:rPr>
          <w:noProof/>
        </w:rPr>
        <w:t>(</w:t>
      </w:r>
      <w:r>
        <w:t xml:space="preserve">e.g. two jambs of a doorway, as in </w:t>
      </w:r>
      <w:r>
        <w:fldChar w:fldCharType="begin"/>
      </w:r>
      <w:r>
        <w:instrText xml:space="preserve"> REF _Ref182924299 \h </w:instrText>
      </w:r>
      <w:r>
        <w:fldChar w:fldCharType="separate"/>
      </w:r>
      <w:r>
        <w:t xml:space="preserve">Exhibit </w:t>
      </w:r>
      <w:r>
        <w:rPr>
          <w:noProof/>
        </w:rPr>
        <w:t>4.7</w:t>
      </w:r>
      <w:r>
        <w:t>.</w:t>
      </w:r>
      <w:r>
        <w:rPr>
          <w:noProof/>
        </w:rPr>
        <w:t>L</w:t>
      </w:r>
      <w:r>
        <w:fldChar w:fldCharType="end"/>
      </w:r>
      <w:r>
        <w:t>)</w:t>
      </w:r>
    </w:p>
    <w:p w14:paraId="05A5E21C" w14:textId="77777777">
      <w:pPr>
        <w:pStyle w:val="Lista"/>
      </w:pPr>
      <w:r>
        <w:t>if you deem the zones to be visually distinct enough to warrant encoding a partition (cf. §</w:t>
      </w:r>
      <w:r>
        <w:fldChar w:fldCharType="begin"/>
      </w:r>
      <w:r>
        <w:instrText xml:space="preserve"> REF _Ref225781502 \r \h </w:instrText>
      </w:r>
      <w:r>
        <w:fldChar w:fldCharType="separate"/>
      </w:r>
      <w:r>
        <w:t>4.7.4.1</w:t>
      </w:r>
      <w:r>
        <w:fldChar w:fldCharType="end"/>
      </w:r>
      <w:r>
        <w:t>), then, regardless of their topology, the appropriate encoding must be selected on the basis of the zones’ semantic distinctness:</w:t>
      </w:r>
    </w:p>
    <w:p w14:paraId="47E009FD" w14:textId="77777777">
      <w:pPr>
        <w:pStyle w:val="Lista2"/>
      </w:pPr>
      <w:r>
        <w:t xml:space="preserve">if a unit of intrinsic structure begins at the end of one zone and continues in the next as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r>
        <w:t>,</w:t>
      </w:r>
    </w:p>
    <w:p w14:paraId="78EC0320" w14:textId="77777777">
      <w:pPr>
        <w:pStyle w:val="Lista3"/>
      </w:pPr>
      <w:r>
        <w:t>a boxlike partition cannot be created, because its boundaries would overlap the boundaries of the intrinsic unit</w:t>
      </w:r>
    </w:p>
    <w:p w14:paraId="1140E920" w14:textId="77777777">
      <w:pPr>
        <w:pStyle w:val="Lista3"/>
      </w:pPr>
      <w:r>
        <w:t>the only suitable encoding for such a case is thus a pagelike partition</w:t>
      </w:r>
    </w:p>
    <w:p w14:paraId="023C25E7" w14:textId="77777777">
      <w:pPr>
        <w:pStyle w:val="Lista3"/>
      </w:pPr>
      <w:r>
        <w:t xml:space="preserve">this applies regardless of how conspicuously the zones are separated in space, so the two doorjambs in </w:t>
      </w:r>
      <w:r>
        <w:fldChar w:fldCharType="begin"/>
      </w:r>
      <w:r>
        <w:instrText xml:space="preserve"> REF _Ref182924299 \h </w:instrText>
      </w:r>
      <w:r>
        <w:fldChar w:fldCharType="separate"/>
      </w:r>
      <w:r>
        <w:t xml:space="preserve">Exhibit </w:t>
      </w:r>
      <w:r>
        <w:rPr>
          <w:noProof/>
        </w:rPr>
        <w:t>4.7</w:t>
      </w:r>
      <w:r>
        <w:t>.</w:t>
      </w:r>
      <w:r>
        <w:rPr>
          <w:noProof/>
        </w:rPr>
        <w:t>L</w:t>
      </w:r>
      <w:r>
        <w:fldChar w:fldCharType="end"/>
      </w:r>
      <w:r>
        <w:t xml:space="preserve"> must be encoded along the same lines</w:t>
      </w:r>
    </w:p>
    <w:p w14:paraId="5886C803" w14:textId="77777777">
      <w:pPr>
        <w:pStyle w:val="Lista2"/>
      </w:pPr>
      <w:r>
        <w:t xml:space="preserve">if the extrinsic partition coincides with a semantic boundary as in </w:t>
      </w:r>
      <w:r>
        <w:fldChar w:fldCharType="begin"/>
      </w:r>
      <w:r>
        <w:instrText xml:space="preserve"> REF _Ref225781841 \h </w:instrText>
      </w:r>
      <w:r>
        <w:fldChar w:fldCharType="separate"/>
      </w:r>
      <w:r>
        <w:t xml:space="preserve">Exhibit </w:t>
      </w:r>
      <w:r>
        <w:rPr>
          <w:noProof/>
        </w:rPr>
        <w:t>4.7</w:t>
      </w:r>
      <w:r>
        <w:t>.</w:t>
      </w:r>
      <w:r>
        <w:rPr>
          <w:noProof/>
        </w:rPr>
        <w:t>M</w:t>
      </w:r>
      <w:r>
        <w:fldChar w:fldCharType="end"/>
      </w:r>
      <w:r>
        <w:t>,</w:t>
      </w:r>
    </w:p>
    <w:p w14:paraId="45B404AB" w14:textId="77777777">
      <w:pPr>
        <w:pStyle w:val="Lista3"/>
      </w:pPr>
      <w:r>
        <w:lastRenderedPageBreak/>
        <w:t>it is technically possible to encode a boxlike partition</w:t>
      </w:r>
    </w:p>
    <w:p w14:paraId="2623DBFB" w14:textId="77777777">
      <w:pPr>
        <w:pStyle w:val="Lista3"/>
      </w:pPr>
      <w:r>
        <w:t>but we nonetheless prefer to treat such a partition as pagelike and encode boxlike partitions only in well-warranted cases (§</w:t>
      </w:r>
      <w:r>
        <w:fldChar w:fldCharType="begin"/>
      </w:r>
      <w:r>
        <w:instrText xml:space="preserve"> REF _Ref225759775 \r \h </w:instrText>
      </w:r>
      <w:r>
        <w:fldChar w:fldCharType="separate"/>
      </w:r>
      <w:r>
        <w:t>4.7.3</w:t>
      </w:r>
      <w:r>
        <w:fldChar w:fldCharType="end"/>
      </w:r>
      <w:r>
        <w:t>)</w:t>
      </w:r>
    </w:p>
    <w:p w14:paraId="48BAE714" w14:textId="77777777">
      <w:pPr>
        <w:pStyle w:val="Lista2"/>
      </w:pPr>
      <w:r>
        <w:t xml:space="preserve">however, if the text of the two zones is semantically independent, so the two are basically two separate (though related) texts, as in </w:t>
      </w:r>
      <w:r>
        <w:fldChar w:fldCharType="begin"/>
      </w:r>
      <w:r>
        <w:instrText xml:space="preserve"> REF _Ref242694905 \h </w:instrText>
      </w:r>
      <w:r>
        <w:fldChar w:fldCharType="separate"/>
      </w:r>
      <w:r>
        <w:t xml:space="preserve">Exhibit </w:t>
      </w:r>
      <w:r>
        <w:rPr>
          <w:noProof/>
        </w:rPr>
        <w:t>4.7</w:t>
      </w:r>
      <w:r>
        <w:t>.</w:t>
      </w:r>
      <w:r>
        <w:rPr>
          <w:noProof/>
        </w:rPr>
        <w:t>N</w:t>
      </w:r>
      <w:r>
        <w:fldChar w:fldCharType="end"/>
      </w:r>
      <w:r>
        <w:t>,</w:t>
      </w:r>
    </w:p>
    <w:p w14:paraId="453FBB43" w14:textId="77777777">
      <w:pPr>
        <w:pStyle w:val="Lista3"/>
      </w:pPr>
      <w:r>
        <w:t>then the encoding of a boxlike partition is technically possible and permitted under §</w:t>
      </w:r>
      <w:r>
        <w:fldChar w:fldCharType="begin"/>
      </w:r>
      <w:r>
        <w:instrText xml:space="preserve"> REF _Ref225759775 \r \h </w:instrText>
      </w:r>
      <w:r>
        <w:fldChar w:fldCharType="separate"/>
      </w:r>
      <w:r>
        <w:t>4.7.3</w:t>
      </w:r>
      <w:r>
        <w:fldChar w:fldCharType="end"/>
      </w:r>
    </w:p>
    <w:p w14:paraId="38FFE0BE" w14:textId="77777777">
      <w:pPr>
        <w:pStyle w:val="Lista3"/>
      </w:pPr>
      <w:r>
        <w:t>encoding as a pagelike partition does, however, remain a viable alternative</w:t>
      </w:r>
    </w:p>
    <w:p w14:paraId="4B5DA5F9" w14:textId="77777777">
      <w:pPr>
        <w:pStyle w:val="Lista3"/>
      </w:pPr>
      <w:r>
        <w:t>a case-by-case judgement must be made at your discretion, based on the degree of semantic connection perceived between the zones</w:t>
      </w:r>
    </w:p>
    <w:p w14:paraId="5C070033" w14:textId="6AF0A099">
      <w:pPr>
        <w:pStyle w:val="Lista4"/>
        <w:rPr>
          <w:lang w:eastAsia="en-US" w:bidi="ar-SA"/>
        </w:rPr>
      </w:pPr>
      <w:r>
        <w:t>in a structurally complex inscription, the presence of subdivisions within one or more zones may also warrant the use of boxlike partitions (§</w:t>
      </w:r>
      <w:r>
        <w:fldChar w:fldCharType="begin"/>
      </w:r>
      <w:r>
        <w:instrText xml:space="preserve"> REF _Ref225782390 \r \h </w:instrText>
      </w:r>
      <w:r>
        <w:fldChar w:fldCharType="separate"/>
      </w:r>
      <w:r>
        <w:t>4.7.3.6</w:t>
      </w:r>
      <w:r>
        <w:fldChar w:fldCharType="end"/>
      </w:r>
      <w:r>
        <w:t>)</w:t>
      </w:r>
    </w:p>
    <w:tbl>
      <w:tblPr>
        <w:tblStyle w:val="CodeSampleTable"/>
        <w:tblW w:w="5000" w:type="pct"/>
        <w:tblLook w:val="04A0" w:firstRow="1" w:lastRow="0" w:firstColumn="1" w:lastColumn="0" w:noHBand="0" w:noVBand="1"/>
      </w:tblPr>
      <w:tblGrid>
        <w:gridCol w:w="9628"/>
      </w:tblGrid>
      <w:tr w14:paraId="68D98CA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39F7F0B" w14:textId="77777777">
            <w:pPr>
              <w:pStyle w:val="Kpalrs"/>
              <w:keepLines/>
            </w:pPr>
            <w:bookmarkStart w:id="340" w:name="_w6aiimbh4273" w:colFirst="0" w:colLast="0"/>
            <w:bookmarkStart w:id="341" w:name="_Ref44078357"/>
            <w:bookmarkEnd w:id="340"/>
            <w:r>
              <w:t xml:space="preserve">Exhibit </w:t>
            </w:r>
            <w:fldSimple w:instr=" STYLEREF 2 \s ">
              <w:r>
                <w:rPr>
                  <w:noProof/>
                </w:rPr>
                <w:t>4.7</w:t>
              </w:r>
            </w:fldSimple>
            <w:r>
              <w:t>.</w:t>
            </w:r>
            <w:fldSimple w:instr=" SEQ Exhibit \* ALPHABETIC \s 2 ">
              <w:r>
                <w:rPr>
                  <w:noProof/>
                </w:rPr>
                <w:t>K</w:t>
              </w:r>
            </w:fldSimple>
            <w:bookmarkEnd w:id="341"/>
            <w:r>
              <w:t>: two pagelike zones on a slab</w:t>
            </w:r>
          </w:p>
        </w:tc>
      </w:tr>
      <w:tr w14:paraId="002CF544" w14:textId="77777777">
        <w:tc>
          <w:tcPr>
            <w:tcW w:w="5000" w:type="pct"/>
          </w:tcPr>
          <w:p w14:paraId="7CF5E3B1" w14:textId="77777777">
            <w:pPr>
              <w:pStyle w:val="Image"/>
            </w:pPr>
            <w:r>
              <w:drawing>
                <wp:inline distT="0" distB="0" distL="0" distR="0" wp14:anchorId="7B6D36A7" wp14:editId="27D6B0DC">
                  <wp:extent cx="4500000" cy="2700000"/>
                  <wp:effectExtent l="0" t="0" r="0" b="5715"/>
                  <wp:docPr id="1707098164" name="image5.png"/>
                  <wp:cNvGraphicFramePr/>
                  <a:graphic xmlns:a="http://schemas.openxmlformats.org/drawingml/2006/main">
                    <a:graphicData uri="http://schemas.openxmlformats.org/drawingml/2006/picture">
                      <pic:pic xmlns:pic="http://schemas.openxmlformats.org/drawingml/2006/picture">
                        <pic:nvPicPr>
                          <pic:cNvPr id="1707098164" name="image5.png"/>
                          <pic:cNvPicPr preferRelativeResize="0"/>
                        </pic:nvPicPr>
                        <pic:blipFill>
                          <a:blip r:embed="rId30"/>
                          <a:stretch>
                            <a:fillRect/>
                          </a:stretch>
                        </pic:blipFill>
                        <pic:spPr>
                          <a:xfrm>
                            <a:off x="0" y="0"/>
                            <a:ext cx="4500000" cy="2700000"/>
                          </a:xfrm>
                          <a:prstGeom prst="rect">
                            <a:avLst/>
                          </a:prstGeom>
                          <a:ln/>
                        </pic:spPr>
                      </pic:pic>
                    </a:graphicData>
                  </a:graphic>
                </wp:inline>
              </w:drawing>
            </w:r>
          </w:p>
        </w:tc>
      </w:tr>
      <w:tr w14:paraId="1405D8E0" w14:textId="77777777">
        <w:tc>
          <w:tcPr>
            <w:tcW w:w="5000" w:type="pct"/>
          </w:tcPr>
          <w:p w14:paraId="57C9DDD6" w14:textId="77777777">
            <w:pPr>
              <w:pStyle w:val="CodeParagraph"/>
              <w:keepNext/>
              <w:rPr>
                <w:rStyle w:val="Codetext"/>
              </w:rPr>
            </w:pPr>
            <w:r>
              <w:rPr>
                <w:rStyle w:val="Code"/>
              </w:rPr>
              <w:t>&lt;p&gt;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there lived a hobbit.</w:t>
            </w:r>
            <w:r>
              <w:rPr>
                <w:rStyle w:val="Codetext"/>
              </w:rPr>
              <w:br/>
              <w:t xml:space="preserve">  ...</w:t>
            </w:r>
          </w:p>
          <w:p w14:paraId="7650340E" w14:textId="77777777">
            <w:pPr>
              <w:pStyle w:val="CodeParagraph"/>
              <w:keepNext/>
              <w:rPr>
                <w:rStyle w:val="Code"/>
              </w:rPr>
            </w:pPr>
            <w:r>
              <w:rPr>
                <w:rStyle w:val="Codetext"/>
              </w:rP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 hobbit-hole, and that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 xml:space="preserve">"column" </w:t>
            </w:r>
            <w:r>
              <w:rPr>
                <w:rStyle w:val="Codeattribute"/>
              </w:rPr>
              <w:t>n</w:t>
            </w:r>
            <w:r>
              <w:rPr>
                <w:rStyle w:val="Code"/>
              </w:rPr>
              <w:t>=</w:t>
            </w:r>
            <w:r>
              <w:rPr>
                <w:rStyle w:val="Codevalue"/>
              </w:rPr>
              <w:t>"B"</w:t>
            </w:r>
            <w:r>
              <w:rPr>
                <w:rStyle w:val="Code"/>
              </w:rPr>
              <w:t>/&gt;</w:t>
            </w:r>
          </w:p>
          <w:p w14:paraId="7DE9F917" w14:textId="77777777">
            <w:pPr>
              <w:pStyle w:val="CodeParagraph"/>
              <w:keepNext/>
            </w:pPr>
            <w:r>
              <w:rPr>
                <w:rStyle w:val="Code"/>
              </w:rPr>
              <w:t xml:space="preserve">  &lt;lb </w:t>
            </w:r>
            <w:r>
              <w:rPr>
                <w:rStyle w:val="Codeattribute"/>
              </w:rPr>
              <w:t>n</w:t>
            </w:r>
            <w:r>
              <w:rPr>
                <w:rStyle w:val="Code"/>
              </w:rPr>
              <w:t>=</w:t>
            </w:r>
            <w:r>
              <w:rPr>
                <w:rStyle w:val="Codevalue"/>
              </w:rPr>
              <w:t>"11"</w:t>
            </w:r>
            <w:r>
              <w:rPr>
                <w:rStyle w:val="Code"/>
              </w:rPr>
              <w:t>/&gt;</w:t>
            </w:r>
            <w:r>
              <w:rPr>
                <w:rStyle w:val="Codetext"/>
              </w:rPr>
              <w:t>means comfort. It had a</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/&gt;</w:t>
            </w:r>
            <w:r>
              <w:rPr>
                <w:rStyle w:val="Codetext"/>
              </w:rPr>
              <w:t>perfectly round door like</w:t>
            </w:r>
            <w:r>
              <w:rPr>
                <w:rStyle w:val="Codetext"/>
              </w:rPr>
              <w:br/>
              <w:t xml:space="preserve">  ...</w:t>
            </w:r>
            <w:r>
              <w:rPr>
                <w:rStyle w:val="Codetext"/>
              </w:rPr>
              <w:br/>
              <w:t xml:space="preserve">  </w:t>
            </w:r>
            <w:r>
              <w:rPr>
                <w:rStyle w:val="Code"/>
              </w:rPr>
              <w:t xml:space="preserve">&lt;lb </w:t>
            </w:r>
            <w:r>
              <w:rPr>
                <w:rStyle w:val="Codeattribute"/>
              </w:rPr>
              <w:t>n</w:t>
            </w:r>
            <w:r>
              <w:rPr>
                <w:rStyle w:val="Code"/>
              </w:rPr>
              <w:t>=</w:t>
            </w:r>
            <w:r>
              <w:rPr>
                <w:rStyle w:val="Codevalue"/>
              </w:rPr>
              <w:t>"20"</w:t>
            </w:r>
            <w:r>
              <w:rPr>
                <w:rStyle w:val="Code"/>
              </w:rPr>
              <w:t>/&gt;</w:t>
            </w:r>
            <w:r>
              <w:rPr>
                <w:rStyle w:val="Codetext"/>
              </w:rPr>
              <w:t>without smoke.</w:t>
            </w:r>
            <w:r>
              <w:rPr>
                <w:rStyle w:val="Codetext"/>
              </w:rPr>
              <w:br/>
            </w:r>
            <w:r>
              <w:rPr>
                <w:rStyle w:val="Code"/>
              </w:rPr>
              <w:t>&lt;/p&gt;</w:t>
            </w:r>
          </w:p>
        </w:tc>
      </w:tr>
      <w:tr w14:paraId="6AD84F52" w14:textId="77777777">
        <w:tc>
          <w:tcPr>
            <w:tcW w:w="5000" w:type="pct"/>
          </w:tcPr>
          <w:p w14:paraId="3F5DC40B" w14:textId="77777777">
            <w:pPr>
              <w:pStyle w:val="TableNote"/>
            </w:pPr>
            <w:r>
              <w:t>the partition occurs within a sentence, and it is therefore technically impossible to encode a boxlike partition</w:t>
            </w:r>
          </w:p>
          <w:p w14:paraId="0B36BC75" w14:textId="77777777">
            <w:pPr>
              <w:pStyle w:val="TableNote"/>
            </w:pPr>
            <w:r>
              <w:t>therefore, pagelike milestones are used</w:t>
            </w:r>
          </w:p>
          <w:p w14:paraId="4DE87B8B" w14:textId="77777777">
            <w:pPr>
              <w:pStyle w:val="TableNote"/>
            </w:pPr>
            <w:r>
              <w:t>line numbers continue in the second column; alternatively, complex line numbers (§</w:t>
            </w:r>
            <w:r>
              <w:fldChar w:fldCharType="begin"/>
            </w:r>
            <w:r>
              <w:instrText xml:space="preserve"> REF _Ref182228380 \r \h </w:instrText>
            </w:r>
            <w:r>
              <w:fldChar w:fldCharType="separate"/>
            </w:r>
            <w:r>
              <w:t>4.5.2.2</w:t>
            </w:r>
            <w:r>
              <w:fldChar w:fldCharType="end"/>
            </w:r>
            <w:r>
              <w:t xml:space="preserve">) could be used, as illustrated in the Case Study in </w:t>
            </w:r>
            <w:r>
              <w:fldChar w:fldCharType="begin"/>
            </w:r>
            <w:r>
              <w:instrText xml:space="preserve"> REF _Ref239844333 \r \h </w:instrText>
            </w:r>
            <w:r>
              <w:fldChar w:fldCharType="separate"/>
            </w:r>
            <w:r>
              <w:t>Appendix A.5</w:t>
            </w:r>
            <w:r>
              <w:fldChar w:fldCharType="end"/>
            </w:r>
            <w:r>
              <w:t xml:space="preserve"> </w:t>
            </w:r>
          </w:p>
        </w:tc>
      </w:tr>
    </w:tbl>
    <w:p w14:paraId="0767F61A" w14:textId="77777777">
      <w:pPr>
        <w:rPr>
          <w:lang w:eastAsia="en-US" w:bidi="ar-SA"/>
        </w:rPr>
      </w:pPr>
      <w:bookmarkStart w:id="342" w:name="_xbyjw7atziy5" w:colFirst="0" w:colLast="0"/>
      <w:bookmarkEnd w:id="342"/>
    </w:p>
    <w:tbl>
      <w:tblPr>
        <w:tblStyle w:val="CodeSampleTable"/>
        <w:tblW w:w="5000" w:type="pct"/>
        <w:tblLook w:val="04A0" w:firstRow="1" w:lastRow="0" w:firstColumn="1" w:lastColumn="0" w:noHBand="0" w:noVBand="1"/>
      </w:tblPr>
      <w:tblGrid>
        <w:gridCol w:w="9628"/>
      </w:tblGrid>
      <w:tr w14:paraId="0278883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A58F9EB" w14:textId="77777777">
            <w:pPr>
              <w:pStyle w:val="Kpalrs"/>
              <w:keepLines/>
            </w:pPr>
            <w:bookmarkStart w:id="343" w:name="_Ref182924299"/>
            <w:r>
              <w:lastRenderedPageBreak/>
              <w:t xml:space="preserve">Exhibit </w:t>
            </w:r>
            <w:fldSimple w:instr=" STYLEREF 2 \s ">
              <w:r>
                <w:rPr>
                  <w:noProof/>
                </w:rPr>
                <w:t>4.7</w:t>
              </w:r>
            </w:fldSimple>
            <w:r>
              <w:t>.</w:t>
            </w:r>
            <w:fldSimple w:instr=" SEQ Exhibit \* ALPHABETIC \s 2 ">
              <w:r>
                <w:rPr>
                  <w:noProof/>
                </w:rPr>
                <w:t>L</w:t>
              </w:r>
            </w:fldSimple>
            <w:bookmarkEnd w:id="343"/>
            <w:r>
              <w:t>: doorjambs as pagelike zones</w:t>
            </w:r>
          </w:p>
        </w:tc>
      </w:tr>
      <w:tr w14:paraId="1342F653" w14:textId="77777777">
        <w:tc>
          <w:tcPr>
            <w:tcW w:w="5000" w:type="pct"/>
          </w:tcPr>
          <w:p w14:paraId="650F33CC" w14:textId="77777777">
            <w:pPr>
              <w:pStyle w:val="Image"/>
              <w:keepLines/>
            </w:pPr>
            <w:r>
              <w:drawing>
                <wp:inline distT="0" distB="0" distL="0" distR="0" wp14:anchorId="724BBC10" wp14:editId="5E7AB157">
                  <wp:extent cx="5397500" cy="2852420"/>
                  <wp:effectExtent l="0" t="0" r="0" b="5080"/>
                  <wp:docPr id="16670289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97500" cy="2852420"/>
                          </a:xfrm>
                          <a:prstGeom prst="rect">
                            <a:avLst/>
                          </a:prstGeom>
                          <a:noFill/>
                          <a:ln>
                            <a:noFill/>
                          </a:ln>
                        </pic:spPr>
                      </pic:pic>
                    </a:graphicData>
                  </a:graphic>
                </wp:inline>
              </w:drawing>
            </w:r>
          </w:p>
        </w:tc>
      </w:tr>
      <w:tr w14:paraId="086675F1" w14:textId="77777777">
        <w:tc>
          <w:tcPr>
            <w:tcW w:w="5000" w:type="pct"/>
          </w:tcPr>
          <w:p w14:paraId="0AF09723" w14:textId="77777777">
            <w:pPr>
              <w:pStyle w:val="CodeParagraph"/>
              <w:keepNext/>
              <w:rPr>
                <w:rStyle w:val="Codetext"/>
              </w:rPr>
            </w:pPr>
            <w:r>
              <w:rPr>
                <w:rStyle w:val="Code"/>
              </w:rPr>
              <w:t>&lt;p&gt;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"item"</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there lived a hobbit.</w:t>
            </w:r>
          </w:p>
          <w:p w14:paraId="4AE2CA0B" w14:textId="77777777">
            <w:pPr>
              <w:pStyle w:val="CodeParagraph"/>
              <w:keepNext/>
              <w:rPr>
                <w:rStyle w:val="Codetext"/>
              </w:rPr>
            </w:pPr>
            <w:r>
              <w:rPr>
                <w:rStyle w:val="Codetext"/>
              </w:rPr>
              <w:t xml:space="preserve">  ...</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 hobbit-hole, and that</w:t>
            </w:r>
            <w:r>
              <w:rPr>
                <w:rStyle w:val="Codetext"/>
              </w:rPr>
              <w:br/>
              <w:t xml:space="preserve">  </w:t>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 xml:space="preserve">"item" </w:t>
            </w:r>
            <w:r>
              <w:rPr>
                <w:rStyle w:val="Codeattribute"/>
              </w:rPr>
              <w:t>n</w:t>
            </w:r>
            <w:r>
              <w:rPr>
                <w:rStyle w:val="Code"/>
              </w:rPr>
              <w:t>=</w:t>
            </w:r>
            <w:r>
              <w:rPr>
                <w:rStyle w:val="Codevalue"/>
              </w:rPr>
              <w:t>"B"</w:t>
            </w:r>
            <w:r>
              <w:rPr>
                <w:rStyle w:val="Code"/>
              </w:rPr>
              <w:t>/&gt;</w:t>
            </w:r>
            <w:r>
              <w:rPr>
                <w:rStyle w:val="Codetext"/>
              </w:rPr>
              <w:br/>
            </w:r>
            <w:r>
              <w:rPr>
                <w:rStyle w:val="Code"/>
              </w:rPr>
              <w:t xml:space="preserve">  &lt;lb </w:t>
            </w:r>
            <w:r>
              <w:rPr>
                <w:rStyle w:val="Codeattribute"/>
              </w:rPr>
              <w:t>n</w:t>
            </w:r>
            <w:r>
              <w:rPr>
                <w:rStyle w:val="Code"/>
              </w:rPr>
              <w:t>=</w:t>
            </w:r>
            <w:r>
              <w:rPr>
                <w:rStyle w:val="Codevalue"/>
              </w:rPr>
              <w:t>"11"</w:t>
            </w:r>
            <w:r>
              <w:rPr>
                <w:rStyle w:val="Code"/>
              </w:rPr>
              <w:t>/&gt;</w:t>
            </w:r>
            <w:r>
              <w:rPr>
                <w:rStyle w:val="Codetext"/>
              </w:rPr>
              <w:t>means comfort. It had a</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/&gt;</w:t>
            </w:r>
            <w:r>
              <w:rPr>
                <w:rStyle w:val="Codetext"/>
              </w:rPr>
              <w:t>perfectly round door like</w:t>
            </w:r>
            <w:r>
              <w:rPr>
                <w:rStyle w:val="Codetext"/>
              </w:rPr>
              <w:br/>
              <w:t xml:space="preserve">  ...</w:t>
            </w:r>
          </w:p>
          <w:p w14:paraId="796DE7E7" w14:textId="77777777">
            <w:pPr>
              <w:pStyle w:val="CodeParagraph"/>
              <w:keepNext/>
            </w:pPr>
            <w:r>
              <w:rPr>
                <w:rStyle w:val="Codetext"/>
              </w:rPr>
              <w:t xml:space="preserve">  </w:t>
            </w:r>
            <w:r>
              <w:rPr>
                <w:rStyle w:val="Code"/>
              </w:rPr>
              <w:t xml:space="preserve">&lt;lb </w:t>
            </w:r>
            <w:r>
              <w:rPr>
                <w:rStyle w:val="Codeattribute"/>
              </w:rPr>
              <w:t>n</w:t>
            </w:r>
            <w:r>
              <w:rPr>
                <w:rStyle w:val="Code"/>
              </w:rPr>
              <w:t>=</w:t>
            </w:r>
            <w:r>
              <w:rPr>
                <w:rStyle w:val="Codevalue"/>
              </w:rPr>
              <w:t>"20"</w:t>
            </w:r>
            <w:r>
              <w:rPr>
                <w:rStyle w:val="Code"/>
              </w:rPr>
              <w:t>/&gt;</w:t>
            </w:r>
            <w:r>
              <w:rPr>
                <w:rStyle w:val="Codetext"/>
              </w:rPr>
              <w:t>without smoke.</w:t>
            </w:r>
            <w:r>
              <w:rPr>
                <w:rStyle w:val="Codetext"/>
              </w:rPr>
              <w:br/>
            </w:r>
            <w:r>
              <w:rPr>
                <w:rStyle w:val="Code"/>
              </w:rPr>
              <w:t>&lt;/p&gt;</w:t>
            </w:r>
          </w:p>
        </w:tc>
      </w:tr>
      <w:tr w14:paraId="236B9A07" w14:textId="77777777">
        <w:tc>
          <w:tcPr>
            <w:tcW w:w="5000" w:type="pct"/>
          </w:tcPr>
          <w:p w14:paraId="5DC75D1D" w14:textId="77777777">
            <w:pPr>
              <w:pStyle w:val="TableNote"/>
            </w:pPr>
            <w:r>
              <w:t xml:space="preserve">the structure of this inscription is identical to that in </w:t>
            </w:r>
            <w:r>
              <w:fldChar w:fldCharType="begin"/>
            </w:r>
            <w:r>
              <w:instrText xml:space="preserve"> REF _Ref44078357 \h </w:instrText>
            </w:r>
            <w:r>
              <w:fldChar w:fldCharType="separate"/>
            </w:r>
            <w:r>
              <w:t xml:space="preserve">Exhibit </w:t>
            </w:r>
            <w:r>
              <w:rPr>
                <w:noProof/>
              </w:rPr>
              <w:t>4.7</w:t>
            </w:r>
            <w:r>
              <w:t>.</w:t>
            </w:r>
            <w:r>
              <w:rPr>
                <w:noProof/>
              </w:rPr>
              <w:t>K</w:t>
            </w:r>
            <w:r>
              <w:fldChar w:fldCharType="end"/>
            </w:r>
            <w:r>
              <w:t>, differing only in topology</w:t>
            </w:r>
          </w:p>
          <w:p w14:paraId="444C1513" w14:textId="77777777">
            <w:pPr>
              <w:pStyle w:val="TableNote"/>
            </w:pPr>
            <w:r>
              <w:t>the partition occurs within a sentence, and it is therefore technically impossible to encode a boxlike partition</w:t>
            </w:r>
          </w:p>
          <w:p w14:paraId="35D15730" w14:textId="77777777">
            <w:pPr>
              <w:pStyle w:val="TableNote"/>
            </w:pPr>
            <w:r>
              <w:t>therefore, pagelike milestones are used</w:t>
            </w:r>
          </w:p>
          <w:p w14:paraId="3B0AABBF" w14:textId="77777777">
            <w:pPr>
              <w:pStyle w:val="TableNote"/>
              <w:rPr>
                <w:noProof/>
              </w:rPr>
            </w:pPr>
            <w:r>
              <w:t>line numbers continue in the second column; alternatively, complex line numbers (§</w:t>
            </w:r>
            <w:r>
              <w:fldChar w:fldCharType="begin"/>
            </w:r>
            <w:r>
              <w:instrText xml:space="preserve"> REF _Ref182228380 \r \h </w:instrText>
            </w:r>
            <w:r>
              <w:fldChar w:fldCharType="separate"/>
            </w:r>
            <w:r>
              <w:t>4.5.2.2</w:t>
            </w:r>
            <w:r>
              <w:fldChar w:fldCharType="end"/>
            </w:r>
            <w:r>
              <w:t xml:space="preserve">) could be used, as illustrated in the Case Study in </w:t>
            </w:r>
            <w:r>
              <w:fldChar w:fldCharType="begin"/>
            </w:r>
            <w:r>
              <w:instrText xml:space="preserve"> REF _Ref239844348 \r \h </w:instrText>
            </w:r>
            <w:r>
              <w:fldChar w:fldCharType="separate"/>
            </w:r>
            <w:r>
              <w:t>Appendix A.5</w:t>
            </w:r>
            <w:r>
              <w:fldChar w:fldCharType="end"/>
            </w:r>
            <w:r>
              <w:rPr>
                <w:noProof/>
              </w:rPr>
              <w:t xml:space="preserve"> </w:t>
            </w:r>
          </w:p>
        </w:tc>
      </w:tr>
    </w:tbl>
    <w:p w14:paraId="7200B7A3" w14:textId="77777777">
      <w:pPr>
        <w:rPr>
          <w:lang w:eastAsia="en-US" w:bidi="ar-SA"/>
        </w:rPr>
      </w:pPr>
    </w:p>
    <w:tbl>
      <w:tblPr>
        <w:tblStyle w:val="CodeSampleTable"/>
        <w:tblW w:w="5000" w:type="pct"/>
        <w:tblLook w:val="04A0" w:firstRow="1" w:lastRow="0" w:firstColumn="1" w:lastColumn="0" w:noHBand="0" w:noVBand="1"/>
      </w:tblPr>
      <w:tblGrid>
        <w:gridCol w:w="9628"/>
      </w:tblGrid>
      <w:tr w14:paraId="152A09A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091D1CB" w14:textId="77777777">
            <w:pPr>
              <w:pStyle w:val="Kpalrs"/>
              <w:keepLines/>
            </w:pPr>
            <w:bookmarkStart w:id="344" w:name="_Ref225781841"/>
            <w:r>
              <w:lastRenderedPageBreak/>
              <w:t xml:space="preserve">Exhibit </w:t>
            </w:r>
            <w:fldSimple w:instr=" STYLEREF 2 \s ">
              <w:r>
                <w:rPr>
                  <w:noProof/>
                </w:rPr>
                <w:t>4.7</w:t>
              </w:r>
            </w:fldSimple>
            <w:r>
              <w:t>.</w:t>
            </w:r>
            <w:fldSimple w:instr=" SEQ Exhibit \* ALPHABETIC \s 2 ">
              <w:r>
                <w:rPr>
                  <w:noProof/>
                </w:rPr>
                <w:t>M</w:t>
              </w:r>
            </w:fldSimple>
            <w:bookmarkEnd w:id="344"/>
            <w:r>
              <w:t>: pagelike partition at semantic boundary</w:t>
            </w:r>
          </w:p>
        </w:tc>
      </w:tr>
      <w:tr w14:paraId="150B2A59" w14:textId="77777777">
        <w:tc>
          <w:tcPr>
            <w:tcW w:w="5000" w:type="pct"/>
          </w:tcPr>
          <w:p w14:paraId="08C1FCC8" w14:textId="77777777">
            <w:pPr>
              <w:pStyle w:val="Image"/>
              <w:keepLines/>
              <w:rPr>
                <w:rStyle w:val="Code"/>
                <w:rFonts w:ascii="Gentium" w:hAnsi="Gentium" w:cs="Tiro Devanagari Sanskrit"/>
                <w:color w:val="auto"/>
                <w:shd w:val="clear" w:color="auto" w:fill="auto"/>
              </w:rPr>
            </w:pPr>
            <w:r>
              <w:drawing>
                <wp:inline distT="0" distB="0" distL="0" distR="0" wp14:anchorId="23F23671" wp14:editId="1E1F4CBE">
                  <wp:extent cx="4492800" cy="2692800"/>
                  <wp:effectExtent l="0" t="0" r="3175" b="0"/>
                  <wp:docPr id="556124011"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92800" cy="2692800"/>
                          </a:xfrm>
                          <a:prstGeom prst="rect">
                            <a:avLst/>
                          </a:prstGeom>
                          <a:noFill/>
                          <a:ln>
                            <a:noFill/>
                          </a:ln>
                        </pic:spPr>
                      </pic:pic>
                    </a:graphicData>
                  </a:graphic>
                </wp:inline>
              </w:drawing>
            </w:r>
          </w:p>
        </w:tc>
      </w:tr>
      <w:tr w14:paraId="53B8048F" w14:textId="77777777">
        <w:tc>
          <w:tcPr>
            <w:tcW w:w="5000" w:type="pct"/>
          </w:tcPr>
          <w:p w14:paraId="686459D1" w14:textId="77777777">
            <w:pPr>
              <w:pStyle w:val="TableNote"/>
            </w:pPr>
            <w:r>
              <w:t>the partition occurs between sentences, where a new unit of intrinsic structure can be started</w:t>
            </w:r>
          </w:p>
          <w:p w14:paraId="6CD69DAF" w14:textId="77777777">
            <w:pPr>
              <w:pStyle w:val="TableNote"/>
            </w:pPr>
            <w:r>
              <w:t>encoding as a boxlike partition is technically possible, but not warranted</w:t>
            </w:r>
          </w:p>
          <w:p w14:paraId="006C3EF6" w14:textId="77777777">
            <w:pPr>
              <w:pStyle w:val="TableNote"/>
            </w:pPr>
            <w:r>
              <w:t>this inscription must be encoded with a pagelike partition</w:t>
            </w:r>
          </w:p>
        </w:tc>
      </w:tr>
    </w:tbl>
    <w:p w14:paraId="5593CDB2" w14:textId="77777777">
      <w:pPr>
        <w:rPr>
          <w:lang w:eastAsia="en-US" w:bidi="ar-SA"/>
        </w:rPr>
      </w:pPr>
    </w:p>
    <w:tbl>
      <w:tblPr>
        <w:tblStyle w:val="CodeSampleTable"/>
        <w:tblW w:w="5000" w:type="pct"/>
        <w:tblLook w:val="04A0" w:firstRow="1" w:lastRow="0" w:firstColumn="1" w:lastColumn="0" w:noHBand="0" w:noVBand="1"/>
      </w:tblPr>
      <w:tblGrid>
        <w:gridCol w:w="9628"/>
      </w:tblGrid>
      <w:tr w14:paraId="1BA1C88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247129D" w14:textId="77777777">
            <w:pPr>
              <w:pStyle w:val="Kpalrs"/>
              <w:keepLines/>
            </w:pPr>
            <w:bookmarkStart w:id="345" w:name="_Ref242694905"/>
            <w:r>
              <w:t xml:space="preserve">Exhibit </w:t>
            </w:r>
            <w:fldSimple w:instr=" STYLEREF 2 \s ">
              <w:r>
                <w:rPr>
                  <w:noProof/>
                </w:rPr>
                <w:t>4.7</w:t>
              </w:r>
            </w:fldSimple>
            <w:r>
              <w:t>.</w:t>
            </w:r>
            <w:fldSimple w:instr=" SEQ Exhibit \* ALPHABETIC \s 2 ">
              <w:r>
                <w:rPr>
                  <w:noProof/>
                </w:rPr>
                <w:t>N</w:t>
              </w:r>
            </w:fldSimple>
            <w:bookmarkEnd w:id="345"/>
            <w:r>
              <w:t>: pagelike or boxlike partition at major semantic discontinuity</w:t>
            </w:r>
          </w:p>
        </w:tc>
      </w:tr>
      <w:tr w14:paraId="6583E4D3" w14:textId="77777777">
        <w:tc>
          <w:tcPr>
            <w:tcW w:w="5000" w:type="pct"/>
          </w:tcPr>
          <w:p w14:paraId="2897E048" w14:textId="77777777">
            <w:pPr>
              <w:pStyle w:val="Image"/>
              <w:keepLines/>
              <w:rPr>
                <w:rStyle w:val="Code"/>
              </w:rPr>
            </w:pPr>
            <w:r>
              <w:drawing>
                <wp:inline distT="0" distB="0" distL="0" distR="0" wp14:anchorId="31CFD7A3" wp14:editId="0D904E0D">
                  <wp:extent cx="4492800" cy="2692800"/>
                  <wp:effectExtent l="0" t="0" r="3175" b="0"/>
                  <wp:docPr id="89407488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92800" cy="2692800"/>
                          </a:xfrm>
                          <a:prstGeom prst="rect">
                            <a:avLst/>
                          </a:prstGeom>
                          <a:noFill/>
                          <a:ln>
                            <a:noFill/>
                          </a:ln>
                        </pic:spPr>
                      </pic:pic>
                    </a:graphicData>
                  </a:graphic>
                </wp:inline>
              </w:drawing>
            </w:r>
          </w:p>
        </w:tc>
      </w:tr>
      <w:tr w14:paraId="580B333B" w14:textId="77777777">
        <w:tc>
          <w:tcPr>
            <w:tcW w:w="5000" w:type="pct"/>
          </w:tcPr>
          <w:p w14:paraId="0FEE551D" w14:textId="77777777">
            <w:pPr>
              <w:pStyle w:val="TableNote"/>
            </w:pPr>
            <w:r>
              <w:rPr>
                <w:lang w:eastAsia="en-US" w:bidi="ar-SA"/>
              </w:rPr>
              <w:t>the partition coincides with a major semantic discontinuity</w:t>
            </w:r>
          </w:p>
          <w:p w14:paraId="4543E093" w14:textId="77777777">
            <w:pPr>
              <w:pStyle w:val="TableNote"/>
            </w:pPr>
            <w:r>
              <w:rPr>
                <w:lang w:eastAsia="en-US" w:bidi="ar-SA"/>
              </w:rPr>
              <w:t>encoding as a boxlike partition is technically possible and may be warranted, at your discretion</w:t>
            </w:r>
          </w:p>
        </w:tc>
      </w:tr>
    </w:tbl>
    <w:p w14:paraId="1BA83301" w14:textId="77777777">
      <w:pPr>
        <w:pStyle w:val="Cmsor3"/>
      </w:pPr>
      <w:bookmarkStart w:id="346" w:name="_Ref182322267"/>
      <w:bookmarkStart w:id="347" w:name="_Ref225759805"/>
      <w:bookmarkStart w:id="348" w:name="_Toc243900282"/>
      <w:r>
        <w:t>When to use gridlike partitions</w:t>
      </w:r>
      <w:bookmarkEnd w:id="346"/>
      <w:bookmarkEnd w:id="347"/>
      <w:bookmarkEnd w:id="348"/>
    </w:p>
    <w:p w14:paraId="1EB95BE5" w14:textId="77777777">
      <w:r>
        <w:t>The encoding of gridlike partitions with milestones is, as already noted in §</w:t>
      </w:r>
      <w:r>
        <w:fldChar w:fldCharType="begin"/>
      </w:r>
      <w:r>
        <w:instrText xml:space="preserve"> REF _Ref182923075 \r \h </w:instrText>
      </w:r>
      <w:r>
        <w:fldChar w:fldCharType="separate"/>
      </w:r>
      <w:r>
        <w:t>4.1</w:t>
      </w:r>
      <w:r>
        <w:fldChar w:fldCharType="end"/>
      </w:r>
      <w:r>
        <w:t xml:space="preserve">, not mandatory and should be applied on a case-by-case basis, judging the feasibility of encoding versus the anticipated usefulness of having the partitions represented in the edition. Representing such partitions in the encoding can be especially advantageous if some elements of description apply only to specific partitions </w:t>
      </w:r>
      <w:r>
        <w:rPr>
          <w:noProof/>
        </w:rPr>
        <w:t>(</w:t>
      </w:r>
      <w:r>
        <w:t xml:space="preserve">e.g. certain fragments are kept in a different place, or certain facets of the support are in a different state of preservation), because each partition can then be referred to unambiguously, and the edition will show which parts of the text correspond to which partition. If you opt not to encode gridlike milestones, treat the text straightforwardly as if it occupied a simple surface, and describe the layout in as much detail as you wish in your annotation. </w:t>
      </w:r>
    </w:p>
    <w:p w14:paraId="48073250" w14:textId="77777777">
      <w:pPr>
        <w:pStyle w:val="Normlbehzs"/>
      </w:pPr>
      <w:r>
        <w:lastRenderedPageBreak/>
        <w:t>This section discusses neat gridlike structures that involve vertical or near-vertical grid lines. Guidance is provided separately in §</w:t>
      </w:r>
      <w:r>
        <w:fldChar w:fldCharType="begin"/>
      </w:r>
      <w:r>
        <w:instrText xml:space="preserve"> REF _Ref225759925 \r \h </w:instrText>
      </w:r>
      <w:r>
        <w:fldChar w:fldCharType="separate"/>
      </w:r>
      <w:r>
        <w:t>4.7.6</w:t>
      </w:r>
      <w:r>
        <w:fldChar w:fldCharType="end"/>
      </w:r>
      <w:r>
        <w:t xml:space="preserve"> for untidy structures, most often (but not always) generated by fragmentation, and also usually amenable to encoding as gridlike partitions.</w:t>
      </w:r>
    </w:p>
    <w:p w14:paraId="572203E6" w14:textId="77777777">
      <w:pPr>
        <w:pStyle w:val="Cmsor4"/>
      </w:pPr>
      <w:r>
        <w:t>Grids of architectural blocks</w:t>
      </w:r>
    </w:p>
    <w:p w14:paraId="4EFC6A6B" w14:textId="77777777">
      <w:r>
        <w:t xml:space="preserve">A gridlike extrinsic structure may be the result of physically separate (or at least separable) objects constituting a complex support. This most commonly happens with blocks of masonry constituting part of a wall which bears an inscription, as in </w:t>
      </w:r>
      <w:r>
        <w:fldChar w:fldCharType="begin"/>
      </w:r>
      <w:r>
        <w:instrText xml:space="preserve"> REF _Ref44078533 \h  \* MERGEFORMAT </w:instrText>
      </w:r>
      <w:r>
        <w:fldChar w:fldCharType="separate"/>
      </w:r>
      <w:r>
        <w:t xml:space="preserve">Exhibit </w:t>
      </w:r>
      <w:r>
        <w:rPr>
          <w:noProof/>
        </w:rPr>
        <w:t>4.7.O</w:t>
      </w:r>
      <w:r>
        <w:fldChar w:fldCharType="end"/>
      </w:r>
      <w:r>
        <w:t xml:space="preserve">. </w:t>
      </w:r>
    </w:p>
    <w:p w14:paraId="448B58DF" w14:textId="77777777">
      <w:pPr>
        <w:pStyle w:val="Lista"/>
      </w:pPr>
      <w:r>
        <w:t>encoding gridlike partitions is recommended for</w:t>
      </w:r>
      <w:r>
        <w:rPr>
          <w:b/>
          <w:bCs/>
        </w:rPr>
        <w:t xml:space="preserve"> </w:t>
      </w:r>
      <w:r>
        <w:t>building blocks, especially if they are not currently integrated into a structure</w:t>
      </w:r>
    </w:p>
    <w:p w14:paraId="32F5A30C" w14:textId="14D05E92">
      <w:pPr>
        <w:pStyle w:val="Lista2"/>
      </w:pPr>
      <w:r>
        <w:t xml:space="preserve">the milestones shall be encoded with </w:t>
      </w:r>
      <w:r>
        <w:rPr>
          <w:rStyle w:val="Codeattribute"/>
        </w:rPr>
        <w:t>@unit=</w:t>
      </w:r>
      <w:r>
        <w:rPr>
          <w:rStyle w:val="Codevalue"/>
        </w:rPr>
        <w:t>"block"</w:t>
      </w:r>
      <w:r>
        <w:t xml:space="preserve"> (§</w:t>
      </w:r>
      <w:r>
        <w:fldChar w:fldCharType="begin"/>
      </w:r>
      <w:r>
        <w:instrText xml:space="preserve"> REF _Ref182815315 \r \h </w:instrText>
      </w:r>
      <w:r>
        <w:fldChar w:fldCharType="separate"/>
      </w:r>
      <w:r>
        <w:t>4.3.1</w:t>
      </w:r>
      <w:r>
        <w:fldChar w:fldCharType="end"/>
      </w:r>
      <w:r>
        <w:t>)</w:t>
      </w:r>
    </w:p>
    <w:tbl>
      <w:tblPr>
        <w:tblStyle w:val="CodeSampleTable"/>
        <w:tblW w:w="5000" w:type="pct"/>
        <w:tblLook w:val="04A0" w:firstRow="1" w:lastRow="0" w:firstColumn="1" w:lastColumn="0" w:noHBand="0" w:noVBand="1"/>
      </w:tblPr>
      <w:tblGrid>
        <w:gridCol w:w="9628"/>
      </w:tblGrid>
      <w:tr w14:paraId="1621D4F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47CE31F" w14:textId="77777777">
            <w:pPr>
              <w:pStyle w:val="Kpalrs"/>
              <w:keepLines/>
            </w:pPr>
            <w:bookmarkStart w:id="349" w:name="_Ref44078533"/>
            <w:bookmarkStart w:id="350" w:name="_Ref225495068"/>
            <w:r>
              <w:t xml:space="preserve">Exhibit </w:t>
            </w:r>
            <w:fldSimple w:instr=" STYLEREF 2 \s ">
              <w:r>
                <w:rPr>
                  <w:noProof/>
                </w:rPr>
                <w:t>4.7</w:t>
              </w:r>
            </w:fldSimple>
            <w:r>
              <w:t>.</w:t>
            </w:r>
            <w:fldSimple w:instr=" SEQ Exhibit \* ALPHABETIC \s 2 ">
              <w:r>
                <w:rPr>
                  <w:noProof/>
                </w:rPr>
                <w:t>O</w:t>
              </w:r>
            </w:fldSimple>
            <w:bookmarkEnd w:id="349"/>
            <w:r>
              <w:t>: gridlike partitions for text inscribed across architectural blocks</w:t>
            </w:r>
            <w:bookmarkEnd w:id="350"/>
          </w:p>
        </w:tc>
      </w:tr>
      <w:tr w14:paraId="0303259E" w14:textId="77777777">
        <w:tc>
          <w:tcPr>
            <w:tcW w:w="5000" w:type="pct"/>
          </w:tcPr>
          <w:p w14:paraId="2AF48E48" w14:textId="77777777">
            <w:pPr>
              <w:pStyle w:val="Image"/>
              <w:keepLines/>
            </w:pPr>
            <w:r>
              <w:drawing>
                <wp:inline distT="0" distB="0" distL="0" distR="0" wp14:anchorId="740F0749" wp14:editId="7F976F0E">
                  <wp:extent cx="5404485" cy="1801495"/>
                  <wp:effectExtent l="0" t="0" r="5715" b="8255"/>
                  <wp:docPr id="170247771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4485" cy="1801495"/>
                          </a:xfrm>
                          <a:prstGeom prst="rect">
                            <a:avLst/>
                          </a:prstGeom>
                          <a:noFill/>
                          <a:ln>
                            <a:noFill/>
                          </a:ln>
                        </pic:spPr>
                      </pic:pic>
                    </a:graphicData>
                  </a:graphic>
                </wp:inline>
              </w:drawing>
            </w:r>
          </w:p>
        </w:tc>
      </w:tr>
      <w:tr w14:paraId="2A9ED6D5" w14:textId="77777777">
        <w:tc>
          <w:tcPr>
            <w:tcW w:w="5000" w:type="pct"/>
          </w:tcPr>
          <w:p w14:paraId="2AC6E07D" w14:textId="77777777">
            <w:pPr>
              <w:pStyle w:val="CodeParagraph"/>
              <w:keepNext/>
              <w:keepLines/>
              <w:spacing w:line="240" w:lineRule="auto"/>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 ground there lived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hole, filled with the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 xml:space="preserve"> </w:t>
            </w:r>
            <w:r>
              <w:rPr>
                <w:rStyle w:val="Codeattribute"/>
              </w:rPr>
              <w:t>break</w:t>
            </w:r>
            <w:r>
              <w:rPr>
                <w:rStyle w:val="Code"/>
              </w:rPr>
              <w:t>=</w:t>
            </w:r>
            <w:r>
              <w:rPr>
                <w:rStyle w:val="Codevalue"/>
              </w:rPr>
              <w:t>"no"</w:t>
            </w:r>
            <w:r>
              <w:rPr>
                <w:rStyle w:val="Code"/>
              </w:rPr>
              <w:t>/&gt;</w:t>
            </w:r>
            <w:r>
              <w:rPr>
                <w:rStyle w:val="Codetext"/>
              </w:rPr>
              <w:t>ell, nor yet a dry, b</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 xml:space="preserve"> </w:t>
            </w:r>
            <w:r>
              <w:rPr>
                <w:rStyle w:val="Codeattribute"/>
              </w:rPr>
              <w:t>break</w:t>
            </w:r>
            <w:r>
              <w:rPr>
                <w:rStyle w:val="Code"/>
              </w:rPr>
              <w:t>=</w:t>
            </w:r>
            <w:r>
              <w:rPr>
                <w:rStyle w:val="Codevalue"/>
              </w:rPr>
              <w:t>"no"</w:t>
            </w:r>
            <w:r>
              <w:rPr>
                <w:rStyle w:val="Code"/>
              </w:rPr>
              <w:t>/&gt;</w:t>
            </w:r>
            <w:r>
              <w:rPr>
                <w:rStyle w:val="Codetext"/>
              </w:rPr>
              <w:t>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it to sit down on or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"c"</w:t>
            </w:r>
            <w:r>
              <w:rPr>
                <w:rStyle w:val="Code"/>
              </w:rPr>
              <w:t>/&gt;</w:t>
            </w:r>
            <w:r>
              <w:rPr>
                <w:rStyle w:val="Codetext"/>
              </w:rPr>
              <w:t>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w:t>
            </w:r>
            <w:r>
              <w:rPr>
                <w:rStyle w:val="Code"/>
              </w:rPr>
              <w:t xml:space="preserve">&lt;milestone </w:t>
            </w:r>
            <w:r>
              <w:rPr>
                <w:rStyle w:val="Codeattribute"/>
              </w:rPr>
              <w:t>unit</w:t>
            </w:r>
            <w:r>
              <w:rPr>
                <w:rStyle w:val="Code"/>
              </w:rPr>
              <w:t>=</w:t>
            </w:r>
            <w:r>
              <w:rPr>
                <w:rStyle w:val="Codevalue"/>
              </w:rPr>
              <w:t>"block"</w:t>
            </w:r>
            <w:r>
              <w:rPr>
                <w:rStyle w:val="Code"/>
              </w:rPr>
              <w:t xml:space="preserve"> </w:t>
            </w:r>
            <w:r>
              <w:rPr>
                <w:rStyle w:val="Codeattribute"/>
              </w:rPr>
              <w:t>n</w:t>
            </w:r>
            <w:r>
              <w:rPr>
                <w:rStyle w:val="Code"/>
              </w:rPr>
              <w:t>=</w:t>
            </w:r>
            <w:r>
              <w:rPr>
                <w:rStyle w:val="Codevalue"/>
              </w:rPr>
              <w:t>"b"</w:t>
            </w:r>
            <w:r>
              <w:rPr>
                <w:rStyle w:val="Code"/>
              </w:rPr>
              <w:t>/&gt;</w:t>
            </w:r>
            <w:r>
              <w:rPr>
                <w:rStyle w:val="Codetext"/>
              </w:rPr>
              <w:t>that means comfort.</w:t>
            </w:r>
            <w:r>
              <w:rPr>
                <w:rStyle w:val="Codetext"/>
              </w:rPr>
              <w:br/>
            </w:r>
            <w:r>
              <w:rPr>
                <w:rStyle w:val="Code"/>
              </w:rPr>
              <w:t>&lt;/p&gt;</w:t>
            </w:r>
          </w:p>
        </w:tc>
      </w:tr>
      <w:tr w14:paraId="0239E4D1" w14:textId="77777777">
        <w:tc>
          <w:tcPr>
            <w:tcW w:w="5000" w:type="pct"/>
          </w:tcPr>
          <w:p w14:paraId="2AA4756F" w14:textId="77777777">
            <w:pPr>
              <w:pStyle w:val="TableNote"/>
            </w:pPr>
            <w:r>
              <w:t xml:space="preserve">notice the use of </w:t>
            </w:r>
            <w:r>
              <w:rPr>
                <w:rStyle w:val="Codeattribute"/>
              </w:rPr>
              <w:t>@break</w:t>
            </w:r>
            <w:r>
              <w:rPr>
                <w:rStyle w:val="Code"/>
              </w:rPr>
              <w:t>=</w:t>
            </w:r>
            <w:r>
              <w:rPr>
                <w:rStyle w:val="Codevalue"/>
              </w:rPr>
              <w:t>"no"</w:t>
            </w:r>
            <w:r>
              <w:t xml:space="preserve"> for the two milestones in line 3, which interrupt a word (§</w:t>
            </w:r>
            <w:r>
              <w:fldChar w:fldCharType="begin"/>
            </w:r>
            <w:r>
              <w:instrText xml:space="preserve"> REF _Ref225519777 \r \h </w:instrText>
            </w:r>
            <w:r>
              <w:fldChar w:fldCharType="separate"/>
            </w:r>
            <w:r>
              <w:t>4.3.2.1</w:t>
            </w:r>
            <w:r>
              <w:fldChar w:fldCharType="end"/>
            </w:r>
            <w:r>
              <w:t>)</w:t>
            </w:r>
          </w:p>
        </w:tc>
      </w:tr>
    </w:tbl>
    <w:p w14:paraId="020BCFF7" w14:textId="77777777">
      <w:pPr>
        <w:pStyle w:val="Cmsor4"/>
      </w:pPr>
      <w:r>
        <w:t>Grids of fragments</w:t>
      </w:r>
    </w:p>
    <w:p w14:paraId="1A35E664" w14:textId="77777777">
      <w:r>
        <w:t xml:space="preserve">The breakage of an inscription’s support can result in a gridlike partition, as in </w:t>
      </w:r>
      <w:r>
        <w:fldChar w:fldCharType="begin"/>
      </w:r>
      <w:r>
        <w:instrText xml:space="preserve"> REF _Ref225859267 \h </w:instrText>
      </w:r>
      <w:r>
        <w:fldChar w:fldCharType="separate"/>
      </w:r>
      <w:r>
        <w:t xml:space="preserve">Exhibit </w:t>
      </w:r>
      <w:r>
        <w:rPr>
          <w:noProof/>
        </w:rPr>
        <w:t>4.7</w:t>
      </w:r>
      <w:r>
        <w:t>.</w:t>
      </w:r>
      <w:r>
        <w:rPr>
          <w:noProof/>
        </w:rPr>
        <w:t>P</w:t>
      </w:r>
      <w:r>
        <w:fldChar w:fldCharType="end"/>
      </w:r>
      <w:r>
        <w:t>. Situations where fragmentation produces a more disorderly structure are discussed separately in §</w:t>
      </w:r>
      <w:r>
        <w:fldChar w:fldCharType="begin"/>
      </w:r>
      <w:r>
        <w:instrText xml:space="preserve"> REF _Ref225759925 \r \h </w:instrText>
      </w:r>
      <w:r>
        <w:fldChar w:fldCharType="separate"/>
      </w:r>
      <w:r>
        <w:t>4.7.6</w:t>
      </w:r>
      <w:r>
        <w:fldChar w:fldCharType="end"/>
      </w:r>
      <w:r>
        <w:t xml:space="preserve"> below.</w:t>
      </w:r>
    </w:p>
    <w:p w14:paraId="20D44286" w14:textId="77777777">
      <w:pPr>
        <w:pStyle w:val="Lista"/>
      </w:pPr>
      <w:r>
        <w:t>encoding gridlike partitions is recommended for</w:t>
      </w:r>
      <w:r>
        <w:rPr>
          <w:b/>
          <w:bCs/>
        </w:rPr>
        <w:t xml:space="preserve"> </w:t>
      </w:r>
      <w:r>
        <w:t>fragments, especially if the pieces have different proveniences, custodial histories or are preserved at different locations</w:t>
      </w:r>
    </w:p>
    <w:p w14:paraId="0D3C0016" w14:textId="026EABAB">
      <w:pPr>
        <w:pStyle w:val="Lista2"/>
      </w:pPr>
      <w:r>
        <w:t xml:space="preserve">the milestones shall be encoded with </w:t>
      </w:r>
      <w:r>
        <w:rPr>
          <w:rStyle w:val="Codeattribute"/>
        </w:rPr>
        <w:t>@unit=</w:t>
      </w:r>
      <w:r>
        <w:rPr>
          <w:rStyle w:val="Codevalue"/>
        </w:rPr>
        <w:t>"fragment"</w:t>
      </w:r>
      <w:r>
        <w:t xml:space="preserve"> (§</w:t>
      </w:r>
      <w:r>
        <w:fldChar w:fldCharType="begin"/>
      </w:r>
      <w:r>
        <w:instrText xml:space="preserve"> REF _Ref182815315 \r \h </w:instrText>
      </w:r>
      <w:r>
        <w:fldChar w:fldCharType="separate"/>
      </w:r>
      <w:r>
        <w:t>4.3.1</w:t>
      </w:r>
      <w:r>
        <w:fldChar w:fldCharType="end"/>
      </w:r>
      <w:r>
        <w:t>)</w:t>
      </w:r>
    </w:p>
    <w:tbl>
      <w:tblPr>
        <w:tblStyle w:val="CodeSampleTable"/>
        <w:tblW w:w="5000" w:type="pct"/>
        <w:tblLook w:val="04A0" w:firstRow="1" w:lastRow="0" w:firstColumn="1" w:lastColumn="0" w:noHBand="0" w:noVBand="1"/>
      </w:tblPr>
      <w:tblGrid>
        <w:gridCol w:w="9628"/>
      </w:tblGrid>
      <w:tr w14:paraId="0106C3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DC0709" w14:textId="77777777">
            <w:pPr>
              <w:pStyle w:val="Kpalrs"/>
              <w:keepLines/>
            </w:pPr>
            <w:bookmarkStart w:id="351" w:name="_Ref225859267"/>
            <w:r>
              <w:lastRenderedPageBreak/>
              <w:t xml:space="preserve">Exhibit </w:t>
            </w:r>
            <w:fldSimple w:instr=" STYLEREF 2 \s ">
              <w:r>
                <w:rPr>
                  <w:noProof/>
                </w:rPr>
                <w:t>4.7</w:t>
              </w:r>
            </w:fldSimple>
            <w:r>
              <w:t>.</w:t>
            </w:r>
            <w:fldSimple w:instr=" SEQ Exhibit \* ALPHABETIC \s 2 ">
              <w:r>
                <w:rPr>
                  <w:noProof/>
                </w:rPr>
                <w:t>P</w:t>
              </w:r>
            </w:fldSimple>
            <w:bookmarkEnd w:id="351"/>
            <w:r>
              <w:t>: gridlike partitions for text inscribed across contiguous fragments</w:t>
            </w:r>
          </w:p>
        </w:tc>
      </w:tr>
      <w:tr w14:paraId="4C129D6D" w14:textId="77777777">
        <w:tc>
          <w:tcPr>
            <w:tcW w:w="5000" w:type="pct"/>
          </w:tcPr>
          <w:p w14:paraId="7B7B810C" w14:textId="77777777">
            <w:pPr>
              <w:pStyle w:val="Image"/>
              <w:keepLines/>
            </w:pPr>
            <w:r>
              <w:drawing>
                <wp:inline distT="0" distB="0" distL="0" distR="0" wp14:anchorId="6F8C6FE2" wp14:editId="747020CD">
                  <wp:extent cx="5397500" cy="1480820"/>
                  <wp:effectExtent l="0" t="0" r="0" b="5080"/>
                  <wp:docPr id="128517437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6349889A" w14:textId="77777777">
        <w:tc>
          <w:tcPr>
            <w:tcW w:w="5000" w:type="pct"/>
          </w:tcPr>
          <w:p w14:paraId="012E2B8E" w14:textId="77777777">
            <w:pPr>
              <w:pStyle w:val="CodeParagraph"/>
              <w:keepNext/>
              <w:keepLines/>
              <w:spacing w:line="240" w:lineRule="auto"/>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nasty, dirty, wet hole, fil</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led 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 </w:t>
            </w:r>
            <w:r>
              <w:rPr>
                <w:rStyle w:val="Codeattribute"/>
              </w:rPr>
              <w:t>break</w:t>
            </w:r>
            <w:r>
              <w:rPr>
                <w:rStyle w:val="Code"/>
              </w:rPr>
              <w:t>=</w:t>
            </w:r>
            <w:r>
              <w:rPr>
                <w:rStyle w:val="Codevalue"/>
              </w:rPr>
              <w:t>"no"</w:t>
            </w:r>
            <w:r>
              <w:rPr>
                <w:rStyle w:val="Code"/>
              </w:rPr>
              <w:t>/&gt;</w:t>
            </w:r>
            <w:r>
              <w:rPr>
                <w:rStyle w:val="Codetext"/>
              </w:rPr>
              <w:t xml:space="preserve">ell, nor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yet a dry, b</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"c"</w:t>
            </w:r>
            <w:r>
              <w:rPr>
                <w:rStyle w:val="Code"/>
              </w:rPr>
              <w:t xml:space="preserve"> </w:t>
            </w:r>
            <w:r>
              <w:rPr>
                <w:rStyle w:val="Codeattribute"/>
              </w:rPr>
              <w:t>break</w:t>
            </w:r>
            <w:r>
              <w:rPr>
                <w:rStyle w:val="Code"/>
              </w:rPr>
              <w:t>=</w:t>
            </w:r>
            <w:r>
              <w:rPr>
                <w:rStyle w:val="Codevalue"/>
              </w:rPr>
              <w:t>"no"</w:t>
            </w:r>
            <w:r>
              <w:rPr>
                <w:rStyle w:val="Code"/>
              </w:rPr>
              <w:t>/&gt;</w:t>
            </w:r>
            <w:r>
              <w:rPr>
                <w:rStyle w:val="Codetext"/>
              </w:rPr>
              <w:t>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to sit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hobbit-hole, and that me</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w:t>
            </w:r>
            <w:r>
              <w:rPr>
                <w:rStyle w:val="Codetext"/>
              </w:rPr>
              <w:t>ans comfort.</w:t>
            </w:r>
            <w:r>
              <w:rPr>
                <w:rStyle w:val="Codetext"/>
              </w:rPr>
              <w:br/>
            </w:r>
            <w:r>
              <w:rPr>
                <w:rStyle w:val="Code"/>
              </w:rPr>
              <w:t>&lt;/p&gt;</w:t>
            </w:r>
          </w:p>
        </w:tc>
      </w:tr>
      <w:tr w14:paraId="0535FE61" w14:textId="77777777">
        <w:tc>
          <w:tcPr>
            <w:tcW w:w="5000" w:type="pct"/>
          </w:tcPr>
          <w:p w14:paraId="170A679F" w14:textId="77777777">
            <w:pPr>
              <w:pStyle w:val="TableNote"/>
            </w:pPr>
            <w:r>
              <w:t xml:space="preserve">notice the use of </w:t>
            </w:r>
            <w:r>
              <w:rPr>
                <w:rStyle w:val="Codeattribute"/>
              </w:rPr>
              <w:t>@break</w:t>
            </w:r>
            <w:r>
              <w:rPr>
                <w:rStyle w:val="Code"/>
              </w:rPr>
              <w:t>=</w:t>
            </w:r>
            <w:r>
              <w:rPr>
                <w:rStyle w:val="Codevalue"/>
              </w:rPr>
              <w:t>"no"</w:t>
            </w:r>
            <w:r>
              <w:t xml:space="preserve"> for milestones in lines 2 and 5, which interrupt a word (§</w:t>
            </w:r>
            <w:r>
              <w:fldChar w:fldCharType="begin"/>
            </w:r>
            <w:r>
              <w:instrText xml:space="preserve"> REF _Ref225519777 \r \h  \* MERGEFORMAT </w:instrText>
            </w:r>
            <w:r>
              <w:fldChar w:fldCharType="separate"/>
            </w:r>
            <w:r>
              <w:t>4.3.2.1</w:t>
            </w:r>
            <w:r>
              <w:fldChar w:fldCharType="end"/>
            </w:r>
            <w:r>
              <w:t>)</w:t>
            </w:r>
          </w:p>
        </w:tc>
      </w:tr>
    </w:tbl>
    <w:p w14:paraId="7618CA0E" w14:textId="77777777">
      <w:pPr>
        <w:pStyle w:val="Cmsor4"/>
      </w:pPr>
      <w:bookmarkStart w:id="352" w:name="_Ref225865506"/>
      <w:r>
        <w:t>Grids of quasi-columns</w:t>
      </w:r>
      <w:bookmarkEnd w:id="352"/>
    </w:p>
    <w:p w14:paraId="300C5FA4" w14:textId="77777777">
      <w:r>
        <w:t>When an inscription on a single surface is divided into several zones, this usually produces a pagelike or, occasionally, a boxlike partition (§</w:t>
      </w:r>
      <w:r>
        <w:fldChar w:fldCharType="begin"/>
      </w:r>
      <w:r>
        <w:instrText xml:space="preserve"> REF _Ref225781091 \r \h </w:instrText>
      </w:r>
      <w:r>
        <w:fldChar w:fldCharType="separate"/>
      </w:r>
      <w:r>
        <w:t>4.7.4.2</w:t>
      </w:r>
      <w:r>
        <w:fldChar w:fldCharType="end"/>
      </w:r>
      <w:r>
        <w:t xml:space="preserve">). However, especially when an inscription consists of many stanzas of verse following an identical or similar metre, the text may be arranged in the form of quasi-columns with a horizontal space between them, as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We call these ‘quasi-columns’ because in true columns the reading sequence is from the top to the bottom of one column, then proceeding to the next (which is a pagelike partition, §</w:t>
      </w:r>
      <w:r>
        <w:fldChar w:fldCharType="begin"/>
      </w:r>
      <w:r>
        <w:instrText xml:space="preserve"> REF _Ref225781091 \r \h </w:instrText>
      </w:r>
      <w:r>
        <w:fldChar w:fldCharType="separate"/>
      </w:r>
      <w:r>
        <w:t>4.7.4.2</w:t>
      </w:r>
      <w:r>
        <w:fldChar w:fldCharType="end"/>
      </w:r>
      <w:r>
        <w:t>), while here each line crosses over into the next column before continuing with the next line of the first column.</w:t>
      </w:r>
    </w:p>
    <w:p w14:paraId="65BDE76C" w14:textId="77777777">
      <w:pPr>
        <w:pStyle w:val="Normlbehzs"/>
      </w:pPr>
      <w:r>
        <w:t xml:space="preserve">The boundaries of stanzas and their subunits are often emphasised with spaces in inscriptions, but if the layout is not deliberately designed with quasi-columns, these spaces will be staggered throughout the lines instead of constituting a grid (illustrated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In such a case, a gridlike partition is not present.</w:t>
      </w:r>
    </w:p>
    <w:p w14:paraId="41641A10" w14:textId="77777777">
      <w:pPr>
        <w:pStyle w:val="Lista"/>
      </w:pPr>
      <w:r>
        <w:t>encoding gridlike partitions is recommended for quasi-columns only if the columns are a neat and salient feature of the inscription’s layout</w:t>
      </w:r>
    </w:p>
    <w:p w14:paraId="3848AD02" w14:textId="77777777">
      <w:pPr>
        <w:pStyle w:val="Lista2"/>
      </w:pPr>
      <w:r>
        <w:t xml:space="preserve">in this case, the milestones shall be encoded with </w:t>
      </w:r>
      <w:r>
        <w:rPr>
          <w:rStyle w:val="Codeattribute"/>
        </w:rPr>
        <w:t>@unit=</w:t>
      </w:r>
      <w:r>
        <w:rPr>
          <w:rStyle w:val="Codevalue"/>
        </w:rPr>
        <w:t>"column"</w:t>
      </w:r>
      <w:r>
        <w:t xml:space="preserve"> (§</w:t>
      </w:r>
      <w:r>
        <w:fldChar w:fldCharType="begin"/>
      </w:r>
      <w:r>
        <w:instrText xml:space="preserve"> REF _Ref182815315 \r \h </w:instrText>
      </w:r>
      <w:r>
        <w:fldChar w:fldCharType="separate"/>
      </w:r>
      <w:r>
        <w:t>4.3.1</w:t>
      </w:r>
      <w:r>
        <w:fldChar w:fldCharType="end"/>
      </w:r>
      <w:r>
        <w:t>)</w:t>
      </w:r>
    </w:p>
    <w:p w14:paraId="5721ED5B" w14:textId="77777777">
      <w:pPr>
        <w:pStyle w:val="Lista2"/>
      </w:pPr>
      <w:r>
        <w:t>if quasi-columns are present only in a part of the inscribed field, then encode gridlike milestones only for the lines affected by the quasi-columns (cf. §</w:t>
      </w:r>
      <w:r>
        <w:fldChar w:fldCharType="begin"/>
      </w:r>
      <w:r>
        <w:instrText xml:space="preserve"> REF _Ref225860329 \r \h </w:instrText>
      </w:r>
      <w:r>
        <w:fldChar w:fldCharType="separate"/>
      </w:r>
      <w:r>
        <w:t>4.7.6.1</w:t>
      </w:r>
      <w:r>
        <w:fldChar w:fldCharType="end"/>
      </w:r>
      <w:r>
        <w:t>)</w:t>
      </w:r>
    </w:p>
    <w:p w14:paraId="4B9BAEC6" w14:textId="77777777">
      <w:pPr>
        <w:pStyle w:val="Lista"/>
      </w:pPr>
      <w:r>
        <w:t>if quasi-columns are encoded with milestones, then the space between them shall not be represented as space (§</w:t>
      </w:r>
      <w:r>
        <w:fldChar w:fldCharType="begin"/>
      </w:r>
      <w:r>
        <w:instrText xml:space="preserve"> REF _Ref183011891 \r \h </w:instrText>
      </w:r>
      <w:r>
        <w:fldChar w:fldCharType="separate"/>
      </w:r>
      <w:r>
        <w:t>5.4.1</w:t>
      </w:r>
      <w:r>
        <w:fldChar w:fldCharType="end"/>
      </w:r>
      <w:r>
        <w:t>) in your edition</w:t>
      </w:r>
    </w:p>
    <w:p w14:paraId="68936028" w14:textId="7929D33D">
      <w:pPr>
        <w:pStyle w:val="Lista"/>
      </w:pPr>
      <w:r>
        <w:t>if you choose not to encode a gridlike partition for spaced verse (whether because you consider it unnecessary or because the spacing is irregular), the spaces shall be encoded as per §</w:t>
      </w:r>
      <w:r>
        <w:fldChar w:fldCharType="begin"/>
      </w:r>
      <w:r>
        <w:instrText xml:space="preserve"> REF _Ref183011891 \r \h </w:instrText>
      </w:r>
      <w:r>
        <w:fldChar w:fldCharType="separate"/>
      </w:r>
      <w:r>
        <w:t>5.4.1</w:t>
      </w:r>
      <w:r>
        <w:fldChar w:fldCharType="end"/>
      </w:r>
    </w:p>
    <w:tbl>
      <w:tblPr>
        <w:tblStyle w:val="CodeSampleTable"/>
        <w:tblW w:w="5000" w:type="pct"/>
        <w:tblLook w:val="04A0" w:firstRow="1" w:lastRow="0" w:firstColumn="1" w:lastColumn="0" w:noHBand="0" w:noVBand="1"/>
      </w:tblPr>
      <w:tblGrid>
        <w:gridCol w:w="9628"/>
      </w:tblGrid>
      <w:tr w14:paraId="4C0087F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8DCDC68" w14:textId="77777777">
            <w:pPr>
              <w:pStyle w:val="Kpalrs"/>
              <w:keepLines/>
            </w:pPr>
            <w:bookmarkStart w:id="353" w:name="_Ref44078509"/>
            <w:r>
              <w:lastRenderedPageBreak/>
              <w:t xml:space="preserve">Exhibit </w:t>
            </w:r>
            <w:fldSimple w:instr=" STYLEREF 2 \s ">
              <w:r>
                <w:rPr>
                  <w:noProof/>
                </w:rPr>
                <w:t>4.7</w:t>
              </w:r>
            </w:fldSimple>
            <w:r>
              <w:t>.</w:t>
            </w:r>
            <w:fldSimple w:instr=" SEQ Exhibit \* ALPHABETIC \s 2 ">
              <w:r>
                <w:rPr>
                  <w:noProof/>
                </w:rPr>
                <w:t>Q</w:t>
              </w:r>
            </w:fldSimple>
            <w:bookmarkEnd w:id="353"/>
            <w:r>
              <w:t>: gridlike partitions for verse inscribed in quasi-columns</w:t>
            </w:r>
          </w:p>
        </w:tc>
      </w:tr>
      <w:tr w14:paraId="3F399EDB" w14:textId="77777777">
        <w:tc>
          <w:tcPr>
            <w:tcW w:w="5000" w:type="pct"/>
          </w:tcPr>
          <w:p w14:paraId="4B6D67F2" w14:textId="77777777">
            <w:pPr>
              <w:pStyle w:val="Image"/>
              <w:keepLines/>
            </w:pPr>
            <w:r>
              <w:drawing>
                <wp:inline distT="0" distB="0" distL="0" distR="0" wp14:anchorId="0174EFAD" wp14:editId="7E1B7C9C">
                  <wp:extent cx="5397500" cy="1487805"/>
                  <wp:effectExtent l="0" t="0" r="0" b="0"/>
                  <wp:docPr id="21" name="Ké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97500" cy="1487805"/>
                          </a:xfrm>
                          <a:prstGeom prst="rect">
                            <a:avLst/>
                          </a:prstGeom>
                          <a:noFill/>
                          <a:ln>
                            <a:noFill/>
                          </a:ln>
                        </pic:spPr>
                      </pic:pic>
                    </a:graphicData>
                  </a:graphic>
                </wp:inline>
              </w:drawing>
            </w:r>
          </w:p>
        </w:tc>
      </w:tr>
      <w:tr w14:paraId="541A6F27" w14:textId="77777777">
        <w:tc>
          <w:tcPr>
            <w:tcW w:w="5000" w:type="pct"/>
          </w:tcPr>
          <w:p w14:paraId="20901FA3"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t xml:space="preserve"> </w:t>
            </w:r>
            <w:r>
              <w:rPr>
                <w:rStyle w:val="Codetext"/>
              </w:rPr>
              <w:t xml:space="preserve">Chip the glasses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crack the plates!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Blunt the knives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bend the forks!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That’s what Bilbo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 Baggins hates—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Smash the bottles and </w:t>
            </w:r>
            <w:r>
              <w:rPr>
                <w:rStyle w:val="Code"/>
              </w:rPr>
              <w:t xml:space="preserve">&lt;milestone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burn the corks!</w:t>
            </w:r>
            <w:r>
              <w:rPr>
                <w:rStyle w:val="Code"/>
              </w:rPr>
              <w:t>&lt;/l&gt;</w:t>
            </w:r>
            <w:r>
              <w:rPr>
                <w:rStyle w:val="Codetext"/>
              </w:rPr>
              <w:br/>
            </w:r>
            <w:r>
              <w:rPr>
                <w:rStyle w:val="Code"/>
              </w:rPr>
              <w:t>&lt;/lg&gt;</w:t>
            </w:r>
          </w:p>
        </w:tc>
      </w:tr>
      <w:tr w14:paraId="136C388E" w14:textId="77777777">
        <w:tc>
          <w:tcPr>
            <w:tcW w:w="5000" w:type="pct"/>
          </w:tcPr>
          <w:p w14:paraId="15271B30" w14:textId="77777777">
            <w:pPr>
              <w:pStyle w:val="TableNote"/>
              <w:keepNext/>
              <w:keepLines/>
            </w:pPr>
            <w:r>
              <w:t>in this inscription, spacing at the caesura in each line arranges the text into neat columns</w:t>
            </w:r>
          </w:p>
          <w:p w14:paraId="184AC91F" w14:textId="77777777">
            <w:pPr>
              <w:pStyle w:val="TableNote"/>
              <w:keepNext/>
              <w:keepLines/>
            </w:pPr>
            <w:r>
              <w:t>the start of each column has been marked up with a gridlike milestone</w:t>
            </w:r>
          </w:p>
          <w:p w14:paraId="08126516" w14:textId="77777777">
            <w:pPr>
              <w:pStyle w:val="TableNote"/>
              <w:keepNext/>
              <w:keepLines/>
            </w:pPr>
            <w:r>
              <w:t>if some or all subsequent column beginnings coincide with the beginning of a verse line (rather than just a caesura within a line), then the milestone for the applicable column must be within the container for the new line</w:t>
            </w:r>
          </w:p>
          <w:p w14:paraId="44BCA0A8" w14:textId="77777777">
            <w:pPr>
              <w:pStyle w:val="TableNote"/>
              <w:keepNext/>
              <w:keepLines/>
            </w:pPr>
            <w:r>
              <w:t xml:space="preserve">compare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xml:space="preserve"> where the same stanza’s spacing does not result in the text laid out in columns, so encoding with gridlike milestones is not applicable</w:t>
            </w:r>
          </w:p>
        </w:tc>
      </w:tr>
      <w:tr w14:paraId="3DCF25CF" w14:textId="77777777">
        <w:tc>
          <w:tcPr>
            <w:tcW w:w="5000" w:type="pct"/>
          </w:tcPr>
          <w:p w14:paraId="39C26C2A" w14:textId="77777777">
            <w:pPr>
              <w:pStyle w:val="TableNote"/>
            </w:pPr>
            <w:r>
              <w:t>alternative encoding without milestones:</w:t>
            </w:r>
          </w:p>
          <w:p w14:paraId="72BC5328" w14:textId="77777777">
            <w:pPr>
              <w:pStyle w:val="CodeParagraph"/>
              <w:rPr>
                <w:rFonts w:ascii="Consolas" w:hAnsi="Consolas" w:cs="Consolas"/>
                <w:noProof/>
                <w:color w:val="002060"/>
                <w:shd w:val="clear" w:color="auto" w:fill="F2F2F2" w:themeFill="background1" w:themeFillShade="F2"/>
              </w:rPr>
            </w:pPr>
            <w:r>
              <w:rPr>
                <w:rStyle w:val="Code"/>
              </w:rPr>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t xml:space="preserve"> </w:t>
            </w:r>
            <w:r>
              <w:rPr>
                <w:rStyle w:val="Codetext"/>
              </w:rPr>
              <w:t xml:space="preserve">Chip the glasses and </w:t>
            </w:r>
            <w:r>
              <w:rPr>
                <w:rStyle w:val="Code"/>
              </w:rPr>
              <w:t>&lt;space/&gt;</w:t>
            </w:r>
            <w:r>
              <w:rPr>
                <w:rStyle w:val="Codetext"/>
              </w:rPr>
              <w:t>crack the plates!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 xml:space="preserve">&gt;&lt;lb </w:t>
            </w:r>
            <w:r>
              <w:rPr>
                <w:rStyle w:val="Codeattribute"/>
              </w:rPr>
              <w:t>n</w:t>
            </w:r>
            <w:r>
              <w:rPr>
                <w:rStyle w:val="Code"/>
              </w:rPr>
              <w:t>=</w:t>
            </w:r>
            <w:r>
              <w:rPr>
                <w:rStyle w:val="Codevalue"/>
              </w:rPr>
              <w:t>"2"</w:t>
            </w:r>
            <w:r>
              <w:rPr>
                <w:rStyle w:val="Code"/>
              </w:rPr>
              <w:t>/&gt;</w:t>
            </w:r>
            <w:r>
              <w:rPr>
                <w:rStyle w:val="Codetext"/>
              </w:rPr>
              <w:t xml:space="preserve">Blunt the knives and </w:t>
            </w:r>
            <w:r>
              <w:rPr>
                <w:rStyle w:val="Code"/>
              </w:rPr>
              <w:t>&lt;space/&gt;</w:t>
            </w:r>
            <w:r>
              <w:rPr>
                <w:rStyle w:val="Codetext"/>
              </w:rPr>
              <w:t>bend the forks!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 xml:space="preserve">&gt;&lt;lb </w:t>
            </w:r>
            <w:r>
              <w:rPr>
                <w:rStyle w:val="Codeattribute"/>
              </w:rPr>
              <w:t>n</w:t>
            </w:r>
            <w:r>
              <w:rPr>
                <w:rStyle w:val="Code"/>
              </w:rPr>
              <w:t>=</w:t>
            </w:r>
            <w:r>
              <w:rPr>
                <w:rStyle w:val="Codevalue"/>
              </w:rPr>
              <w:t>"3"</w:t>
            </w:r>
            <w:r>
              <w:rPr>
                <w:rStyle w:val="Code"/>
              </w:rPr>
              <w:t>/&gt;</w:t>
            </w:r>
            <w:r>
              <w:rPr>
                <w:rStyle w:val="Codetext"/>
              </w:rPr>
              <w:t xml:space="preserve">That’s what Bilbo </w:t>
            </w:r>
            <w:r>
              <w:rPr>
                <w:rStyle w:val="Code"/>
              </w:rPr>
              <w:t>&lt;space/&gt;</w:t>
            </w:r>
            <w:r>
              <w:rPr>
                <w:rStyle w:val="Codetext"/>
              </w:rPr>
              <w:t>Baggins hates—</w:t>
            </w:r>
            <w:r>
              <w:rPr>
                <w:rStyle w:val="Code"/>
              </w:rPr>
              <w: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 xml:space="preserve">&gt;&lt;lb </w:t>
            </w:r>
            <w:r>
              <w:rPr>
                <w:rStyle w:val="Codeattribute"/>
              </w:rPr>
              <w:t>n</w:t>
            </w:r>
            <w:r>
              <w:rPr>
                <w:rStyle w:val="Code"/>
              </w:rPr>
              <w:t>=</w:t>
            </w:r>
            <w:r>
              <w:rPr>
                <w:rStyle w:val="Codevalue"/>
              </w:rPr>
              <w:t>"4"</w:t>
            </w:r>
            <w:r>
              <w:rPr>
                <w:rStyle w:val="Code"/>
              </w:rPr>
              <w:t>/&gt;</w:t>
            </w:r>
            <w:r>
              <w:rPr>
                <w:rStyle w:val="Codetext"/>
              </w:rPr>
              <w:t xml:space="preserve">Smash the bottles and </w:t>
            </w:r>
            <w:r>
              <w:rPr>
                <w:rStyle w:val="Code"/>
              </w:rPr>
              <w:t>&lt;space/&gt;</w:t>
            </w:r>
            <w:r>
              <w:rPr>
                <w:rStyle w:val="Codetext"/>
              </w:rPr>
              <w:t>burn the corks!</w:t>
            </w:r>
            <w:r>
              <w:rPr>
                <w:rStyle w:val="Code"/>
              </w:rPr>
              <w:t>&lt;/l&gt;</w:t>
            </w:r>
            <w:r>
              <w:rPr>
                <w:rStyle w:val="Codetext"/>
              </w:rPr>
              <w:br/>
            </w:r>
            <w:r>
              <w:rPr>
                <w:rStyle w:val="Code"/>
              </w:rPr>
              <w:t>&lt;/lg&gt;</w:t>
            </w:r>
          </w:p>
        </w:tc>
      </w:tr>
    </w:tbl>
    <w:p w14:paraId="0DDF6361" w14:textId="77777777">
      <w:pPr>
        <w:pStyle w:val="Cmsor4"/>
      </w:pPr>
      <w:r>
        <w:t>Grids of subsurfaces</w:t>
      </w:r>
    </w:p>
    <w:p w14:paraId="4DF42879" w14:textId="77777777">
      <w:r>
        <w:t xml:space="preserve">Complex three-dimensional surfaces such as those of a polygonal pillar or a stele may be inscribed in such a way that each line runs across two or more subsurfaces, as in </w:t>
      </w:r>
      <w:r>
        <w:fldChar w:fldCharType="begin"/>
      </w:r>
      <w:r>
        <w:instrText xml:space="preserve"> REF _Ref182822234 \h </w:instrText>
      </w:r>
      <w:r>
        <w:fldChar w:fldCharType="separate"/>
      </w:r>
      <w:r>
        <w:t xml:space="preserve">Exhibit </w:t>
      </w:r>
      <w:r>
        <w:rPr>
          <w:noProof/>
        </w:rPr>
        <w:t>4.7</w:t>
      </w:r>
      <w:r>
        <w:t>.</w:t>
      </w:r>
      <w:r>
        <w:rPr>
          <w:noProof/>
        </w:rPr>
        <w:t>R</w:t>
      </w:r>
      <w:r>
        <w:fldChar w:fldCharType="end"/>
      </w:r>
      <w:r>
        <w:t xml:space="preserve"> and </w:t>
      </w:r>
      <w:r>
        <w:fldChar w:fldCharType="begin"/>
      </w:r>
      <w:r>
        <w:instrText xml:space="preserve"> REF _Ref239844365 \r \h </w:instrText>
      </w:r>
      <w:r>
        <w:fldChar w:fldCharType="separate"/>
      </w:r>
      <w:r>
        <w:t>Appendix A.5</w:t>
      </w:r>
      <w:r>
        <w:fldChar w:fldCharType="end"/>
      </w:r>
      <w:r>
        <w:t>.  The edges separating the faces constituting the surface produce a gridlike partition.</w:t>
      </w:r>
    </w:p>
    <w:p w14:paraId="2AC1988E" w14:textId="77777777">
      <w:pPr>
        <w:pStyle w:val="Lista"/>
      </w:pPr>
      <w:r>
        <w:t>encoding gridlike partitions is generally not recommended for complex surfaces, but may be applied if such encoding is deemed useful</w:t>
      </w:r>
    </w:p>
    <w:p w14:paraId="600636F5" w14:textId="77777777">
      <w:pPr>
        <w:pStyle w:val="Lista2"/>
      </w:pPr>
      <w:r>
        <w:t xml:space="preserve">the milestones shall be encoded with </w:t>
      </w:r>
      <w:r>
        <w:rPr>
          <w:rStyle w:val="Codeattribute"/>
        </w:rPr>
        <w:t>@unit=</w:t>
      </w:r>
      <w:r>
        <w:rPr>
          <w:rStyle w:val="Codevalue"/>
        </w:rPr>
        <w:t>"face"</w:t>
      </w:r>
      <w:r>
        <w:t xml:space="preserve"> (§</w:t>
      </w:r>
      <w:r>
        <w:fldChar w:fldCharType="begin"/>
      </w:r>
      <w:r>
        <w:instrText xml:space="preserve"> REF _Ref182815315 \r \h </w:instrText>
      </w:r>
      <w:r>
        <w:fldChar w:fldCharType="separate"/>
      </w:r>
      <w:r>
        <w:t>4.3.1</w:t>
      </w:r>
      <w:r>
        <w:fldChar w:fldCharType="end"/>
      </w:r>
      <w:r>
        <w:t>)</w:t>
      </w:r>
    </w:p>
    <w:p w14:paraId="1DA2F6C1" w14:textId="3F4180E8">
      <w:pPr>
        <w:pStyle w:val="Lista"/>
      </w:pPr>
      <w:r>
        <w:t>if you choose not to encode a gridlike partition for a complex surface, and the lines contain conspicuous spaces around the transitions from one subsurface to another, these spaces shall be encoded as per §</w:t>
      </w:r>
      <w:r>
        <w:fldChar w:fldCharType="begin"/>
      </w:r>
      <w:r>
        <w:instrText xml:space="preserve"> REF _Ref183011891 \r \h </w:instrText>
      </w:r>
      <w:r>
        <w:fldChar w:fldCharType="separate"/>
      </w:r>
      <w:r>
        <w:t>5.4.1</w:t>
      </w:r>
      <w:r>
        <w:fldChar w:fldCharType="end"/>
      </w:r>
      <w:bookmarkStart w:id="354" w:name="_mtlzzef8q66a" w:colFirst="0" w:colLast="0"/>
      <w:bookmarkStart w:id="355" w:name="_r2vovj8fm87l" w:colFirst="0" w:colLast="0"/>
      <w:bookmarkStart w:id="356" w:name="_mssvwla5qx2o" w:colFirst="0" w:colLast="0"/>
      <w:bookmarkEnd w:id="354"/>
      <w:bookmarkEnd w:id="355"/>
      <w:bookmarkEnd w:id="356"/>
    </w:p>
    <w:tbl>
      <w:tblPr>
        <w:tblStyle w:val="CodeSampleTable"/>
        <w:tblW w:w="5000" w:type="pct"/>
        <w:tblLook w:val="04A0" w:firstRow="1" w:lastRow="0" w:firstColumn="1" w:lastColumn="0" w:noHBand="0" w:noVBand="1"/>
      </w:tblPr>
      <w:tblGrid>
        <w:gridCol w:w="9628"/>
      </w:tblGrid>
      <w:tr w14:paraId="469B2DF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FE10576" w14:textId="77777777">
            <w:pPr>
              <w:pStyle w:val="Kpalrs"/>
              <w:keepLines/>
            </w:pPr>
            <w:bookmarkStart w:id="357" w:name="_Ref182822234"/>
            <w:r>
              <w:lastRenderedPageBreak/>
              <w:t xml:space="preserve">Exhibit </w:t>
            </w:r>
            <w:fldSimple w:instr=" STYLEREF 2 \s ">
              <w:r>
                <w:rPr>
                  <w:noProof/>
                </w:rPr>
                <w:t>4.7</w:t>
              </w:r>
            </w:fldSimple>
            <w:r>
              <w:t>.</w:t>
            </w:r>
            <w:fldSimple w:instr=" SEQ Exhibit \* ALPHABETIC \s 2 ">
              <w:r>
                <w:rPr>
                  <w:noProof/>
                </w:rPr>
                <w:t>R</w:t>
              </w:r>
            </w:fldSimple>
            <w:bookmarkEnd w:id="357"/>
            <w:r>
              <w:t>: gridlike partitions for adjacent faces of a polygonal pillar</w:t>
            </w:r>
          </w:p>
        </w:tc>
      </w:tr>
      <w:tr w14:paraId="5D720CD7" w14:textId="77777777">
        <w:tc>
          <w:tcPr>
            <w:tcW w:w="5000" w:type="pct"/>
          </w:tcPr>
          <w:p w14:paraId="4A3E91F4" w14:textId="77777777">
            <w:pPr>
              <w:pStyle w:val="Image"/>
              <w:keepLines/>
            </w:pPr>
            <w:r>
              <w:drawing>
                <wp:inline distT="0" distB="0" distL="0" distR="0" wp14:anchorId="7F8878C9" wp14:editId="045CBA9F">
                  <wp:extent cx="5397500" cy="3173095"/>
                  <wp:effectExtent l="0" t="0" r="0" b="8255"/>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97500" cy="3173095"/>
                          </a:xfrm>
                          <a:prstGeom prst="rect">
                            <a:avLst/>
                          </a:prstGeom>
                          <a:noFill/>
                          <a:ln>
                            <a:noFill/>
                          </a:ln>
                        </pic:spPr>
                      </pic:pic>
                    </a:graphicData>
                  </a:graphic>
                </wp:inline>
              </w:drawing>
            </w:r>
          </w:p>
        </w:tc>
      </w:tr>
      <w:tr w14:paraId="30750EFA" w14:textId="77777777">
        <w:tc>
          <w:tcPr>
            <w:tcW w:w="5000" w:type="pct"/>
          </w:tcPr>
          <w:p w14:paraId="7B636DB7" w14:textId="77777777">
            <w:pPr>
              <w:pStyle w:val="CodeParagraph"/>
              <w:keepNext/>
              <w:keepLines/>
              <w:spacing w:line="240" w:lineRule="auto"/>
              <w:rPr>
                <w:rFonts w:ascii="Consolas" w:hAnsi="Consolas" w:cs="Consolas"/>
                <w:noProof/>
                <w:color w:val="002060"/>
                <w:shd w:val="clear" w:color="auto" w:fill="F2F2F2" w:themeFill="background1" w:themeFillShade="F2"/>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hole, filled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and an oozy smell, nor yet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a dry, bare,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to sit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that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means comfort.</w:t>
            </w:r>
            <w:r>
              <w:rPr>
                <w:rStyle w:val="Codetext"/>
              </w:rPr>
              <w:br/>
            </w:r>
            <w:r>
              <w:rPr>
                <w:rStyle w:val="Code"/>
              </w:rPr>
              <w:t>&lt;/p&gt;</w:t>
            </w:r>
          </w:p>
        </w:tc>
      </w:tr>
    </w:tbl>
    <w:p w14:paraId="59976096" w14:textId="77777777">
      <w:pPr>
        <w:pStyle w:val="Cmsor3"/>
      </w:pPr>
      <w:bookmarkStart w:id="358" w:name="_Ref225759925"/>
      <w:bookmarkStart w:id="359" w:name="_Toc243900283"/>
      <w:r>
        <w:t>Untidy extrinsic structure</w:t>
      </w:r>
      <w:bookmarkStart w:id="360" w:name="_Ref182811945"/>
      <w:bookmarkEnd w:id="358"/>
      <w:bookmarkEnd w:id="359"/>
    </w:p>
    <w:p w14:paraId="1F61530E" w14:textId="77777777">
      <w:r>
        <w:t>Certain aspects of extrinsic structure – typically fragmentation, but occasionally also the surfaces of complex three-dimensional objects – result in partitions that do not constitute a neat grid covering the entire campus of an inscription. This section describes good practice for such untidy situations. In addition to the specific guidelines below, keep in mind that when some extant pieces of a fragmented inscription cannot be fitted together, then boxlike partitions are called for (§</w:t>
      </w:r>
      <w:r>
        <w:fldChar w:fldCharType="begin"/>
      </w:r>
      <w:r>
        <w:instrText xml:space="preserve"> REF _Ref225346692 \r \h </w:instrText>
      </w:r>
      <w:r>
        <w:fldChar w:fldCharType="separate"/>
      </w:r>
      <w:r>
        <w:t>4.7.3.2</w:t>
      </w:r>
      <w:r>
        <w:fldChar w:fldCharType="end"/>
      </w:r>
      <w:r>
        <w:t>). Also keep in mind that in cases where fragments (or surfaces) do join up, as in the situations covered in this section, the encoding normally involves gridlike partitions, and the encoding of such partitions is always optional (§</w:t>
      </w:r>
      <w:r>
        <w:fldChar w:fldCharType="begin"/>
      </w:r>
      <w:r>
        <w:instrText xml:space="preserve"> REF _Ref182322267 \r \h </w:instrText>
      </w:r>
      <w:r>
        <w:fldChar w:fldCharType="separate"/>
      </w:r>
      <w:r>
        <w:t>4.7.5</w:t>
      </w:r>
      <w:r>
        <w:fldChar w:fldCharType="end"/>
      </w:r>
      <w:r>
        <w:t>). Thus, before complicating your encoding in an attempt to represent an untidy original document’s structure, consider whether doing so serves a useful purpose.</w:t>
      </w:r>
    </w:p>
    <w:p w14:paraId="73BBFD86" w14:textId="77777777">
      <w:pPr>
        <w:pStyle w:val="Cmsor4"/>
      </w:pPr>
      <w:bookmarkStart w:id="361" w:name="_Ref182813737"/>
      <w:bookmarkStart w:id="362" w:name="_Ref225860329"/>
      <w:r>
        <w:t xml:space="preserve">Features inadvertently splitting </w:t>
      </w:r>
      <w:r>
        <w:rPr>
          <w:rStyle w:val="Foreign"/>
        </w:rPr>
        <w:t>akṣara</w:t>
      </w:r>
      <w:r>
        <w:rPr>
          <w:rStyle w:val="Foreign"/>
          <w:i w:val="0"/>
          <w:iCs w:val="0"/>
        </w:rPr>
        <w:t>s</w:t>
      </w:r>
      <w:bookmarkEnd w:id="361"/>
    </w:p>
    <w:p w14:paraId="0DF9FBCA" w14:textId="77777777">
      <w:r>
        <w:t>Three-dimensional features of the support, such as a crack, may split a glyph inadvertently. When the feature is encoded as a partition (usually a gridlike one, possibly a pagelike one), then the graphemes of the text need to be assigned to one side of the partition or another. Such a situation must be handled differently from cases where a theoretically atomic glyph was deliberately split into parts by the engraver in order to accommodate a feature, for which see §</w:t>
      </w:r>
      <w:r>
        <w:fldChar w:fldCharType="begin"/>
      </w:r>
      <w:r>
        <w:instrText xml:space="preserve"> REF _Ref43987165 \r \h </w:instrText>
      </w:r>
      <w:r>
        <w:fldChar w:fldCharType="separate"/>
      </w:r>
      <w:r>
        <w:t>5.1.4</w:t>
      </w:r>
      <w:r>
        <w:fldChar w:fldCharType="end"/>
      </w:r>
      <w:r>
        <w:t xml:space="preserve">. For inadvertently split glyphs, make a case-by-case decision based on the following guidelines. </w:t>
      </w:r>
    </w:p>
    <w:p w14:paraId="4A3D1C78" w14:textId="77777777">
      <w:pPr>
        <w:pStyle w:val="Lista"/>
      </w:pPr>
      <w:r>
        <w:t>by default, treat the partition as if it did not split any glyphs, and thus</w:t>
      </w:r>
    </w:p>
    <w:p w14:paraId="257A0841" w14:textId="77777777">
      <w:pPr>
        <w:pStyle w:val="Lista2"/>
      </w:pPr>
      <w:r>
        <w:lastRenderedPageBreak/>
        <w:t>if all or most of a line is split in a largely horizontal direction by a pagelike partition, arbitrarily assign the entire line to the side on which there is more of it and encode the partition before or after that line as applicable (see also §</w:t>
      </w:r>
      <w:r>
        <w:fldChar w:fldCharType="begin"/>
      </w:r>
      <w:r>
        <w:instrText xml:space="preserve"> REF _Ref182836682 \r \h </w:instrText>
      </w:r>
      <w:r>
        <w:fldChar w:fldCharType="separate"/>
      </w:r>
      <w:r>
        <w:t>4.7.6.4</w:t>
      </w:r>
      <w:r>
        <w:fldChar w:fldCharType="end"/>
      </w:r>
      <w:r>
        <w:t>)</w:t>
      </w:r>
    </w:p>
    <w:p w14:paraId="559B653A" w14:textId="77777777">
      <w:pPr>
        <w:pStyle w:val="Lista2"/>
      </w:pPr>
      <w:r>
        <w:t xml:space="preserve">if an </w:t>
      </w:r>
      <w:r>
        <w:rPr>
          <w:rStyle w:val="Foreign"/>
        </w:rPr>
        <w:t>akṣara</w:t>
      </w:r>
      <w:r>
        <w:t xml:space="preserve"> is split in a largely vertical direction by a gridlike partition as in </w:t>
      </w:r>
      <w:r>
        <w:fldChar w:fldCharType="begin"/>
      </w:r>
      <w:r>
        <w:instrText xml:space="preserve"> REF _Ref182386652 \h </w:instrText>
      </w:r>
      <w:r>
        <w:fldChar w:fldCharType="separate"/>
      </w:r>
      <w:r>
        <w:t xml:space="preserve">Exhibit </w:t>
      </w:r>
      <w:r>
        <w:rPr>
          <w:noProof/>
        </w:rPr>
        <w:t>4.7</w:t>
      </w:r>
      <w:r>
        <w:t>.</w:t>
      </w:r>
      <w:r>
        <w:rPr>
          <w:noProof/>
        </w:rPr>
        <w:t>S</w:t>
      </w:r>
      <w:r>
        <w:fldChar w:fldCharType="end"/>
      </w:r>
      <w:r>
        <w:t xml:space="preserve">, arbitrarily assign the entire </w:t>
      </w:r>
      <w:r>
        <w:rPr>
          <w:rStyle w:val="Foreign"/>
        </w:rPr>
        <w:t>akṣara</w:t>
      </w:r>
      <w:r>
        <w:t xml:space="preserve"> to the side on which there is more of it and encode the partition before or after that </w:t>
      </w:r>
      <w:r>
        <w:rPr>
          <w:rStyle w:val="Foreign"/>
        </w:rPr>
        <w:t>akṣara</w:t>
      </w:r>
      <w:r>
        <w:t xml:space="preserve"> as applicable</w:t>
      </w:r>
    </w:p>
    <w:p w14:paraId="45874414" w14:textId="77777777">
      <w:pPr>
        <w:pStyle w:val="Lista3"/>
      </w:pPr>
      <w:r>
        <w:t xml:space="preserve">if the split is more or less equal, make your choice based on the diagnostically more useful part of the </w:t>
      </w:r>
      <w:r>
        <w:rPr>
          <w:rStyle w:val="Foreign"/>
        </w:rPr>
        <w:t>akṣara</w:t>
      </w:r>
      <w:r>
        <w:t xml:space="preserve"> and/or the location of morpheme boundaries</w:t>
      </w:r>
    </w:p>
    <w:p w14:paraId="714B7D38" w14:textId="77777777">
      <w:pPr>
        <w:pStyle w:val="Lista"/>
      </w:pPr>
      <w:r>
        <w:t xml:space="preserve">however, if the feature is sufficiently fine and great accuracy is desirable, individual graphs (which correspond to individual graphemes and are thus separable in transliteration) may be allocated to one side as in or another even if they belong to a single glyph of the original, as in </w:t>
      </w:r>
      <w:r>
        <w:fldChar w:fldCharType="begin"/>
      </w:r>
      <w:r>
        <w:instrText xml:space="preserve"> REF _Ref225864286 \h </w:instrText>
      </w:r>
      <w:r>
        <w:fldChar w:fldCharType="separate"/>
      </w:r>
      <w:r>
        <w:t xml:space="preserve">Exhibit </w:t>
      </w:r>
      <w:r>
        <w:rPr>
          <w:noProof/>
        </w:rPr>
        <w:t>4.7</w:t>
      </w:r>
      <w:r>
        <w:t>.</w:t>
      </w:r>
      <w:r>
        <w:rPr>
          <w:noProof/>
        </w:rPr>
        <w:t>T</w:t>
      </w:r>
      <w:r>
        <w:fldChar w:fldCharType="end"/>
      </w:r>
    </w:p>
    <w:p w14:paraId="780FB1E5" w14:textId="77777777">
      <w:pPr>
        <w:pStyle w:val="Lista2"/>
      </w:pPr>
      <w:r>
        <w:t>the conditions for allocating a grapheme to a particular side of a feature are</w:t>
      </w:r>
    </w:p>
    <w:p w14:paraId="0D289568" w14:textId="77777777">
      <w:pPr>
        <w:pStyle w:val="Lista3"/>
      </w:pPr>
      <w:r>
        <w:t>that the original graph is, or can be reconstructed as being, wholly or mostly on that side</w:t>
      </w:r>
    </w:p>
    <w:p w14:paraId="68F869F5" w14:textId="77777777">
      <w:pPr>
        <w:pStyle w:val="Lista3"/>
      </w:pPr>
      <w:r>
        <w:t>that the graphic sequence of the graphs corresponds to the reading sequence</w:t>
      </w:r>
    </w:p>
    <w:p w14:paraId="1D05B82B" w14:textId="77777777">
      <w:pPr>
        <w:pStyle w:val="Lista4"/>
      </w:pPr>
      <w:r>
        <w:t xml:space="preserve">thus, a superscript preconsonantal </w:t>
      </w:r>
      <w:r>
        <w:rPr>
          <w:rStyle w:val="Foreign"/>
        </w:rPr>
        <w:t>r</w:t>
      </w:r>
      <w:r>
        <w:t xml:space="preserve"> or a prescript </w:t>
      </w:r>
      <w:r>
        <w:rPr>
          <w:rStyle w:val="Foreign"/>
        </w:rPr>
        <w:t>e</w:t>
      </w:r>
      <w:r>
        <w:t xml:space="preserve"> cannot be allocated to a side other than that of the primary consonant of an </w:t>
      </w:r>
      <w:r>
        <w:rPr>
          <w:rStyle w:val="Foreign"/>
        </w:rPr>
        <w:t>akṣara</w:t>
      </w:r>
    </w:p>
    <w:p w14:paraId="7F770D21" w14:textId="77777777">
      <w:pPr>
        <w:pStyle w:val="Lista2"/>
      </w:pPr>
      <w:r>
        <w:t xml:space="preserve">graphs which are split into more or less equal parts by the feature should still be allocated arbitrarily to one side of the milestone or the other, on the basis of considerations such as the location of the larger or diagnostically more useful part of the </w:t>
      </w:r>
      <w:r>
        <w:rPr>
          <w:rStyle w:val="Foreign"/>
        </w:rPr>
        <w:t>akṣara</w:t>
      </w:r>
      <w:r>
        <w:t xml:space="preserve"> and the location of morpheme boundaries</w:t>
      </w:r>
    </w:p>
    <w:p w14:paraId="153F9E15" w14:textId="77777777">
      <w:pPr>
        <w:pStyle w:val="Lista"/>
      </w:pPr>
      <w:r>
        <w:t>whichever way you allocate the transliterated graphemes vis-à-vis the feature, word interruption (§</w:t>
      </w:r>
      <w:r>
        <w:fldChar w:fldCharType="begin"/>
      </w:r>
      <w:r>
        <w:instrText xml:space="preserve"> REF _Ref225519777 \r \h </w:instrText>
      </w:r>
      <w:r>
        <w:fldChar w:fldCharType="separate"/>
      </w:r>
      <w:r>
        <w:t>4.3.2.1</w:t>
      </w:r>
      <w:r>
        <w:fldChar w:fldCharType="end"/>
      </w:r>
      <w:r>
        <w:t>) shall be encoded on the basis your allocation; thus,</w:t>
      </w:r>
    </w:p>
    <w:p w14:paraId="44A03F1B" w14:textId="77777777">
      <w:pPr>
        <w:pStyle w:val="Lista2"/>
      </w:pPr>
      <w:r>
        <w:rPr>
          <w:rStyle w:val="Codeattribute"/>
        </w:rPr>
        <w:t>@break=</w:t>
      </w:r>
      <w:r>
        <w:rPr>
          <w:rStyle w:val="Codevalue"/>
        </w:rPr>
        <w:t>"no"</w:t>
      </w:r>
      <w:r>
        <w:t xml:space="preserve"> is not required just because the feature splits a glyph</w:t>
      </w:r>
    </w:p>
    <w:p w14:paraId="52A1C07B" w14:textId="77777777">
      <w:pPr>
        <w:pStyle w:val="Lista2"/>
      </w:pPr>
      <w:r>
        <w:rPr>
          <w:rStyle w:val="Codeattribute"/>
        </w:rPr>
        <w:t>@break=</w:t>
      </w:r>
      <w:r>
        <w:rPr>
          <w:rStyle w:val="Codevalue"/>
        </w:rPr>
        <w:t>"no"</w:t>
      </w:r>
      <w:r>
        <w:t xml:space="preserve"> is required when the encoded milestone interrupts a word</w:t>
      </w:r>
    </w:p>
    <w:tbl>
      <w:tblPr>
        <w:tblStyle w:val="CodeSampleTable"/>
        <w:tblW w:w="5000" w:type="pct"/>
        <w:tblLook w:val="04A0" w:firstRow="1" w:lastRow="0" w:firstColumn="1" w:lastColumn="0" w:noHBand="0" w:noVBand="1"/>
      </w:tblPr>
      <w:tblGrid>
        <w:gridCol w:w="6393"/>
        <w:gridCol w:w="3235"/>
      </w:tblGrid>
      <w:tr w14:paraId="25DC8F21"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22620813" w14:textId="77777777">
            <w:pPr>
              <w:pStyle w:val="Kpalrs"/>
            </w:pPr>
            <w:bookmarkStart w:id="363" w:name="_Ref182386652"/>
            <w:bookmarkStart w:id="364" w:name="_Ref182386649"/>
            <w:r>
              <w:t xml:space="preserve">Exhibit </w:t>
            </w:r>
            <w:fldSimple w:instr=" STYLEREF 2 \s ">
              <w:r>
                <w:rPr>
                  <w:noProof/>
                </w:rPr>
                <w:t>4.7</w:t>
              </w:r>
            </w:fldSimple>
            <w:r>
              <w:t>.</w:t>
            </w:r>
            <w:fldSimple w:instr=" SEQ Exhibit \* ALPHABETIC \s 2 ">
              <w:r>
                <w:rPr>
                  <w:noProof/>
                </w:rPr>
                <w:t>S</w:t>
              </w:r>
            </w:fldSimple>
            <w:bookmarkEnd w:id="363"/>
            <w:r>
              <w:t>: glyph split by a gridlike feature</w:t>
            </w:r>
            <w:bookmarkEnd w:id="364"/>
            <w:r>
              <w:t xml:space="preserve"> and allocated to one side</w:t>
            </w:r>
          </w:p>
        </w:tc>
      </w:tr>
      <w:tr w14:paraId="5FC621E1" w14:textId="77777777">
        <w:trPr>
          <w:trHeight w:val="516"/>
        </w:trPr>
        <w:tc>
          <w:tcPr>
            <w:tcW w:w="3320" w:type="pct"/>
            <w:tcBorders>
              <w:right w:val="single" w:sz="4" w:space="0" w:color="auto"/>
            </w:tcBorders>
          </w:tcPr>
          <w:p w14:paraId="196BB0BE" w14:textId="77777777">
            <w:pPr>
              <w:pStyle w:val="CodeParagraph"/>
              <w:keepNext/>
              <w:rPr>
                <w:rStyle w:val="Codetext"/>
              </w:rPr>
            </w:pPr>
            <w:r>
              <w:rPr>
                <w:rStyle w:val="Codetext"/>
              </w:rPr>
              <w:t xml:space="preserve">... piṅul· </w:t>
            </w:r>
            <w:r>
              <w:rPr>
                <w:rStyle w:val="Code"/>
              </w:rPr>
              <w:t xml:space="preserve">&lt;milestone </w:t>
            </w:r>
            <w:r>
              <w:rPr>
                <w:rStyle w:val="Codeattribute"/>
              </w:rPr>
              <w:t>unit=</w:t>
            </w:r>
            <w:r>
              <w:rPr>
                <w:rStyle w:val="Codevalue"/>
              </w:rPr>
              <w:t>"fragment"</w:t>
            </w:r>
            <w:r>
              <w:rPr>
                <w:rStyle w:val="Code"/>
              </w:rPr>
              <w:t xml:space="preserve"> </w:t>
            </w:r>
            <w:r>
              <w:rPr>
                <w:rStyle w:val="Codeattribute"/>
              </w:rPr>
              <w:t>n=</w:t>
            </w:r>
            <w:r>
              <w:rPr>
                <w:rStyle w:val="Codevalue"/>
              </w:rPr>
              <w:t>"2"</w:t>
            </w:r>
            <w:r>
              <w:rPr>
                <w:rStyle w:val="Code"/>
              </w:rPr>
              <w:t>/&gt;</w:t>
            </w:r>
            <w:r>
              <w:rPr>
                <w:rStyle w:val="Codetext"/>
              </w:rPr>
              <w:t xml:space="preserve"> </w:t>
            </w:r>
            <w:r>
              <w:rPr>
                <w:rStyle w:val="Code"/>
              </w:rPr>
              <w:t>&lt;unclear&gt;</w:t>
            </w:r>
            <w:r>
              <w:rPr>
                <w:rStyle w:val="Codetext"/>
              </w:rPr>
              <w:t>hu</w:t>
            </w:r>
            <w:r>
              <w:rPr>
                <w:rStyle w:val="Code"/>
              </w:rPr>
              <w:t>&lt;/unclear&gt;</w:t>
            </w:r>
            <w:r>
              <w:rPr>
                <w:rStyle w:val="Codetext"/>
              </w:rPr>
              <w:t>ler· ...</w:t>
            </w:r>
          </w:p>
        </w:tc>
        <w:tc>
          <w:tcPr>
            <w:tcW w:w="1680" w:type="pct"/>
            <w:vMerge w:val="restart"/>
            <w:tcBorders>
              <w:left w:val="single" w:sz="4" w:space="0" w:color="auto"/>
            </w:tcBorders>
            <w:vAlign w:val="center"/>
          </w:tcPr>
          <w:p w14:paraId="53683500" w14:textId="77777777">
            <w:pPr>
              <w:pStyle w:val="Image"/>
            </w:pPr>
            <w:r>
              <w:drawing>
                <wp:inline distT="0" distB="0" distL="0" distR="0" wp14:anchorId="4AE9D986" wp14:editId="084ABF40">
                  <wp:extent cx="2048400" cy="763200"/>
                  <wp:effectExtent l="0" t="0" r="0" b="0"/>
                  <wp:docPr id="55957252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048400" cy="763200"/>
                          </a:xfrm>
                          <a:prstGeom prst="rect">
                            <a:avLst/>
                          </a:prstGeom>
                          <a:noFill/>
                          <a:ln>
                            <a:noFill/>
                          </a:ln>
                        </pic:spPr>
                      </pic:pic>
                    </a:graphicData>
                  </a:graphic>
                </wp:inline>
              </w:drawing>
            </w:r>
          </w:p>
        </w:tc>
      </w:tr>
      <w:tr w14:paraId="634BCDE9" w14:textId="77777777">
        <w:trPr>
          <w:trHeight w:val="516"/>
        </w:trPr>
        <w:tc>
          <w:tcPr>
            <w:tcW w:w="3320" w:type="pct"/>
            <w:tcBorders>
              <w:right w:val="single" w:sz="4" w:space="0" w:color="auto"/>
            </w:tcBorders>
          </w:tcPr>
          <w:p w14:paraId="4F0EAF9F" w14:textId="77777777">
            <w:pPr>
              <w:pStyle w:val="TableNote"/>
              <w:keepNext/>
            </w:pPr>
            <w:r>
              <w:t xml:space="preserve">the glyph </w:t>
            </w:r>
            <w:r>
              <w:rPr>
                <w:rStyle w:val="Foreign"/>
              </w:rPr>
              <w:t>hu</w:t>
            </w:r>
            <w:r>
              <w:t xml:space="preserve"> is split in roughly equal parts by a vertical crack</w:t>
            </w:r>
          </w:p>
          <w:p w14:paraId="01743C69" w14:textId="77777777">
            <w:pPr>
              <w:pStyle w:val="TableNote"/>
              <w:keepNext/>
            </w:pPr>
            <w:r>
              <w:t xml:space="preserve">most of this glyph is to the right of the crack, and this glyph is the beginning of a word, so the entire transliteration has been placed to the right of the milestone, which does not take </w:t>
            </w:r>
            <w:r>
              <w:rPr>
                <w:rStyle w:val="Codeattribute"/>
              </w:rPr>
              <w:t>@break=</w:t>
            </w:r>
            <w:r>
              <w:rPr>
                <w:rStyle w:val="Codevalue"/>
              </w:rPr>
              <w:t>"no"</w:t>
            </w:r>
          </w:p>
        </w:tc>
        <w:tc>
          <w:tcPr>
            <w:tcW w:w="1680" w:type="pct"/>
            <w:vMerge/>
            <w:tcBorders>
              <w:left w:val="single" w:sz="4" w:space="0" w:color="auto"/>
            </w:tcBorders>
            <w:vAlign w:val="bottom"/>
          </w:tcPr>
          <w:p w14:paraId="633E2CDC" w14:textId="77777777">
            <w:pPr>
              <w:pStyle w:val="Image"/>
            </w:pPr>
          </w:p>
        </w:tc>
      </w:tr>
    </w:tbl>
    <w:p w14:paraId="6E274EB7" w14:textId="77777777"/>
    <w:tbl>
      <w:tblPr>
        <w:tblStyle w:val="CodeSampleTable"/>
        <w:tblW w:w="5000" w:type="pct"/>
        <w:tblLook w:val="04A0" w:firstRow="1" w:lastRow="0" w:firstColumn="1" w:lastColumn="0" w:noHBand="0" w:noVBand="1"/>
      </w:tblPr>
      <w:tblGrid>
        <w:gridCol w:w="6393"/>
        <w:gridCol w:w="3235"/>
      </w:tblGrid>
      <w:tr w14:paraId="29CF8216" w14:textId="77777777">
        <w:trPr>
          <w:cnfStyle w:val="100000000000" w:firstRow="1" w:lastRow="0" w:firstColumn="0" w:lastColumn="0" w:oddVBand="0" w:evenVBand="0" w:oddHBand="0" w:evenHBand="0" w:firstRowFirstColumn="0" w:firstRowLastColumn="0" w:lastRowFirstColumn="0" w:lastRowLastColumn="0"/>
          <w:trHeight w:val="516"/>
        </w:trPr>
        <w:tc>
          <w:tcPr>
            <w:tcW w:w="5000" w:type="pct"/>
            <w:gridSpan w:val="2"/>
          </w:tcPr>
          <w:p w14:paraId="7503B1F9" w14:textId="77777777">
            <w:pPr>
              <w:pStyle w:val="Kpalrs"/>
            </w:pPr>
            <w:bookmarkStart w:id="365" w:name="_Ref225864286"/>
            <w:r>
              <w:t xml:space="preserve">Exhibit </w:t>
            </w:r>
            <w:fldSimple w:instr=" STYLEREF 2 \s ">
              <w:r>
                <w:rPr>
                  <w:noProof/>
                </w:rPr>
                <w:t>4.7</w:t>
              </w:r>
            </w:fldSimple>
            <w:r>
              <w:t>.</w:t>
            </w:r>
            <w:fldSimple w:instr=" SEQ Exhibit \* ALPHABETIC \s 2 ">
              <w:r>
                <w:rPr>
                  <w:noProof/>
                </w:rPr>
                <w:t>T</w:t>
              </w:r>
            </w:fldSimple>
            <w:bookmarkEnd w:id="365"/>
            <w:r>
              <w:t>: glyph split by a gridlike feature, graphemes individually allocated to sides</w:t>
            </w:r>
          </w:p>
        </w:tc>
      </w:tr>
      <w:tr w14:paraId="6945772C" w14:textId="77777777">
        <w:trPr>
          <w:trHeight w:val="548"/>
        </w:trPr>
        <w:tc>
          <w:tcPr>
            <w:tcW w:w="3320" w:type="pct"/>
            <w:tcBorders>
              <w:right w:val="single" w:sz="4" w:space="0" w:color="auto"/>
            </w:tcBorders>
          </w:tcPr>
          <w:p w14:paraId="18BE5DBC" w14:textId="77777777">
            <w:pPr>
              <w:pStyle w:val="CodeParagraph"/>
              <w:keepNext/>
              <w:rPr>
                <w:rStyle w:val="Codetext"/>
              </w:rPr>
            </w:pPr>
            <w:r>
              <w:rPr>
                <w:rStyle w:val="Codetext"/>
              </w:rPr>
              <w:t>... Ika</w:t>
            </w:r>
            <w:r>
              <w:rPr>
                <w:rStyle w:val="Code"/>
              </w:rPr>
              <w:t>&lt;unclear&gt;</w:t>
            </w:r>
            <w:r>
              <w:rPr>
                <w:rStyle w:val="Codetext"/>
              </w:rPr>
              <w:t>na</w:t>
            </w:r>
            <w:r>
              <w:rPr>
                <w:rStyle w:val="Code"/>
              </w:rPr>
              <w:t xml:space="preserve">&lt;/unclear&gt;&lt;milestone </w:t>
            </w:r>
            <w:r>
              <w:rPr>
                <w:rStyle w:val="Codeattribute"/>
              </w:rPr>
              <w:t>unit=</w:t>
            </w:r>
            <w:r>
              <w:rPr>
                <w:rStyle w:val="Codevalue"/>
              </w:rPr>
              <w:t>"fragment"</w:t>
            </w:r>
            <w:r>
              <w:rPr>
                <w:rStyle w:val="Code"/>
              </w:rPr>
              <w:t xml:space="preserve"> </w:t>
            </w:r>
            <w:r>
              <w:rPr>
                <w:rStyle w:val="Codeattribute"/>
              </w:rPr>
              <w:t>n=</w:t>
            </w:r>
            <w:r>
              <w:rPr>
                <w:rStyle w:val="Codevalue"/>
              </w:rPr>
              <w:t>"2"</w:t>
            </w:r>
            <w:r>
              <w:rPr>
                <w:rStyle w:val="Code"/>
              </w:rPr>
              <w:t xml:space="preserve"> </w:t>
            </w:r>
            <w:r>
              <w:rPr>
                <w:rStyle w:val="Codeattribute"/>
              </w:rPr>
              <w:t>break=</w:t>
            </w:r>
            <w:r>
              <w:rPr>
                <w:rStyle w:val="Codevalue"/>
              </w:rPr>
              <w:t>"no"</w:t>
            </w:r>
            <w:r>
              <w:rPr>
                <w:rStyle w:val="Code"/>
              </w:rPr>
              <w:t>/&gt;&lt;unclear&gt;</w:t>
            </w:r>
            <w:r>
              <w:rPr>
                <w:rStyle w:val="Codetext"/>
              </w:rPr>
              <w:t>ṁ</w:t>
            </w:r>
            <w:r>
              <w:rPr>
                <w:rStyle w:val="Code"/>
              </w:rPr>
              <w:t>&lt;/unclear&gt;</w:t>
            </w:r>
            <w:r>
              <w:rPr>
                <w:rStyle w:val="Codetext"/>
              </w:rPr>
              <w:t xml:space="preserve"> patiḥ ...</w:t>
            </w:r>
          </w:p>
        </w:tc>
        <w:tc>
          <w:tcPr>
            <w:tcW w:w="1680" w:type="pct"/>
            <w:vMerge w:val="restart"/>
            <w:tcBorders>
              <w:left w:val="single" w:sz="4" w:space="0" w:color="auto"/>
            </w:tcBorders>
            <w:vAlign w:val="center"/>
          </w:tcPr>
          <w:p w14:paraId="5A1EC3AC" w14:textId="77777777">
            <w:pPr>
              <w:pStyle w:val="Image"/>
            </w:pPr>
            <w:r>
              <w:drawing>
                <wp:inline distT="0" distB="0" distL="0" distR="0" wp14:anchorId="3697BE5C" wp14:editId="766EAD87">
                  <wp:extent cx="1641600" cy="820800"/>
                  <wp:effectExtent l="0" t="0" r="0" b="0"/>
                  <wp:docPr id="172161797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flipH="1">
                            <a:off x="0" y="0"/>
                            <a:ext cx="1641600" cy="820800"/>
                          </a:xfrm>
                          <a:prstGeom prst="rect">
                            <a:avLst/>
                          </a:prstGeom>
                          <a:noFill/>
                          <a:ln>
                            <a:noFill/>
                          </a:ln>
                        </pic:spPr>
                      </pic:pic>
                    </a:graphicData>
                  </a:graphic>
                </wp:inline>
              </w:drawing>
            </w:r>
          </w:p>
        </w:tc>
      </w:tr>
      <w:tr w14:paraId="53AB6FB8" w14:textId="77777777">
        <w:trPr>
          <w:trHeight w:val="548"/>
        </w:trPr>
        <w:tc>
          <w:tcPr>
            <w:tcW w:w="3320" w:type="pct"/>
            <w:tcBorders>
              <w:right w:val="single" w:sz="4" w:space="0" w:color="auto"/>
            </w:tcBorders>
          </w:tcPr>
          <w:p w14:paraId="28F9BD16" w14:textId="77777777">
            <w:pPr>
              <w:pStyle w:val="TableNote"/>
            </w:pPr>
            <w:r>
              <w:t xml:space="preserve">the glyph </w:t>
            </w:r>
            <w:r>
              <w:rPr>
                <w:rStyle w:val="Foreign"/>
              </w:rPr>
              <w:t>naṁ</w:t>
            </w:r>
            <w:r>
              <w:t xml:space="preserve"> is split and partly obliterated by a vertical crack</w:t>
            </w:r>
          </w:p>
          <w:p w14:paraId="0FD7B044" w14:textId="77777777">
            <w:pPr>
              <w:pStyle w:val="TableNote"/>
              <w:rPr>
                <w:rStyle w:val="Codetext"/>
                <w:rFonts w:ascii="Calibri" w:hAnsi="Calibri" w:cs="Arial Unicode MS"/>
                <w:noProof w:val="0"/>
                <w:color w:val="auto"/>
                <w:shd w:val="clear" w:color="auto" w:fill="auto"/>
              </w:rPr>
            </w:pPr>
            <w:r>
              <w:t xml:space="preserve">the </w:t>
            </w:r>
            <w:r>
              <w:rPr>
                <w:rStyle w:val="Foreign"/>
              </w:rPr>
              <w:t>anusvāra</w:t>
            </w:r>
            <w:r>
              <w:t xml:space="preserve"> is (or would have been) definitely to the right of the crack, while the body </w:t>
            </w:r>
            <w:r>
              <w:rPr>
                <w:rStyle w:val="Foreign"/>
              </w:rPr>
              <w:t>na</w:t>
            </w:r>
            <w:r>
              <w:t xml:space="preserve"> has been arbitrarily allocated to the left of the milestone, which needs </w:t>
            </w:r>
            <w:r>
              <w:rPr>
                <w:rStyle w:val="Codeattribute"/>
              </w:rPr>
              <w:t>@break=</w:t>
            </w:r>
            <w:r>
              <w:rPr>
                <w:rStyle w:val="Codevalue"/>
              </w:rPr>
              <w:t>"no"</w:t>
            </w:r>
          </w:p>
        </w:tc>
        <w:tc>
          <w:tcPr>
            <w:tcW w:w="1680" w:type="pct"/>
            <w:vMerge/>
            <w:tcBorders>
              <w:left w:val="single" w:sz="4" w:space="0" w:color="auto"/>
            </w:tcBorders>
            <w:vAlign w:val="bottom"/>
          </w:tcPr>
          <w:p w14:paraId="6091C7D0" w14:textId="77777777">
            <w:pPr>
              <w:pStyle w:val="Image"/>
            </w:pPr>
          </w:p>
        </w:tc>
      </w:tr>
    </w:tbl>
    <w:p w14:paraId="72E9DB07" w14:textId="77777777">
      <w:pPr>
        <w:pStyle w:val="Cmsor4"/>
      </w:pPr>
      <w:r>
        <w:t>Features splitting only some lines of an inscription</w:t>
      </w:r>
      <w:bookmarkEnd w:id="362"/>
    </w:p>
    <w:p w14:paraId="4AD63A71" w14:textId="4EFB1461">
      <w:r>
        <w:t>Recall from §</w:t>
      </w:r>
      <w:r>
        <w:fldChar w:fldCharType="begin"/>
      </w:r>
      <w:r>
        <w:instrText xml:space="preserve"> REF _Ref182923075 \r \h </w:instrText>
      </w:r>
      <w:r>
        <w:fldChar w:fldCharType="separate"/>
      </w:r>
      <w:r>
        <w:t>4.1</w:t>
      </w:r>
      <w:r>
        <w:fldChar w:fldCharType="end"/>
      </w:r>
      <w:r>
        <w:t xml:space="preserve"> that gridlike partitions represent the lowest tier of the hierarchy of extrinsic structure, and that the scope of a milestone is understood to be up to the point where a partition of the same, or a higher, tier occurs. The logical consequence of this is that when a grid covers the entirety of an inscription, the milestones for each cell of the grid must be present in each epigraphic line of the edition (or the textpart division). Sometimes, however, a grid applies only to part of the inscribed campus, as in </w:t>
      </w:r>
      <w:r>
        <w:fldChar w:fldCharType="begin"/>
      </w:r>
      <w:r>
        <w:instrText xml:space="preserve"> REF _Ref182834409 \h </w:instrText>
      </w:r>
      <w:r>
        <w:fldChar w:fldCharType="separate"/>
      </w:r>
      <w:r>
        <w:t xml:space="preserve">Exhibit </w:t>
      </w:r>
      <w:r>
        <w:rPr>
          <w:noProof/>
        </w:rPr>
        <w:t>4.7</w:t>
      </w:r>
      <w:r>
        <w:t>.</w:t>
      </w:r>
      <w:r>
        <w:rPr>
          <w:noProof/>
        </w:rPr>
        <w:t>U</w:t>
      </w:r>
      <w:r>
        <w:fldChar w:fldCharType="end"/>
      </w:r>
      <w:r>
        <w:t xml:space="preserve">. In order to reduce code clutter and encoding burden, in this latter case we use milestone elements only in the specific lines which are directly affected by the feature represented by the milestone. It will be understood in such a case that the partition applies only to the lines where it is encoded. If the inscription is fragmented, then lines without an encoded partition will be assumed to be on the largest adjacent fragment. Multiple irregular fragments shall be encoded in the same manner: lines not affected by the fragmentation need no </w:t>
      </w:r>
      <w:r>
        <w:lastRenderedPageBreak/>
        <w:t>gridlike milestones, while affected lines need as many milestones as the number of separate fragments across which the line in question continues.</w:t>
      </w:r>
    </w:p>
    <w:tbl>
      <w:tblPr>
        <w:tblStyle w:val="CodeSampleTable"/>
        <w:tblW w:w="5000" w:type="pct"/>
        <w:tblLook w:val="04A0" w:firstRow="1" w:lastRow="0" w:firstColumn="1" w:lastColumn="0" w:noHBand="0" w:noVBand="1"/>
      </w:tblPr>
      <w:tblGrid>
        <w:gridCol w:w="9628"/>
      </w:tblGrid>
      <w:tr w14:paraId="1442B12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8CEBE7" w14:textId="77777777">
            <w:pPr>
              <w:pStyle w:val="Kpalrs"/>
            </w:pPr>
            <w:bookmarkStart w:id="366" w:name="_Ref182834409"/>
            <w:r>
              <w:t xml:space="preserve">Exhibit </w:t>
            </w:r>
            <w:fldSimple w:instr=" STYLEREF 2 \s ">
              <w:r>
                <w:rPr>
                  <w:noProof/>
                </w:rPr>
                <w:t>4.7</w:t>
              </w:r>
            </w:fldSimple>
            <w:r>
              <w:t>.</w:t>
            </w:r>
            <w:fldSimple w:instr=" SEQ Exhibit \* ALPHABETIC \s 2 ">
              <w:r>
                <w:rPr>
                  <w:noProof/>
                </w:rPr>
                <w:t>U</w:t>
              </w:r>
            </w:fldSimple>
            <w:bookmarkEnd w:id="366"/>
            <w:r>
              <w:t>: gridlike milestones in only some of the lines</w:t>
            </w:r>
          </w:p>
        </w:tc>
      </w:tr>
      <w:tr w14:paraId="5D86C014" w14:textId="77777777">
        <w:tc>
          <w:tcPr>
            <w:tcW w:w="5000" w:type="pct"/>
            <w:vAlign w:val="center"/>
          </w:tcPr>
          <w:p w14:paraId="5D92A312" w14:textId="77777777">
            <w:pPr>
              <w:pStyle w:val="Image"/>
            </w:pPr>
            <w:r>
              <w:drawing>
                <wp:inline distT="0" distB="0" distL="0" distR="0" wp14:anchorId="0F0419A5" wp14:editId="2ACC8D7D">
                  <wp:extent cx="5397500" cy="1480820"/>
                  <wp:effectExtent l="0" t="0" r="0" b="5080"/>
                  <wp:docPr id="52" name="Kép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65F491FF" w14:textId="77777777">
        <w:tc>
          <w:tcPr>
            <w:tcW w:w="5000" w:type="pct"/>
          </w:tcPr>
          <w:p w14:paraId="1583B79A" w14:textId="77777777">
            <w:pPr>
              <w:pStyle w:val="CodeParagraph"/>
              <w:keepNext/>
              <w:rPr>
                <w:rStyle w:val="Code"/>
              </w:rPr>
            </w:pPr>
            <w:r>
              <w:rPr>
                <w:rStyle w:val="Code"/>
              </w:rPr>
              <w:t>&lt;p&gt;</w:t>
            </w:r>
          </w:p>
          <w:p w14:paraId="79275DD7"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 xml:space="preserve">and </w:t>
            </w:r>
            <w:r>
              <w:rPr>
                <w:rStyle w:val="Code"/>
              </w:rPr>
              <w:t xml:space="preserve">&lt;milestone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"b"</w:t>
            </w:r>
            <w:r>
              <w:rPr>
                <w:rStyle w:val="Code"/>
              </w:rPr>
              <w:t>&gt;</w:t>
            </w:r>
            <w:r>
              <w:rPr>
                <w:rStyle w:val="Codetext"/>
              </w:rPr>
              <w:t>an oozy smell, nor yet a dry, bare, sandy hole</w:t>
            </w:r>
            <w:r>
              <w:rPr>
                <w:rStyle w:val="Codetext"/>
              </w:rPr>
              <w:br/>
            </w:r>
            <w:r>
              <w:rPr>
                <w:rStyle w:val="Code"/>
              </w:rPr>
              <w:t xml:space="preserve">  &lt;lb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with not</w:t>
            </w:r>
            <w:r>
              <w:rPr>
                <w:rStyle w:val="Code"/>
              </w:rPr>
              <w:t xml:space="preserve">&lt;milestone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 xml:space="preserve">"b" </w:t>
            </w:r>
            <w:r>
              <w:rPr>
                <w:rStyle w:val="Codeattribute"/>
              </w:rPr>
              <w:t>break</w:t>
            </w:r>
            <w:r>
              <w:rPr>
                <w:rStyle w:val="Code"/>
              </w:rPr>
              <w:t>=</w:t>
            </w:r>
            <w:r>
              <w:rPr>
                <w:rStyle w:val="Codevalue"/>
              </w:rPr>
              <w:t>"no"</w:t>
            </w:r>
            <w:r>
              <w:rPr>
                <w:rStyle w:val="Code"/>
              </w:rPr>
              <w:t>&gt;&lt;unclear&gt;h&lt;/unclear&gt;</w:t>
            </w:r>
            <w:r>
              <w:rPr>
                <w:rStyle w:val="Codetext"/>
              </w:rPr>
              <w:t>ing in it to sit down on or to eat: it was a</w:t>
            </w:r>
          </w:p>
          <w:p w14:paraId="76480B92"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"a"</w:t>
            </w:r>
            <w:r>
              <w:rPr>
                <w:rStyle w:val="Code"/>
              </w:rPr>
              <w:t>&gt;</w:t>
            </w:r>
            <w:r>
              <w:rPr>
                <w:rStyle w:val="Codetext"/>
              </w:rPr>
              <w:t xml:space="preserve">hobbit-hole, </w:t>
            </w:r>
            <w:r>
              <w:rPr>
                <w:rStyle w:val="Code"/>
              </w:rPr>
              <w:t xml:space="preserve">&lt;unclear&gt;a&lt;/unclear&gt;&lt;milestone </w:t>
            </w:r>
            <w:r>
              <w:rPr>
                <w:rStyle w:val="Codeattribute"/>
              </w:rPr>
              <w:t>unit</w:t>
            </w:r>
            <w:r>
              <w:rPr>
                <w:rStyle w:val="Code"/>
              </w:rPr>
              <w:t>=</w:t>
            </w:r>
            <w:r>
              <w:rPr>
                <w:rStyle w:val="Codevalue"/>
              </w:rPr>
              <w:t xml:space="preserve">"fragment" </w:t>
            </w:r>
            <w:r>
              <w:rPr>
                <w:rStyle w:val="Codeattribute"/>
              </w:rPr>
              <w:t>n</w:t>
            </w:r>
            <w:r>
              <w:rPr>
                <w:rStyle w:val="Code"/>
              </w:rPr>
              <w:t>=</w:t>
            </w:r>
            <w:r>
              <w:rPr>
                <w:rStyle w:val="Codevalue"/>
              </w:rPr>
              <w:t>"b"</w:t>
            </w:r>
            <w:r>
              <w:rPr>
                <w:rStyle w:val="Codeattribute"/>
              </w:rPr>
              <w:t xml:space="preserve"> break</w:t>
            </w:r>
            <w:r>
              <w:rPr>
                <w:rStyle w:val="Code"/>
              </w:rPr>
              <w:t>=</w:t>
            </w:r>
            <w:r>
              <w:rPr>
                <w:rStyle w:val="Codevalue"/>
              </w:rPr>
              <w:t>"no"</w:t>
            </w:r>
            <w:r>
              <w:rPr>
                <w:rStyle w:val="Code"/>
              </w:rPr>
              <w:t>&gt;</w:t>
            </w:r>
            <w:r>
              <w:rPr>
                <w:rStyle w:val="Codetext"/>
              </w:rPr>
              <w:t>nd that means comfort.</w:t>
            </w:r>
          </w:p>
          <w:p w14:paraId="44F0D3A7" w14:textId="77777777">
            <w:pPr>
              <w:pStyle w:val="CodeParagraph"/>
              <w:keepNext/>
            </w:pPr>
            <w:r>
              <w:rPr>
                <w:rStyle w:val="Code"/>
              </w:rPr>
              <w:t>&lt;/p&gt;</w:t>
            </w:r>
          </w:p>
        </w:tc>
      </w:tr>
      <w:tr w14:paraId="73B34D99" w14:textId="77777777">
        <w:tc>
          <w:tcPr>
            <w:tcW w:w="5000" w:type="pct"/>
          </w:tcPr>
          <w:p w14:paraId="7291C5CA" w14:textId="77777777">
            <w:pPr>
              <w:pStyle w:val="TableNote"/>
            </w:pPr>
            <w:r>
              <w:t>the first two lines are not affected by fragmentation, so no gridlike milestones are encoded there</w:t>
            </w:r>
          </w:p>
          <w:p w14:paraId="5D5DD4A3" w14:textId="77777777">
            <w:pPr>
              <w:pStyle w:val="TableNote"/>
            </w:pPr>
            <w:r>
              <w:t>split glyphs are arbitrarily assigned to one side of the crack as per §</w:t>
            </w:r>
            <w:r>
              <w:fldChar w:fldCharType="begin"/>
            </w:r>
            <w:r>
              <w:instrText xml:space="preserve"> REF _Ref182813737 \r \h </w:instrText>
            </w:r>
            <w:r>
              <w:fldChar w:fldCharType="separate"/>
            </w:r>
            <w:r>
              <w:t>4.7.6.1</w:t>
            </w:r>
            <w:r>
              <w:fldChar w:fldCharType="end"/>
            </w:r>
          </w:p>
        </w:tc>
      </w:tr>
    </w:tbl>
    <w:p w14:paraId="40B4E55C" w14:textId="77777777">
      <w:pPr>
        <w:pStyle w:val="Cmsor4"/>
      </w:pPr>
      <w:r>
        <w:t>Missing pieces</w:t>
      </w:r>
    </w:p>
    <w:p w14:paraId="76CFE125" w14:textId="77777777">
      <w:r>
        <w:t xml:space="preserve">Just because a piece of an inscription has been lost, as in </w:t>
      </w:r>
      <w:r>
        <w:fldChar w:fldCharType="begin"/>
      </w:r>
      <w:r>
        <w:instrText xml:space="preserve"> REF _Ref182834107 \h </w:instrText>
      </w:r>
      <w:r>
        <w:fldChar w:fldCharType="separate"/>
      </w:r>
      <w:r>
        <w:t xml:space="preserve">Exhibit </w:t>
      </w:r>
      <w:r>
        <w:rPr>
          <w:noProof/>
        </w:rPr>
        <w:t>4.7</w:t>
      </w:r>
      <w:r>
        <w:t>.</w:t>
      </w:r>
      <w:r>
        <w:rPr>
          <w:noProof/>
        </w:rPr>
        <w:t>V</w:t>
      </w:r>
      <w:r>
        <w:fldChar w:fldCharType="end"/>
      </w:r>
      <w:r>
        <w:t>, there is no need to encode any kind of partition. As far as encoding is concerned, this is just another kind of lacuna, to be encoded according to §</w:t>
      </w:r>
      <w:r>
        <w:fldChar w:fldCharType="begin"/>
      </w:r>
      <w:r>
        <w:instrText xml:space="preserve"> REF _Ref228460110 \r \h </w:instrText>
      </w:r>
      <w:r>
        <w:fldChar w:fldCharType="separate"/>
      </w:r>
      <w:r>
        <w:t>6.5</w:t>
      </w:r>
      <w:r>
        <w:fldChar w:fldCharType="end"/>
      </w:r>
      <w:r>
        <w:t xml:space="preserve"> (with special considerations for massive lacunae in §</w:t>
      </w:r>
      <w:r>
        <w:fldChar w:fldCharType="begin"/>
      </w:r>
      <w:r>
        <w:instrText xml:space="preserve"> REF _Ref43981711 \r \h </w:instrText>
      </w:r>
      <w:r>
        <w:fldChar w:fldCharType="separate"/>
      </w:r>
      <w:r>
        <w:t>6.5.4</w:t>
      </w:r>
      <w:r>
        <w:fldChar w:fldCharType="end"/>
      </w:r>
      <w:r>
        <w:t xml:space="preserve">). If the lost piece is subsequently recovered and the digital inscription is updated accordingly, then partitions can (optionally) be encoded for the fragments, as in </w:t>
      </w:r>
      <w:r>
        <w:fldChar w:fldCharType="begin"/>
      </w:r>
      <w:r>
        <w:instrText xml:space="preserve"> REF _Ref182834409 \h </w:instrText>
      </w:r>
      <w:r>
        <w:fldChar w:fldCharType="separate"/>
      </w:r>
      <w:r>
        <w:t xml:space="preserve">Exhibit </w:t>
      </w:r>
      <w:r>
        <w:rPr>
          <w:noProof/>
        </w:rPr>
        <w:t>4.7</w:t>
      </w:r>
      <w:r>
        <w:t>.</w:t>
      </w:r>
      <w:r>
        <w:rPr>
          <w:noProof/>
        </w:rPr>
        <w:t>U</w:t>
      </w:r>
      <w:r>
        <w:fldChar w:fldCharType="end"/>
      </w:r>
      <w:r>
        <w:t xml:space="preserve"> above. </w:t>
      </w:r>
    </w:p>
    <w:p w14:paraId="1FFD49C5" w14:textId="77777777">
      <w:pPr>
        <w:pStyle w:val="Normlbehzs"/>
      </w:pPr>
      <w:r>
        <w:t xml:space="preserve">As a logical extension of this approach, if an inscription consists of two or more extant fragments while one or more further fragments are lost, as in </w:t>
      </w:r>
      <w:r>
        <w:fldChar w:fldCharType="begin"/>
      </w:r>
      <w:r>
        <w:instrText xml:space="preserve"> REF _Ref182834408 \h </w:instrText>
      </w:r>
      <w:r>
        <w:fldChar w:fldCharType="separate"/>
      </w:r>
      <w:r>
        <w:t xml:space="preserve">Exhibit </w:t>
      </w:r>
      <w:r>
        <w:rPr>
          <w:noProof/>
        </w:rPr>
        <w:t>4.7</w:t>
      </w:r>
      <w:r>
        <w:t>.</w:t>
      </w:r>
      <w:r>
        <w:rPr>
          <w:noProof/>
        </w:rPr>
        <w:t>W</w:t>
      </w:r>
      <w:r>
        <w:fldChar w:fldCharType="end"/>
      </w:r>
      <w:r>
        <w:t>, then partitions (if they are encoded) should be created only for the extant fragments. Thus:</w:t>
      </w:r>
    </w:p>
    <w:p w14:paraId="5303D1D3" w14:textId="77777777">
      <w:pPr>
        <w:pStyle w:val="Lista"/>
      </w:pPr>
      <w:r>
        <w:t>the lacunae representing the text belonging to a lost fragment, whether restored or not, shall be encoded as belonging to the adjacent extant fragment</w:t>
      </w:r>
    </w:p>
    <w:p w14:paraId="54955B86" w14:textId="77777777">
      <w:pPr>
        <w:pStyle w:val="Lista2"/>
      </w:pPr>
      <w:r>
        <w:t>if two sides of a lost fragment are adjacent to different extant fragments, arbitrarily pick one of the extant fragments (typically the earlier one) and encode the lacunae as belonging to that fragment</w:t>
      </w:r>
    </w:p>
    <w:p w14:paraId="00E515A6" w14:textId="77777777">
      <w:pPr>
        <w:pStyle w:val="Lista"/>
      </w:pPr>
      <w:r>
        <w:t>when the edges of lacunae are partially restored on the basis of the adjacent preserved text, feel free to allocate the restorations to the fragment which serves as the basis for restoration, even if the rest of the lacuna is allocated to another fragment</w:t>
      </w:r>
    </w:p>
    <w:p w14:paraId="6F7C3F58" w14:textId="77777777">
      <w:pPr>
        <w:pStyle w:val="Lista2"/>
      </w:pPr>
      <w:r>
        <w:t>in this case, word interruption (§</w:t>
      </w:r>
      <w:r>
        <w:fldChar w:fldCharType="begin"/>
      </w:r>
      <w:r>
        <w:instrText xml:space="preserve"> REF _Ref225519777 \r \h </w:instrText>
      </w:r>
      <w:r>
        <w:fldChar w:fldCharType="separate"/>
      </w:r>
      <w:r>
        <w:t>4.3.2.1</w:t>
      </w:r>
      <w:r>
        <w:fldChar w:fldCharType="end"/>
      </w:r>
      <w:r>
        <w:t>) shall be encoded on the basis your allocation of the milestone, not on that of the actual location of the fracture; thus,</w:t>
      </w:r>
    </w:p>
    <w:p w14:paraId="0C96FC19" w14:textId="77777777">
      <w:pPr>
        <w:pStyle w:val="Lista2"/>
      </w:pPr>
      <w:r>
        <w:rPr>
          <w:rStyle w:val="Codeattribute"/>
        </w:rPr>
        <w:t>@break=</w:t>
      </w:r>
      <w:r>
        <w:rPr>
          <w:rStyle w:val="Codevalue"/>
        </w:rPr>
        <w:t>"no"</w:t>
      </w:r>
      <w:r>
        <w:t xml:space="preserve"> is not required when a full word is restored on one side of the milestone</w:t>
      </w:r>
    </w:p>
    <w:tbl>
      <w:tblPr>
        <w:tblStyle w:val="CodeSampleTable"/>
        <w:tblW w:w="5000" w:type="pct"/>
        <w:tblLook w:val="04A0" w:firstRow="1" w:lastRow="0" w:firstColumn="1" w:lastColumn="0" w:noHBand="0" w:noVBand="1"/>
      </w:tblPr>
      <w:tblGrid>
        <w:gridCol w:w="9628"/>
      </w:tblGrid>
      <w:tr w14:paraId="40743C0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52041B" w14:textId="77777777">
            <w:pPr>
              <w:pStyle w:val="Kpalrs"/>
              <w:keepLines/>
            </w:pPr>
            <w:bookmarkStart w:id="367" w:name="_Ref182834107"/>
            <w:r>
              <w:lastRenderedPageBreak/>
              <w:t xml:space="preserve">Exhibit </w:t>
            </w:r>
            <w:fldSimple w:instr=" STYLEREF 2 \s ">
              <w:r>
                <w:rPr>
                  <w:noProof/>
                </w:rPr>
                <w:t>4.7</w:t>
              </w:r>
            </w:fldSimple>
            <w:r>
              <w:t>.</w:t>
            </w:r>
            <w:fldSimple w:instr=" SEQ Exhibit \* ALPHABETIC \s 2 ">
              <w:r>
                <w:rPr>
                  <w:noProof/>
                </w:rPr>
                <w:t>V</w:t>
              </w:r>
            </w:fldSimple>
            <w:bookmarkEnd w:id="367"/>
            <w:r>
              <w:t>: inscription with a missing piece</w:t>
            </w:r>
          </w:p>
        </w:tc>
      </w:tr>
      <w:tr w14:paraId="51931B66" w14:textId="77777777">
        <w:tc>
          <w:tcPr>
            <w:tcW w:w="5000" w:type="pct"/>
            <w:vAlign w:val="center"/>
          </w:tcPr>
          <w:p w14:paraId="46309A0F" w14:textId="77777777">
            <w:pPr>
              <w:pStyle w:val="Image"/>
              <w:keepLines/>
            </w:pPr>
            <w:r>
              <w:drawing>
                <wp:inline distT="0" distB="0" distL="0" distR="0" wp14:anchorId="7CCC9D55" wp14:editId="43623D0A">
                  <wp:extent cx="5397500" cy="1480820"/>
                  <wp:effectExtent l="0" t="0" r="0" b="5080"/>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22F8D145" w14:textId="77777777">
        <w:tc>
          <w:tcPr>
            <w:tcW w:w="5000" w:type="pct"/>
          </w:tcPr>
          <w:p w14:paraId="138EEBC1" w14:textId="77777777">
            <w:pPr>
              <w:pStyle w:val="CodeParagraph"/>
              <w:keepNext/>
              <w:keepLines/>
              <w:rPr>
                <w:rStyle w:val="Code"/>
              </w:rPr>
            </w:pPr>
            <w:r>
              <w:rPr>
                <w:rStyle w:val="Code"/>
              </w:rPr>
              <w:t>&lt;p&gt;</w:t>
            </w:r>
          </w:p>
          <w:p w14:paraId="6CF6FA77"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r>
              <w:rPr>
                <w:rStyle w:val="Codetext"/>
              </w:rPr>
              <w:t>an oozy smell, nor yet a dry, bare, sandy hole</w:t>
            </w:r>
            <w:r>
              <w:rPr>
                <w:rStyle w:val="Codetext"/>
              </w:rPr>
              <w:br/>
            </w:r>
            <w:r>
              <w:rPr>
                <w:rStyle w:val="Code"/>
              </w:rPr>
              <w:t xml:space="preserve">  &lt;lb </w:t>
            </w:r>
            <w:r>
              <w:rPr>
                <w:rStyle w:val="Codeattribute"/>
              </w:rPr>
              <w:t>n</w:t>
            </w:r>
            <w:r>
              <w:rPr>
                <w:rStyle w:val="Code"/>
              </w:rPr>
              <w:t>=</w:t>
            </w:r>
            <w:r>
              <w:rPr>
                <w:rStyle w:val="Codevalue"/>
              </w:rPr>
              <w:t>"4"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"8"</w:t>
            </w:r>
            <w:r>
              <w:rPr>
                <w:rStyle w:val="Code"/>
              </w:rPr>
              <w:t xml:space="preserve"> </w:t>
            </w:r>
            <w:r>
              <w:rPr>
                <w:rStyle w:val="Codeattribute"/>
              </w:rPr>
              <w:t>unit</w:t>
            </w:r>
            <w:r>
              <w:rPr>
                <w:rStyle w:val="Code"/>
              </w:rPr>
              <w:t>=</w:t>
            </w:r>
            <w:r>
              <w:rPr>
                <w:rStyle w:val="Codevalue"/>
              </w:rPr>
              <w:t>"character"</w:t>
            </w:r>
            <w:r>
              <w:rPr>
                <w:rStyle w:val="Code"/>
              </w:rPr>
              <w:t>/&gt;&lt;unclear&gt;h&lt;/unclear&gt;</w:t>
            </w:r>
            <w:r>
              <w:rPr>
                <w:rStyle w:val="Codetext"/>
              </w:rPr>
              <w:t>ing in it to sit down on or to eat: it was a</w:t>
            </w:r>
          </w:p>
          <w:p w14:paraId="59F39FA4" w14:textId="77777777">
            <w:pPr>
              <w:pStyle w:val="CodeParagraph"/>
              <w:keepNext/>
              <w:keepLines/>
              <w:rPr>
                <w:rStyle w:val="Codetext"/>
              </w:rPr>
            </w:pPr>
            <w:r>
              <w:rPr>
                <w:rStyle w:val="Code"/>
              </w:rPr>
              <w:t xml:space="preserve">  &lt;lb </w:t>
            </w:r>
            <w:r>
              <w:rPr>
                <w:rStyle w:val="Codeattribute"/>
              </w:rPr>
              <w:t>n</w:t>
            </w:r>
            <w:r>
              <w:rPr>
                <w:rStyle w:val="Code"/>
              </w:rPr>
              <w:t>=</w:t>
            </w:r>
            <w:r>
              <w:rPr>
                <w:rStyle w:val="Codevalue"/>
              </w:rPr>
              <w:t>"5"</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"14"</w:t>
            </w:r>
            <w:r>
              <w:rPr>
                <w:rStyle w:val="Code"/>
              </w:rPr>
              <w:t xml:space="preserve"> </w:t>
            </w:r>
            <w:r>
              <w:rPr>
                <w:rStyle w:val="Codeattribute"/>
              </w:rPr>
              <w:t>unit</w:t>
            </w:r>
            <w:r>
              <w:rPr>
                <w:rStyle w:val="Code"/>
              </w:rPr>
              <w:t>=</w:t>
            </w:r>
            <w:r>
              <w:rPr>
                <w:rStyle w:val="Codevalue"/>
              </w:rPr>
              <w:t>"character"</w:t>
            </w:r>
            <w:r>
              <w:rPr>
                <w:rStyle w:val="Code"/>
              </w:rPr>
              <w:t>/&gt;</w:t>
            </w:r>
            <w:r>
              <w:rPr>
                <w:rStyle w:val="Codetext"/>
              </w:rPr>
              <w:t>nd that means comfort.</w:t>
            </w:r>
          </w:p>
          <w:p w14:paraId="72402C85" w14:textId="77777777">
            <w:pPr>
              <w:pStyle w:val="CodeParagraph"/>
              <w:keepNext/>
              <w:keepLines/>
            </w:pPr>
            <w:r>
              <w:rPr>
                <w:rStyle w:val="Code"/>
              </w:rPr>
              <w:t>&lt;/p&gt;</w:t>
            </w:r>
          </w:p>
        </w:tc>
      </w:tr>
    </w:tbl>
    <w:p w14:paraId="3E810DB9" w14:textId="77777777"/>
    <w:tbl>
      <w:tblPr>
        <w:tblStyle w:val="CodeSampleTable"/>
        <w:tblW w:w="0" w:type="auto"/>
        <w:tblLook w:val="04A0" w:firstRow="1" w:lastRow="0" w:firstColumn="1" w:lastColumn="0" w:noHBand="0" w:noVBand="1"/>
      </w:tblPr>
      <w:tblGrid>
        <w:gridCol w:w="9054"/>
      </w:tblGrid>
      <w:tr w14:paraId="08F7F7A7" w14:textId="77777777">
        <w:trPr>
          <w:cnfStyle w:val="100000000000" w:firstRow="1" w:lastRow="0" w:firstColumn="0" w:lastColumn="0" w:oddVBand="0" w:evenVBand="0" w:oddHBand="0" w:evenHBand="0" w:firstRowFirstColumn="0" w:firstRowLastColumn="0" w:lastRowFirstColumn="0" w:lastRowLastColumn="0"/>
        </w:trPr>
        <w:tc>
          <w:tcPr>
            <w:tcW w:w="9054" w:type="dxa"/>
          </w:tcPr>
          <w:p w14:paraId="77F83AE2" w14:textId="77777777">
            <w:pPr>
              <w:pStyle w:val="Kpalrs"/>
              <w:keepLines/>
            </w:pPr>
            <w:bookmarkStart w:id="368" w:name="_Ref182834408"/>
            <w:r>
              <w:lastRenderedPageBreak/>
              <w:t xml:space="preserve">Exhibit </w:t>
            </w:r>
            <w:fldSimple w:instr=" STYLEREF 2 \s ">
              <w:r>
                <w:rPr>
                  <w:noProof/>
                </w:rPr>
                <w:t>4.7</w:t>
              </w:r>
            </w:fldSimple>
            <w:r>
              <w:t>.</w:t>
            </w:r>
            <w:fldSimple w:instr=" SEQ Exhibit \* ALPHABETIC \s 2 ">
              <w:r>
                <w:rPr>
                  <w:noProof/>
                </w:rPr>
                <w:t>W</w:t>
              </w:r>
            </w:fldSimple>
            <w:bookmarkEnd w:id="368"/>
            <w:r>
              <w:t>: gridlike partitions for contiguous fragments with a missing piece</w:t>
            </w:r>
          </w:p>
        </w:tc>
      </w:tr>
      <w:tr w14:paraId="74133945" w14:textId="77777777">
        <w:tc>
          <w:tcPr>
            <w:tcW w:w="9054" w:type="dxa"/>
          </w:tcPr>
          <w:p w14:paraId="2BE46569" w14:textId="77777777">
            <w:pPr>
              <w:pStyle w:val="Image"/>
              <w:keepLines/>
            </w:pPr>
            <w:r>
              <w:drawing>
                <wp:inline distT="0" distB="0" distL="0" distR="0" wp14:anchorId="76B711F9" wp14:editId="68397FD5">
                  <wp:extent cx="5397500" cy="2702560"/>
                  <wp:effectExtent l="0" t="0" r="0" b="2540"/>
                  <wp:docPr id="1032500959"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97500" cy="2702560"/>
                          </a:xfrm>
                          <a:prstGeom prst="rect">
                            <a:avLst/>
                          </a:prstGeom>
                          <a:noFill/>
                          <a:ln>
                            <a:noFill/>
                          </a:ln>
                        </pic:spPr>
                      </pic:pic>
                    </a:graphicData>
                  </a:graphic>
                </wp:inline>
              </w:drawing>
            </w:r>
          </w:p>
        </w:tc>
      </w:tr>
      <w:tr w14:paraId="78D0389F" w14:textId="77777777">
        <w:tc>
          <w:tcPr>
            <w:tcW w:w="9054" w:type="dxa"/>
          </w:tcPr>
          <w:p w14:paraId="2088FAE3" w14:textId="77777777">
            <w:pPr>
              <w:pStyle w:val="TableNote"/>
              <w:keepNext/>
              <w:keepLines/>
            </w:pPr>
            <w:r>
              <w:t>two extant fragments of a slab can be joined, but a smaller fragment is missing</w:t>
            </w:r>
          </w:p>
          <w:p w14:paraId="420DA2D1" w14:textId="77777777">
            <w:pPr>
              <w:pStyle w:val="TableNote"/>
              <w:keepNext/>
              <w:keepLines/>
            </w:pPr>
            <w:r>
              <w:t>the fragments are optionally encoded as gridlike milestones</w:t>
            </w:r>
          </w:p>
          <w:p w14:paraId="202C094A" w14:textId="77777777">
            <w:pPr>
              <w:pStyle w:val="TableNote"/>
              <w:keepNext/>
              <w:keepLines/>
            </w:pPr>
            <w:r>
              <w:t>the lacunae in the first five lines are arbitrarily allocated to fragment a</w:t>
            </w:r>
          </w:p>
          <w:p w14:paraId="546D1BCC" w14:textId="77777777">
            <w:pPr>
              <w:pStyle w:val="TableNote"/>
              <w:keepNext/>
              <w:keepLines/>
            </w:pPr>
            <w:r>
              <w:t>restorations of partially lost words are always allocated to the fragment bearing their extant segments</w:t>
            </w:r>
          </w:p>
        </w:tc>
      </w:tr>
      <w:tr w14:paraId="4C9E6A21" w14:textId="77777777">
        <w:tc>
          <w:tcPr>
            <w:tcW w:w="9054" w:type="dxa"/>
          </w:tcPr>
          <w:p w14:paraId="671931F5" w14:textId="77777777">
            <w:pPr>
              <w:pStyle w:val="CodeParagraph"/>
              <w:rPr>
                <w:rStyle w:val="Code"/>
              </w:rPr>
            </w:pPr>
            <w:r>
              <w:rPr>
                <w:rStyle w:val="Code"/>
              </w:rPr>
              <w:t>&lt;p&gt;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"17"</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li</w:t>
            </w:r>
            <w:r>
              <w:rPr>
                <w:rStyle w:val="Code"/>
              </w:rPr>
              <w:t>&lt;/supplied&gt;</w:t>
            </w:r>
            <w:r>
              <w:rPr>
                <w:rStyle w:val="Codetext"/>
              </w:rPr>
              <w:t>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nasty, dirty, wet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"14"</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w</w:t>
            </w:r>
            <w:r>
              <w:rPr>
                <w:rStyle w:val="Code"/>
              </w:rPr>
              <w:t>&lt;/supplied&gt;&lt;unclear&gt;</w:t>
            </w:r>
            <w:r>
              <w:rPr>
                <w:rStyle w:val="Codetext"/>
              </w:rPr>
              <w:t>i</w:t>
            </w:r>
            <w:r>
              <w:rPr>
                <w:rStyle w:val="Code"/>
              </w:rPr>
              <w:t>&lt;/unclear&gt;</w:t>
            </w:r>
            <w:r>
              <w:rPr>
                <w:rStyle w:val="Codetext"/>
              </w:rPr>
              <w:t>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and an oozy sme</w:t>
            </w:r>
            <w:r>
              <w:rPr>
                <w:rStyle w:val="Code"/>
              </w:rPr>
              <w:t>&lt;unclear&gt;</w:t>
            </w:r>
            <w:r>
              <w:rPr>
                <w:rStyle w:val="Codetext"/>
              </w:rPr>
              <w:t>ll</w:t>
            </w:r>
            <w:r>
              <w:rPr>
                <w:rStyle w:val="Code"/>
              </w:rPr>
              <w:t xml:space="preserve">&lt;/unclear&gt; &lt;gap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"10"</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a dry, bare, sandy hole</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nothing in it </w:t>
            </w:r>
            <w:r>
              <w:rPr>
                <w:rStyle w:val="Code"/>
              </w:rPr>
              <w:t>&lt;unclear&gt;</w:t>
            </w:r>
            <w:r>
              <w:rPr>
                <w:rStyle w:val="Codetext"/>
              </w:rPr>
              <w:t>t</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"character"</w:t>
            </w:r>
            <w:r>
              <w:rPr>
                <w:rStyle w:val="Code"/>
              </w:rPr>
              <w:t xml:space="preserve">/&gt; &lt;milestone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hobbit-hole, and th</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at</w:t>
            </w:r>
            <w:r>
              <w:rPr>
                <w:rStyle w:val="Code"/>
              </w:rPr>
              <w:t>&lt;/supplied&gt;</w:t>
            </w:r>
            <w:r>
              <w:rPr>
                <w:rStyle w:val="Codetext"/>
              </w:rPr>
              <w:t xml:space="preserve">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means comfort. It had a  </w:t>
            </w:r>
            <w:r>
              <w:rPr>
                <w:rStyle w:val="Codetext"/>
              </w:rPr>
              <w:br/>
              <w:t xml:space="preserve">  </w:t>
            </w:r>
            <w:r>
              <w:rPr>
                <w:rStyle w:val="Code"/>
              </w:rPr>
              <w:t xml:space="preserve">&lt;lb </w:t>
            </w:r>
            <w:r>
              <w:rPr>
                <w:rStyle w:val="Codeattribute"/>
              </w:rPr>
              <w:t>n</w:t>
            </w:r>
            <w:r>
              <w:rPr>
                <w:rStyle w:val="Code"/>
              </w:rPr>
              <w:t>=</w:t>
            </w:r>
            <w:r>
              <w:rPr>
                <w:rStyle w:val="Codevalue"/>
              </w:rPr>
              <w:t>"6"</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perfectly round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/&gt;&lt;unclear&gt;</w:t>
            </w:r>
            <w:r>
              <w:rPr>
                <w:rStyle w:val="Codetext"/>
              </w:rPr>
              <w:t>d</w:t>
            </w:r>
            <w:r>
              <w:rPr>
                <w:rStyle w:val="Code"/>
              </w:rPr>
              <w:t>&lt;/unclear&gt;</w:t>
            </w:r>
            <w:r>
              <w:rPr>
                <w:rStyle w:val="Codetext"/>
              </w:rPr>
              <w:t xml:space="preserve">oor like a porthole, painted green,  </w:t>
            </w:r>
            <w:r>
              <w:rPr>
                <w:rStyle w:val="Codetext"/>
              </w:rPr>
              <w:br/>
              <w:t xml:space="preserve">  </w:t>
            </w:r>
            <w:r>
              <w:rPr>
                <w:rStyle w:val="Code"/>
              </w:rPr>
              <w:t xml:space="preserve">&lt;lb </w:t>
            </w:r>
            <w:r>
              <w:rPr>
                <w:rStyle w:val="Codeattribute"/>
              </w:rPr>
              <w:t>n</w:t>
            </w:r>
            <w:r>
              <w:rPr>
                <w:rStyle w:val="Code"/>
              </w:rPr>
              <w:t>=</w:t>
            </w:r>
            <w:r>
              <w:rPr>
                <w:rStyle w:val="Codevalue"/>
              </w:rPr>
              <w:t>"7"</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with a shiny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yellow brass knob in the exact middle.</w:t>
            </w:r>
            <w:r>
              <w:rPr>
                <w:rStyle w:val="Codetext"/>
              </w:rPr>
              <w:br/>
              <w:t xml:space="preserve">  </w:t>
            </w:r>
            <w:r>
              <w:rPr>
                <w:rStyle w:val="Code"/>
              </w:rPr>
              <w:t xml:space="preserve">&lt;lb </w:t>
            </w:r>
            <w:r>
              <w:rPr>
                <w:rStyle w:val="Codeattribute"/>
              </w:rPr>
              <w:t>n</w:t>
            </w:r>
            <w:r>
              <w:rPr>
                <w:rStyle w:val="Code"/>
              </w:rPr>
              <w:t>=</w:t>
            </w:r>
            <w:r>
              <w:rPr>
                <w:rStyle w:val="Codevalue"/>
              </w:rPr>
              <w:t>"8"</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The door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opened on to a tube-shaped hall like a</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 xml:space="preserve">/&gt;&lt;milestone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t>tunne</w:t>
            </w:r>
            <w:r>
              <w:rPr>
                <w:rStyle w:val="Code"/>
              </w:rPr>
              <w:t>&lt;unclear&gt;</w:t>
            </w:r>
            <w:r>
              <w:rPr>
                <w:rStyle w:val="Codetext"/>
              </w:rPr>
              <w:t>l</w:t>
            </w:r>
            <w:r>
              <w:rPr>
                <w:rStyle w:val="Code"/>
              </w:rPr>
              <w:t xml:space="preserve">&lt;/unclear&gt;&lt;supplied </w:t>
            </w:r>
            <w:r>
              <w:rPr>
                <w:rStyle w:val="Codeattribute"/>
              </w:rPr>
              <w:t>reason</w:t>
            </w:r>
            <w:r>
              <w:rPr>
                <w:rStyle w:val="Code"/>
              </w:rPr>
              <w:t>=</w:t>
            </w:r>
            <w:r>
              <w:rPr>
                <w:rStyle w:val="Codevalue"/>
              </w:rPr>
              <w:t>"lost"</w:t>
            </w:r>
            <w:r>
              <w:rPr>
                <w:rStyle w:val="Code"/>
              </w:rPr>
              <w:t xml:space="preserve"> </w:t>
            </w:r>
            <w:r>
              <w:rPr>
                <w:rStyle w:val="Codeattribute"/>
              </w:rPr>
              <w:t>cert</w:t>
            </w:r>
            <w:r>
              <w:rPr>
                <w:rStyle w:val="Code"/>
              </w:rPr>
              <w:t>=</w:t>
            </w:r>
            <w:r>
              <w:rPr>
                <w:rStyle w:val="Codevalue"/>
              </w:rPr>
              <w:t>"low"</w:t>
            </w:r>
            <w:r>
              <w:rPr>
                <w:rStyle w:val="Code"/>
              </w:rPr>
              <w:t>&gt;</w:t>
            </w:r>
            <w:r>
              <w:rPr>
                <w:rStyle w:val="Codetext"/>
              </w:rPr>
              <w:t>:</w:t>
            </w:r>
            <w:r>
              <w:rPr>
                <w:rStyle w:val="Code"/>
              </w:rPr>
              <w:t>&lt;/supplied&gt;</w:t>
            </w:r>
            <w:r>
              <w:rPr>
                <w:rStyle w:val="Codetext"/>
              </w:rPr>
              <w:t xml:space="preserve"> </w:t>
            </w:r>
            <w:r>
              <w:rPr>
                <w:rStyle w:val="Code"/>
              </w:rPr>
              <w:t xml:space="preserve">&lt;milestone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t>a very comfortable tunnel without smoke.</w:t>
            </w:r>
            <w:r>
              <w:rPr>
                <w:rStyle w:val="Codetext"/>
              </w:rPr>
              <w:br/>
            </w:r>
            <w:r>
              <w:rPr>
                <w:rStyle w:val="Code"/>
              </w:rPr>
              <w:t>&lt;/p&gt;</w:t>
            </w:r>
          </w:p>
        </w:tc>
      </w:tr>
    </w:tbl>
    <w:p w14:paraId="745A63EE" w14:textId="77777777">
      <w:pPr>
        <w:pStyle w:val="Cmsor4"/>
      </w:pPr>
      <w:bookmarkStart w:id="369" w:name="_Ref182836682"/>
      <w:bookmarkEnd w:id="360"/>
      <w:r>
        <w:t>Features splitting an inscription horizontally</w:t>
      </w:r>
      <w:bookmarkEnd w:id="369"/>
    </w:p>
    <w:p w14:paraId="4AB88989" w14:textId="77777777">
      <w:r>
        <w:t xml:space="preserve">A fracture or other three-dimensional feature of the support may split an inscription horizontally, i.e. along the lines of the text, as in </w:t>
      </w:r>
      <w:r>
        <w:fldChar w:fldCharType="begin"/>
      </w:r>
      <w:r>
        <w:instrText xml:space="preserve"> REF _Ref182822467 \h </w:instrText>
      </w:r>
      <w:r>
        <w:fldChar w:fldCharType="separate"/>
      </w:r>
      <w:r>
        <w:t xml:space="preserve">Exhibit </w:t>
      </w:r>
      <w:r>
        <w:rPr>
          <w:noProof/>
        </w:rPr>
        <w:t>4.7</w:t>
      </w:r>
      <w:r>
        <w:t>.</w:t>
      </w:r>
      <w:r>
        <w:rPr>
          <w:noProof/>
        </w:rPr>
        <w:t>X</w:t>
      </w:r>
      <w:r>
        <w:fldChar w:fldCharType="end"/>
      </w:r>
      <w:r>
        <w:t>. Encoding such a feature is optional, and the considerations in §</w:t>
      </w:r>
      <w:r>
        <w:fldChar w:fldCharType="begin"/>
      </w:r>
      <w:r>
        <w:instrText xml:space="preserve"> REF _Ref182322267 \r \h </w:instrText>
      </w:r>
      <w:r>
        <w:fldChar w:fldCharType="separate"/>
      </w:r>
      <w:r>
        <w:t>4.7.5</w:t>
      </w:r>
      <w:r>
        <w:fldChar w:fldCharType="end"/>
      </w:r>
      <w:r>
        <w:t xml:space="preserve"> continue to apply. However, encoding it as a gridlike partition would not be practicable, since each cell of a grid is understood to be part of a line (§</w:t>
      </w:r>
      <w:r>
        <w:fldChar w:fldCharType="begin"/>
      </w:r>
      <w:r>
        <w:instrText xml:space="preserve"> REF _Ref182923075 \r \h </w:instrText>
      </w:r>
      <w:r>
        <w:fldChar w:fldCharType="separate"/>
      </w:r>
      <w:r>
        <w:t>4.1</w:t>
      </w:r>
      <w:r>
        <w:fldChar w:fldCharType="end"/>
      </w:r>
      <w:r>
        <w:t>), while here the partition is on a higher level of the extrinsic hierarchy, with full lines belonging to each fragment. Therefore, if encoding is desired, such a feature is to be treated as a pagelike partition.</w:t>
      </w:r>
    </w:p>
    <w:p w14:paraId="24813226" w14:textId="77777777">
      <w:pPr>
        <w:pStyle w:val="Lista"/>
      </w:pPr>
      <w:r>
        <w:t>if a fracture or other feature splits an epigraphic line horizontally or nearly horizontally, so that there are parts of that line’s text on both sides of the feature, then assign the entire line arbitrarily to one side of the feature or the other (see also §</w:t>
      </w:r>
      <w:r>
        <w:fldChar w:fldCharType="begin"/>
      </w:r>
      <w:r>
        <w:instrText xml:space="preserve"> REF _Ref182813737 \r \h </w:instrText>
      </w:r>
      <w:r>
        <w:fldChar w:fldCharType="separate"/>
      </w:r>
      <w:r>
        <w:t>4.7.6.1</w:t>
      </w:r>
      <w:r>
        <w:fldChar w:fldCharType="end"/>
      </w:r>
      <w:r>
        <w:t>)</w:t>
      </w:r>
    </w:p>
    <w:p w14:paraId="0B6DAC6E" w14:textId="77777777">
      <w:pPr>
        <w:pStyle w:val="Lista"/>
      </w:pPr>
      <w:r>
        <w:lastRenderedPageBreak/>
        <w:t>even if a small number of characters in the affected line are wholly on one side of the feature, you are free to choose this encoding in preference to using numerous gridlike milestones in that line</w:t>
      </w:r>
    </w:p>
    <w:tbl>
      <w:tblPr>
        <w:tblStyle w:val="CodeSampleTable"/>
        <w:tblW w:w="5000" w:type="pct"/>
        <w:tblLook w:val="04A0" w:firstRow="1" w:lastRow="0" w:firstColumn="1" w:lastColumn="0" w:noHBand="0" w:noVBand="1"/>
      </w:tblPr>
      <w:tblGrid>
        <w:gridCol w:w="9628"/>
      </w:tblGrid>
      <w:tr w14:paraId="11591BE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97CBC86" w14:textId="77777777">
            <w:pPr>
              <w:pStyle w:val="Kpalrs"/>
              <w:keepLines/>
            </w:pPr>
            <w:bookmarkStart w:id="370" w:name="_Ref182822467"/>
            <w:r>
              <w:t xml:space="preserve">Exhibit </w:t>
            </w:r>
            <w:fldSimple w:instr=" STYLEREF 2 \s ">
              <w:r>
                <w:rPr>
                  <w:noProof/>
                </w:rPr>
                <w:t>4.7</w:t>
              </w:r>
            </w:fldSimple>
            <w:r>
              <w:t>.</w:t>
            </w:r>
            <w:fldSimple w:instr=" SEQ Exhibit \* ALPHABETIC \s 2 ">
              <w:r>
                <w:rPr>
                  <w:noProof/>
                </w:rPr>
                <w:t>X</w:t>
              </w:r>
            </w:fldSimple>
            <w:bookmarkEnd w:id="370"/>
            <w:r>
              <w:t>: pagelike partition for a horizontal fracture</w:t>
            </w:r>
          </w:p>
        </w:tc>
      </w:tr>
      <w:tr w14:paraId="68D38304" w14:textId="77777777">
        <w:tc>
          <w:tcPr>
            <w:tcW w:w="5000" w:type="pct"/>
          </w:tcPr>
          <w:p w14:paraId="228F26E2" w14:textId="77777777">
            <w:pPr>
              <w:pStyle w:val="Image"/>
              <w:keepLines/>
            </w:pPr>
            <w:r>
              <w:drawing>
                <wp:inline distT="0" distB="0" distL="0" distR="0" wp14:anchorId="00E9EA52" wp14:editId="331EE5CA">
                  <wp:extent cx="5397500" cy="1480820"/>
                  <wp:effectExtent l="0" t="0" r="0" b="5080"/>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7500" cy="1480820"/>
                          </a:xfrm>
                          <a:prstGeom prst="rect">
                            <a:avLst/>
                          </a:prstGeom>
                          <a:noFill/>
                          <a:ln>
                            <a:noFill/>
                          </a:ln>
                        </pic:spPr>
                      </pic:pic>
                    </a:graphicData>
                  </a:graphic>
                </wp:inline>
              </w:drawing>
            </w:r>
          </w:p>
        </w:tc>
      </w:tr>
      <w:tr w14:paraId="5BBC3153" w14:textId="77777777">
        <w:tc>
          <w:tcPr>
            <w:tcW w:w="5000" w:type="pct"/>
          </w:tcPr>
          <w:p w14:paraId="15562545" w14:textId="77777777">
            <w:pPr>
              <w:pStyle w:val="CodeParagraph"/>
              <w:keepNext/>
              <w:rPr>
                <w:rStyle w:val="Code"/>
              </w:rPr>
            </w:pPr>
            <w:r>
              <w:rPr>
                <w:rStyle w:val="Code"/>
              </w:rPr>
              <w:t>&lt;p&gt;</w:t>
            </w:r>
          </w:p>
          <w:p w14:paraId="24E0825D" w14:textId="77777777">
            <w:pPr>
              <w:pStyle w:val="CodeParagraph"/>
              <w:keepNext/>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p>
          <w:p w14:paraId="53F5E966" w14:textId="77777777">
            <w:pPr>
              <w:pStyle w:val="CodeParagraph"/>
              <w:keepNext/>
              <w:rPr>
                <w:rStyle w:val="Code"/>
              </w:rPr>
            </w:pPr>
            <w:r>
              <w:rPr>
                <w:rStyle w:val="Code"/>
              </w:rPr>
              <w:t xml:space="preserve">  &lt;lb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r>
            <w:r>
              <w:rPr>
                <w:rStyle w:val="Code"/>
              </w:rPr>
              <w:t xml:space="preserve">  &lt;lb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r>
            <w:r>
              <w:rPr>
                <w:rStyle w:val="Code"/>
              </w:rPr>
              <w:t xml:space="preserve">  &lt;lb </w:t>
            </w:r>
            <w:r>
              <w:rPr>
                <w:rStyle w:val="Codeattribute"/>
              </w:rPr>
              <w:t>n</w:t>
            </w:r>
            <w:r>
              <w:rPr>
                <w:rStyle w:val="Code"/>
              </w:rPr>
              <w:t>=</w:t>
            </w:r>
            <w:r>
              <w:rPr>
                <w:rStyle w:val="Codevalue"/>
              </w:rPr>
              <w:t>"3"</w:t>
            </w:r>
            <w:r>
              <w:rPr>
                <w:rStyle w:val="Code"/>
              </w:rPr>
              <w:t>/&gt;</w:t>
            </w:r>
            <w:r>
              <w:rPr>
                <w:rStyle w:val="Codetext"/>
              </w:rPr>
              <w:t>and an oozy smell, nor yet a dry, bare, sandy hole</w:t>
            </w:r>
            <w:r>
              <w:rPr>
                <w:rStyle w:val="Codetext"/>
              </w:rPr>
              <w:br/>
            </w: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p>
          <w:p w14:paraId="1C07D010"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"4"</w:t>
            </w:r>
            <w:r>
              <w:rPr>
                <w:rStyle w:val="Code"/>
              </w:rPr>
              <w:t>/&gt;</w:t>
            </w:r>
            <w:r>
              <w:rPr>
                <w:rStyle w:val="Codetext"/>
              </w:rPr>
              <w:t>with not</w:t>
            </w:r>
            <w:r>
              <w:rPr>
                <w:rStyle w:val="Code"/>
              </w:rPr>
              <w:t>h</w:t>
            </w:r>
            <w:r>
              <w:rPr>
                <w:rStyle w:val="Codetext"/>
              </w:rPr>
              <w:t>ing in it to sit down on or to eat: it was a</w:t>
            </w:r>
          </w:p>
          <w:p w14:paraId="72C5BFC4" w14:textId="77777777">
            <w:pPr>
              <w:pStyle w:val="CodeParagraph"/>
              <w:keepNext/>
              <w:rPr>
                <w:rStyle w:val="Codetext"/>
              </w:rPr>
            </w:pPr>
            <w:r>
              <w:rPr>
                <w:rStyle w:val="Code"/>
              </w:rPr>
              <w:t xml:space="preserve">  &lt;lb </w:t>
            </w:r>
            <w:r>
              <w:rPr>
                <w:rStyle w:val="Codeattribute"/>
              </w:rPr>
              <w:t>n</w:t>
            </w:r>
            <w:r>
              <w:rPr>
                <w:rStyle w:val="Code"/>
              </w:rPr>
              <w:t>=</w:t>
            </w:r>
            <w:r>
              <w:rPr>
                <w:rStyle w:val="Codevalue"/>
              </w:rPr>
              <w:t>"5"</w:t>
            </w:r>
            <w:r>
              <w:rPr>
                <w:rStyle w:val="Code"/>
              </w:rPr>
              <w:t>/&gt;</w:t>
            </w:r>
            <w:r>
              <w:rPr>
                <w:rStyle w:val="Codetext"/>
              </w:rPr>
              <w:t xml:space="preserve">hobbit-hole, </w:t>
            </w:r>
            <w:r>
              <w:rPr>
                <w:rStyle w:val="Code"/>
              </w:rPr>
              <w:t>a&lt;</w:t>
            </w:r>
            <w:r>
              <w:rPr>
                <w:rStyle w:val="Codetext"/>
              </w:rPr>
              <w:t>nd that means comfort.</w:t>
            </w:r>
          </w:p>
          <w:p w14:paraId="275AA6C2" w14:textId="77777777">
            <w:pPr>
              <w:pStyle w:val="CodeParagraph"/>
              <w:rPr>
                <w:rStyle w:val="Code"/>
              </w:rPr>
            </w:pPr>
            <w:r>
              <w:rPr>
                <w:rStyle w:val="Code"/>
              </w:rPr>
              <w:t>&lt;/p&gt;</w:t>
            </w:r>
          </w:p>
        </w:tc>
      </w:tr>
    </w:tbl>
    <w:p w14:paraId="5DBD169E" w14:textId="77777777">
      <w:pPr>
        <w:pStyle w:val="Cmsor1"/>
      </w:pPr>
      <w:bookmarkStart w:id="371" w:name="_Ref232171176"/>
      <w:bookmarkStart w:id="372" w:name="_Toc243900284"/>
      <w:r>
        <w:lastRenderedPageBreak/>
        <w:t>The received text</w:t>
      </w:r>
      <w:bookmarkEnd w:id="304"/>
      <w:bookmarkEnd w:id="371"/>
      <w:bookmarkEnd w:id="372"/>
    </w:p>
    <w:p w14:paraId="3A198098" w14:textId="77777777">
      <w:pPr>
        <w:pStyle w:val="Cmsor2"/>
      </w:pPr>
      <w:bookmarkStart w:id="373" w:name="_2wkl86mjw6p2" w:colFirst="0" w:colLast="0"/>
      <w:bookmarkStart w:id="374" w:name="_Toc243900285"/>
      <w:bookmarkEnd w:id="373"/>
      <w:r>
        <w:t>Phonographic graphemes</w:t>
      </w:r>
      <w:bookmarkEnd w:id="374"/>
    </w:p>
    <w:p w14:paraId="7F670ED9" w14:textId="77777777">
      <w:r>
        <w:t>Phonographic graphemes do not, as a rule, need markup on their own: they, including several special glyph forms, are handled through transliteration alone as per TG §4. Occasionally, a phonographic glyph is employed in a different function, which is to be handled according to §</w:t>
      </w:r>
      <w:r>
        <w:fldChar w:fldCharType="begin"/>
      </w:r>
      <w:r>
        <w:instrText xml:space="preserve"> REF _Ref226033790 \r \h </w:instrText>
      </w:r>
      <w:r>
        <w:fldChar w:fldCharType="separate"/>
      </w:r>
      <w:r>
        <w:t>5.1.5</w:t>
      </w:r>
      <w:r>
        <w:fldChar w:fldCharType="end"/>
      </w:r>
      <w:r>
        <w:t>. This section concerns additional encoding methods that may in some circumstances be applicable to phonographic graphemes or their parts.</w:t>
      </w:r>
    </w:p>
    <w:p w14:paraId="2FB18D8C" w14:textId="77777777">
      <w:pPr>
        <w:pStyle w:val="Cmsor3"/>
      </w:pPr>
      <w:bookmarkStart w:id="375" w:name="_83o605fngw18" w:colFirst="0" w:colLast="0"/>
      <w:bookmarkStart w:id="376" w:name="_Ref43987221"/>
      <w:bookmarkStart w:id="377" w:name="_Toc243900286"/>
      <w:bookmarkEnd w:id="375"/>
      <w:r>
        <w:t xml:space="preserve">Tagging target graphemes as one </w:t>
      </w:r>
      <w:r>
        <w:rPr>
          <w:rStyle w:val="Foreign"/>
        </w:rPr>
        <w:t>akṣara</w:t>
      </w:r>
      <w:bookmarkEnd w:id="376"/>
      <w:bookmarkEnd w:id="377"/>
    </w:p>
    <w:p w14:paraId="4990114B" w14:textId="77777777">
      <w:pPr>
        <w:rPr>
          <w:lang w:eastAsia="en-US" w:bidi="ar-SA"/>
        </w:rPr>
      </w:pPr>
      <w:r>
        <w:rPr>
          <w:lang w:eastAsia="en-US" w:bidi="ar-SA"/>
        </w:rPr>
        <w:t xml:space="preserve">As per TG §3.3.2.1, in transliteration we employ the = (equals) sign as optional shorthand in the role of a character joiner, for use between two target graphemes that are manifested in the source as parts of a single complex glyph </w:t>
      </w:r>
      <w:r>
        <w:rPr>
          <w:noProof/>
          <w:lang w:eastAsia="en-US" w:bidi="ar-SA"/>
        </w:rPr>
        <w:t xml:space="preserve">(TG </w:t>
      </w:r>
      <w:r>
        <w:rPr>
          <w:lang w:eastAsia="en-US" w:bidi="ar-SA"/>
        </w:rPr>
        <w:t xml:space="preserve">§2.4.3), when these would normally manifest as </w:t>
      </w:r>
      <w:r>
        <w:rPr>
          <w:noProof/>
          <w:lang w:eastAsia="en-US" w:bidi="ar-SA"/>
        </w:rPr>
        <w:t>(</w:t>
      </w:r>
      <w:r>
        <w:rPr>
          <w:lang w:eastAsia="en-US" w:bidi="ar-SA"/>
        </w:rPr>
        <w:t>components of) separate glyphs according to the general rules of the Indic writing system. In any situation where you use the = sign according to the TG’s recommendations, as well as in any other situations where you feel it is useful to demarcate a string of target graphemes as belonging to a single glyph in the source, the following XML markup may be used. This encoding is optional, and it may be used either in addition to or instead of the shorthand involving the = sign.</w:t>
      </w:r>
    </w:p>
    <w:p w14:paraId="36F4577E" w14:textId="77777777">
      <w:pPr>
        <w:pStyle w:val="Lista"/>
      </w:pPr>
      <w:r>
        <w:t xml:space="preserve">to tag any string of transliterated graphemes as belonging to a single glyph in the source writing system, wrap these graphemes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for example as in </w:t>
      </w:r>
      <w:r>
        <w:fldChar w:fldCharType="begin"/>
      </w:r>
      <w:r>
        <w:instrText xml:space="preserve"> REF _Ref225935843 \h </w:instrText>
      </w:r>
      <w:r>
        <w:fldChar w:fldCharType="separate"/>
      </w:r>
      <w:r>
        <w:t xml:space="preserve">Exhibit </w:t>
      </w:r>
      <w:r>
        <w:rPr>
          <w:noProof/>
        </w:rPr>
        <w:t>5.1</w:t>
      </w:r>
      <w:r>
        <w:t>.</w:t>
      </w:r>
      <w:r>
        <w:rPr>
          <w:noProof/>
        </w:rPr>
        <w:t>A</w:t>
      </w:r>
      <w:r>
        <w:fldChar w:fldCharType="end"/>
      </w:r>
    </w:p>
    <w:p w14:paraId="56CD502B" w14:textId="77777777">
      <w:pPr>
        <w:pStyle w:val="Lista4"/>
      </w:pPr>
      <w:r>
        <w:t xml:space="preserve">1: an </w:t>
      </w:r>
      <w:r>
        <w:rPr>
          <w:rStyle w:val="Foreign"/>
        </w:rPr>
        <w:t>akṣara</w:t>
      </w:r>
      <w:r>
        <w:t xml:space="preserve"> with two vowel markers, </w:t>
      </w:r>
      <w:r>
        <w:rPr>
          <w:rStyle w:val="Foreign"/>
        </w:rPr>
        <w:t>du=ā</w:t>
      </w:r>
    </w:p>
    <w:p w14:paraId="1D8961D5" w14:textId="77777777">
      <w:pPr>
        <w:pStyle w:val="Lista4"/>
      </w:pPr>
      <w:r>
        <w:t>2: a ligature in Tamil (</w:t>
      </w:r>
      <w:r>
        <w:rPr>
          <w:rStyle w:val="Foreign"/>
        </w:rPr>
        <w:t>k=ka</w:t>
      </w:r>
      <w:r>
        <w:t xml:space="preserve">), as distinct from both </w:t>
      </w:r>
      <w:r>
        <w:rPr>
          <w:rStyle w:val="Foreign"/>
        </w:rPr>
        <w:t>kka</w:t>
      </w:r>
      <w:r>
        <w:t xml:space="preserve"> </w:t>
      </w:r>
      <w:r>
        <w:rPr>
          <w:noProof/>
        </w:rPr>
        <w:t>(</w:t>
      </w:r>
      <w:r>
        <w:t xml:space="preserve">with an implicit vowel killer) and </w:t>
      </w:r>
      <w:r>
        <w:rPr>
          <w:rStyle w:val="Foreign"/>
        </w:rPr>
        <w:t>k·ka</w:t>
      </w:r>
      <w:r>
        <w:t xml:space="preserve"> </w:t>
      </w:r>
      <w:r>
        <w:rPr>
          <w:noProof/>
        </w:rPr>
        <w:t>(</w:t>
      </w:r>
      <w:r>
        <w:t>with an explicit vowel killer)</w:t>
      </w:r>
    </w:p>
    <w:p w14:paraId="3A7AE48C" w14:textId="77777777">
      <w:pPr>
        <w:pStyle w:val="Lista4"/>
      </w:pPr>
      <w:r>
        <w:t xml:space="preserve">3: a combining </w:t>
      </w:r>
      <w:r>
        <w:rPr>
          <w:rStyle w:val="Foreign"/>
        </w:rPr>
        <w:t>upadhmānīya</w:t>
      </w:r>
      <w:r>
        <w:t xml:space="preserve"> (in </w:t>
      </w:r>
      <w:r>
        <w:rPr>
          <w:rStyle w:val="Foreign"/>
        </w:rPr>
        <w:t>ḫ=pu</w:t>
      </w:r>
      <w:r>
        <w:t xml:space="preserve">), to distinguish it from an inline </w:t>
      </w:r>
      <w:r>
        <w:rPr>
          <w:rStyle w:val="Foreign"/>
        </w:rPr>
        <w:t>upadhmānīya</w:t>
      </w:r>
    </w:p>
    <w:p w14:paraId="179EA33B" w14:textId="77777777">
      <w:pPr>
        <w:pStyle w:val="Lista"/>
      </w:pPr>
      <w:r>
        <w:t>editorial spaces and hyphens may freely appear within this element wherever necessary</w:t>
      </w:r>
    </w:p>
    <w:p w14:paraId="3BE8D624" w14:textId="77777777">
      <w:pPr>
        <w:pStyle w:val="Lista2"/>
      </w:pPr>
      <w:r>
        <w:t xml:space="preserve">thus, if a word or compound boundary occurs within such an </w:t>
      </w:r>
      <w:r>
        <w:rPr>
          <w:rStyle w:val="Foreign"/>
        </w:rPr>
        <w:t>akṣara</w:t>
      </w:r>
      <w:r>
        <w:t>, encode respectively e.g.</w:t>
      </w:r>
    </w:p>
    <w:p w14:paraId="6E6BF665" w14:textId="77777777">
      <w:pPr>
        <w:pStyle w:val="Lista3"/>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 ka</w:t>
      </w:r>
      <w:r>
        <w:rPr>
          <w:rStyle w:val="Code"/>
        </w:rPr>
        <w:t>&lt;/seg&gt;</w:t>
      </w:r>
      <w:r>
        <w:t xml:space="preserve"> or </w:t>
      </w:r>
      <w:r>
        <w:rPr>
          <w:rStyle w:val="Code"/>
        </w:rPr>
        <w:t xml:space="preserve">&lt;seg </w:t>
      </w:r>
      <w:r>
        <w:rPr>
          <w:rStyle w:val="Codeattribute"/>
        </w:rPr>
        <w:t>type</w:t>
      </w:r>
      <w:r>
        <w:rPr>
          <w:rStyle w:val="Code"/>
        </w:rPr>
        <w:t>=</w:t>
      </w:r>
      <w:r>
        <w:rPr>
          <w:rStyle w:val="Codevalue"/>
        </w:rPr>
        <w:t>"aksara"</w:t>
      </w:r>
      <w:r>
        <w:rPr>
          <w:rStyle w:val="Code"/>
        </w:rPr>
        <w:t>&gt;</w:t>
      </w:r>
      <w:r>
        <w:rPr>
          <w:rStyle w:val="Codetext"/>
        </w:rPr>
        <w:t>k= ka</w:t>
      </w:r>
      <w:r>
        <w:rPr>
          <w:rStyle w:val="Code"/>
        </w:rPr>
        <w:t>&lt;/seg&gt;</w:t>
      </w:r>
    </w:p>
    <w:p w14:paraId="12BEA3FA" w14:textId="4B7AF4DC">
      <w:pPr>
        <w:pStyle w:val="Lista3"/>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r>
        <w:t xml:space="preserve"> instead of </w:t>
      </w: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p>
    <w:tbl>
      <w:tblPr>
        <w:tblStyle w:val="CodeSampleTable"/>
        <w:tblW w:w="5006" w:type="pct"/>
        <w:tblLook w:val="04A0" w:firstRow="1" w:lastRow="0" w:firstColumn="1" w:lastColumn="0" w:noHBand="0" w:noVBand="1"/>
      </w:tblPr>
      <w:tblGrid>
        <w:gridCol w:w="556"/>
        <w:gridCol w:w="1194"/>
        <w:gridCol w:w="1124"/>
        <w:gridCol w:w="3384"/>
        <w:gridCol w:w="3370"/>
        <w:gridCol w:w="12"/>
      </w:tblGrid>
      <w:tr w14:paraId="01BD9058" w14:textId="77777777">
        <w:trPr>
          <w:gridAfter w:val="1"/>
          <w:cnfStyle w:val="100000000000" w:firstRow="1" w:lastRow="0" w:firstColumn="0" w:lastColumn="0" w:oddVBand="0" w:evenVBand="0" w:oddHBand="0" w:evenHBand="0" w:firstRowFirstColumn="0" w:firstRowLastColumn="0" w:lastRowFirstColumn="0" w:lastRowLastColumn="0"/>
          <w:wAfter w:w="6" w:type="pct"/>
        </w:trPr>
        <w:tc>
          <w:tcPr>
            <w:tcW w:w="4994" w:type="pct"/>
            <w:gridSpan w:val="5"/>
            <w:tcBorders>
              <w:bottom w:val="single" w:sz="4" w:space="0" w:color="auto"/>
            </w:tcBorders>
          </w:tcPr>
          <w:p w14:paraId="36A5626C" w14:textId="77777777">
            <w:pPr>
              <w:pStyle w:val="Kpalrs"/>
            </w:pPr>
            <w:bookmarkStart w:id="378" w:name="_Ref225935843"/>
            <w:r>
              <w:t xml:space="preserve">Exhibit </w:t>
            </w:r>
            <w:fldSimple w:instr=" STYLEREF 2 \s ">
              <w:r>
                <w:rPr>
                  <w:noProof/>
                </w:rPr>
                <w:t>5.1</w:t>
              </w:r>
            </w:fldSimple>
            <w:r>
              <w:t>.</w:t>
            </w:r>
            <w:fldSimple w:instr=" SEQ Exhibit \* ALPHABETIC \s 2 ">
              <w:r>
                <w:rPr>
                  <w:noProof/>
                </w:rPr>
                <w:t>A</w:t>
              </w:r>
            </w:fldSimple>
            <w:bookmarkEnd w:id="378"/>
            <w:r>
              <w:t>: character with two vowel marks tagged as a single</w:t>
            </w:r>
            <w:r>
              <w:rPr>
                <w:rStyle w:val="Foreign"/>
              </w:rPr>
              <w:t xml:space="preserve"> akṣara</w:t>
            </w:r>
          </w:p>
        </w:tc>
      </w:tr>
      <w:tr w14:paraId="0AF6ECBD" w14:textId="77777777">
        <w:tc>
          <w:tcPr>
            <w:tcW w:w="289" w:type="pct"/>
            <w:tcBorders>
              <w:right w:val="single" w:sz="4" w:space="0" w:color="auto"/>
            </w:tcBorders>
            <w:shd w:val="clear" w:color="auto" w:fill="F0F7D7"/>
          </w:tcPr>
          <w:p w14:paraId="605741E7" w14:textId="77777777">
            <w:pPr>
              <w:pStyle w:val="Tabletext"/>
            </w:pPr>
          </w:p>
        </w:tc>
        <w:tc>
          <w:tcPr>
            <w:tcW w:w="619" w:type="pct"/>
            <w:tcBorders>
              <w:right w:val="single" w:sz="4" w:space="0" w:color="auto"/>
            </w:tcBorders>
          </w:tcPr>
          <w:p w14:paraId="0E883522" w14:textId="77777777">
            <w:pPr>
              <w:pStyle w:val="Tabletext"/>
              <w:jc w:val="center"/>
            </w:pPr>
            <w:r>
              <w:t>glyph</w:t>
            </w:r>
          </w:p>
        </w:tc>
        <w:tc>
          <w:tcPr>
            <w:tcW w:w="583" w:type="pct"/>
            <w:tcBorders>
              <w:left w:val="single" w:sz="4" w:space="0" w:color="auto"/>
              <w:right w:val="single" w:sz="4" w:space="0" w:color="auto"/>
            </w:tcBorders>
          </w:tcPr>
          <w:p w14:paraId="1A6B0749" w14:textId="77777777">
            <w:pPr>
              <w:pStyle w:val="Tabletext"/>
              <w:jc w:val="center"/>
            </w:pPr>
            <w:r>
              <w:t>shorthand</w:t>
            </w:r>
          </w:p>
        </w:tc>
        <w:tc>
          <w:tcPr>
            <w:tcW w:w="1755" w:type="pct"/>
            <w:tcBorders>
              <w:left w:val="single" w:sz="4" w:space="0" w:color="auto"/>
              <w:right w:val="single" w:sz="4" w:space="0" w:color="auto"/>
            </w:tcBorders>
          </w:tcPr>
          <w:p w14:paraId="17033C43" w14:textId="77777777">
            <w:pPr>
              <w:pStyle w:val="Tabletext"/>
              <w:jc w:val="center"/>
            </w:pPr>
            <w:r>
              <w:t>encoding + shorthand</w:t>
            </w:r>
          </w:p>
        </w:tc>
        <w:tc>
          <w:tcPr>
            <w:tcW w:w="1754" w:type="pct"/>
            <w:gridSpan w:val="2"/>
            <w:tcBorders>
              <w:left w:val="single" w:sz="4" w:space="0" w:color="auto"/>
            </w:tcBorders>
          </w:tcPr>
          <w:p w14:paraId="722B876A" w14:textId="77777777">
            <w:pPr>
              <w:pStyle w:val="Tabletext"/>
              <w:jc w:val="center"/>
            </w:pPr>
            <w:r>
              <w:t>encoding only</w:t>
            </w:r>
          </w:p>
        </w:tc>
      </w:tr>
      <w:tr w14:paraId="3760E2D3" w14:textId="77777777">
        <w:tc>
          <w:tcPr>
            <w:tcW w:w="289" w:type="pct"/>
            <w:tcBorders>
              <w:right w:val="single" w:sz="4" w:space="0" w:color="auto"/>
            </w:tcBorders>
            <w:shd w:val="clear" w:color="auto" w:fill="F0F7D7"/>
            <w:vAlign w:val="center"/>
          </w:tcPr>
          <w:p w14:paraId="3DE4D29F" w14:textId="77777777">
            <w:pPr>
              <w:pStyle w:val="Tabletext"/>
              <w:jc w:val="center"/>
              <w:rPr>
                <w:noProof/>
              </w:rPr>
            </w:pPr>
            <w:r>
              <w:rPr>
                <w:noProof/>
              </w:rPr>
              <w:t>1</w:t>
            </w:r>
          </w:p>
        </w:tc>
        <w:tc>
          <w:tcPr>
            <w:tcW w:w="619" w:type="pct"/>
            <w:tcBorders>
              <w:right w:val="single" w:sz="4" w:space="0" w:color="auto"/>
            </w:tcBorders>
            <w:vAlign w:val="center"/>
          </w:tcPr>
          <w:p w14:paraId="0E70EDF0" w14:textId="77777777">
            <w:pPr>
              <w:pStyle w:val="Tabletext"/>
              <w:jc w:val="center"/>
            </w:pPr>
            <w:r>
              <w:rPr>
                <w:noProof/>
              </w:rPr>
              <w:drawing>
                <wp:inline distT="0" distB="0" distL="0" distR="0" wp14:anchorId="2768CDC9" wp14:editId="7AAB55DF">
                  <wp:extent cx="349200" cy="5400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3" cstate="print">
                            <a:extLst>
                              <a:ext uri="{28A0092B-C50C-407E-A947-70E740481C1C}">
                                <a14:useLocalDpi xmlns:a14="http://schemas.microsoft.com/office/drawing/2010/main" val="0"/>
                              </a:ext>
                            </a:extLst>
                          </a:blip>
                          <a:srcRect/>
                          <a:stretch>
                            <a:fillRect/>
                          </a:stretch>
                        </pic:blipFill>
                        <pic:spPr>
                          <a:xfrm>
                            <a:off x="0" y="0"/>
                            <a:ext cx="349200" cy="540000"/>
                          </a:xfrm>
                          <a:prstGeom prst="rect">
                            <a:avLst/>
                          </a:prstGeom>
                          <a:ln/>
                        </pic:spPr>
                      </pic:pic>
                    </a:graphicData>
                  </a:graphic>
                </wp:inline>
              </w:drawing>
            </w:r>
          </w:p>
        </w:tc>
        <w:tc>
          <w:tcPr>
            <w:tcW w:w="583" w:type="pct"/>
            <w:tcBorders>
              <w:left w:val="single" w:sz="4" w:space="0" w:color="auto"/>
              <w:right w:val="single" w:sz="4" w:space="0" w:color="auto"/>
            </w:tcBorders>
            <w:vAlign w:val="center"/>
          </w:tcPr>
          <w:p w14:paraId="1D64D14D" w14:textId="77777777">
            <w:pPr>
              <w:pStyle w:val="Tabletext"/>
              <w:jc w:val="center"/>
            </w:pPr>
            <w:r>
              <w:t>du=ā</w:t>
            </w:r>
          </w:p>
        </w:tc>
        <w:tc>
          <w:tcPr>
            <w:tcW w:w="1755" w:type="pct"/>
            <w:tcBorders>
              <w:left w:val="single" w:sz="4" w:space="0" w:color="auto"/>
              <w:right w:val="single" w:sz="4" w:space="0" w:color="auto"/>
            </w:tcBorders>
            <w:vAlign w:val="center"/>
          </w:tcPr>
          <w:p w14:paraId="3FBE4AE5"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du=ā</w:t>
            </w:r>
            <w:r>
              <w:rPr>
                <w:rStyle w:val="Code"/>
              </w:rPr>
              <w:t>&lt;/seg&gt;</w:t>
            </w:r>
          </w:p>
        </w:tc>
        <w:tc>
          <w:tcPr>
            <w:tcW w:w="1754" w:type="pct"/>
            <w:gridSpan w:val="2"/>
            <w:tcBorders>
              <w:left w:val="single" w:sz="4" w:space="0" w:color="auto"/>
            </w:tcBorders>
            <w:vAlign w:val="center"/>
          </w:tcPr>
          <w:p w14:paraId="024BF775"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duā</w:t>
            </w:r>
            <w:r>
              <w:rPr>
                <w:rStyle w:val="Code"/>
              </w:rPr>
              <w:t>&lt;/seg&gt;</w:t>
            </w:r>
          </w:p>
        </w:tc>
      </w:tr>
      <w:tr w14:paraId="4F72737D" w14:textId="77777777">
        <w:tc>
          <w:tcPr>
            <w:tcW w:w="289" w:type="pct"/>
            <w:tcBorders>
              <w:right w:val="single" w:sz="4" w:space="0" w:color="auto"/>
            </w:tcBorders>
            <w:shd w:val="clear" w:color="auto" w:fill="F0F7D7"/>
            <w:vAlign w:val="center"/>
          </w:tcPr>
          <w:p w14:paraId="1AEA8FA6" w14:textId="77777777">
            <w:pPr>
              <w:pStyle w:val="Tabletext"/>
              <w:jc w:val="center"/>
              <w:rPr>
                <w:noProof/>
              </w:rPr>
            </w:pPr>
            <w:r>
              <w:rPr>
                <w:noProof/>
              </w:rPr>
              <w:t>2</w:t>
            </w:r>
          </w:p>
        </w:tc>
        <w:tc>
          <w:tcPr>
            <w:tcW w:w="619" w:type="pct"/>
            <w:tcBorders>
              <w:right w:val="single" w:sz="4" w:space="0" w:color="auto"/>
            </w:tcBorders>
            <w:vAlign w:val="center"/>
          </w:tcPr>
          <w:p w14:paraId="3395995D" w14:textId="77777777">
            <w:pPr>
              <w:pStyle w:val="Tabletext"/>
              <w:jc w:val="center"/>
              <w:rPr>
                <w:noProof/>
              </w:rPr>
            </w:pPr>
            <w:r>
              <w:rPr>
                <w:noProof/>
              </w:rPr>
              <w:drawing>
                <wp:inline distT="0" distB="0" distL="0" distR="0" wp14:anchorId="1A0A36E6" wp14:editId="14E8E090">
                  <wp:extent cx="752400" cy="540000"/>
                  <wp:effectExtent l="0" t="0" r="0" b="0"/>
                  <wp:docPr id="1479425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52400" cy="540000"/>
                          </a:xfrm>
                          <a:prstGeom prst="rect">
                            <a:avLst/>
                          </a:prstGeom>
                          <a:noFill/>
                          <a:ln>
                            <a:noFill/>
                          </a:ln>
                        </pic:spPr>
                      </pic:pic>
                    </a:graphicData>
                  </a:graphic>
                </wp:inline>
              </w:drawing>
            </w:r>
          </w:p>
        </w:tc>
        <w:tc>
          <w:tcPr>
            <w:tcW w:w="583" w:type="pct"/>
            <w:tcBorders>
              <w:left w:val="single" w:sz="4" w:space="0" w:color="auto"/>
              <w:right w:val="single" w:sz="4" w:space="0" w:color="auto"/>
            </w:tcBorders>
            <w:vAlign w:val="center"/>
          </w:tcPr>
          <w:p w14:paraId="0D295842" w14:textId="77777777">
            <w:pPr>
              <w:pStyle w:val="Tabletext"/>
              <w:jc w:val="center"/>
            </w:pPr>
            <w:r>
              <w:t>k=ka</w:t>
            </w:r>
          </w:p>
        </w:tc>
        <w:tc>
          <w:tcPr>
            <w:tcW w:w="1755" w:type="pct"/>
            <w:tcBorders>
              <w:left w:val="single" w:sz="4" w:space="0" w:color="auto"/>
              <w:right w:val="single" w:sz="4" w:space="0" w:color="auto"/>
            </w:tcBorders>
            <w:vAlign w:val="center"/>
          </w:tcPr>
          <w:p w14:paraId="062B9CCB" w14:textId="77777777">
            <w:pPr>
              <w:pStyle w:val="CodeParagraph"/>
              <w:jc w:val="center"/>
            </w:pPr>
            <w:r>
              <w:rPr>
                <w:rStyle w:val="Code"/>
              </w:rPr>
              <w:t xml:space="preserve">&lt;seg </w:t>
            </w:r>
            <w:r>
              <w:rPr>
                <w:rStyle w:val="Codeattribute"/>
              </w:rPr>
              <w:t>type</w:t>
            </w:r>
            <w:r>
              <w:rPr>
                <w:rStyle w:val="Code"/>
              </w:rPr>
              <w:t>=</w:t>
            </w:r>
            <w:r>
              <w:rPr>
                <w:rStyle w:val="Codevalue"/>
              </w:rPr>
              <w:t>"aksara"</w:t>
            </w:r>
            <w:r>
              <w:rPr>
                <w:rStyle w:val="Code"/>
              </w:rPr>
              <w:t>&gt;k</w:t>
            </w:r>
            <w:r>
              <w:rPr>
                <w:rStyle w:val="Codetext"/>
              </w:rPr>
              <w:t>=ka</w:t>
            </w:r>
            <w:r>
              <w:rPr>
                <w:rStyle w:val="Code"/>
              </w:rPr>
              <w:t>&lt;/seg&gt;</w:t>
            </w:r>
          </w:p>
        </w:tc>
        <w:tc>
          <w:tcPr>
            <w:tcW w:w="1754" w:type="pct"/>
            <w:gridSpan w:val="2"/>
            <w:tcBorders>
              <w:left w:val="single" w:sz="4" w:space="0" w:color="auto"/>
            </w:tcBorders>
            <w:vAlign w:val="center"/>
          </w:tcPr>
          <w:p w14:paraId="522ACFCB"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kka</w:t>
            </w:r>
            <w:r>
              <w:rPr>
                <w:rStyle w:val="Code"/>
              </w:rPr>
              <w:t>&lt;/seg&gt;</w:t>
            </w:r>
          </w:p>
        </w:tc>
      </w:tr>
      <w:tr w14:paraId="6FB1F497" w14:textId="77777777">
        <w:tc>
          <w:tcPr>
            <w:tcW w:w="289" w:type="pct"/>
            <w:tcBorders>
              <w:right w:val="single" w:sz="4" w:space="0" w:color="auto"/>
            </w:tcBorders>
            <w:shd w:val="clear" w:color="auto" w:fill="F0F7D7"/>
            <w:vAlign w:val="center"/>
          </w:tcPr>
          <w:p w14:paraId="74C56CF5" w14:textId="77777777">
            <w:pPr>
              <w:pStyle w:val="Tabletext"/>
              <w:jc w:val="center"/>
              <w:rPr>
                <w:noProof/>
              </w:rPr>
            </w:pPr>
            <w:r>
              <w:rPr>
                <w:noProof/>
              </w:rPr>
              <w:t>3</w:t>
            </w:r>
          </w:p>
        </w:tc>
        <w:tc>
          <w:tcPr>
            <w:tcW w:w="619" w:type="pct"/>
            <w:tcBorders>
              <w:right w:val="single" w:sz="4" w:space="0" w:color="auto"/>
            </w:tcBorders>
            <w:vAlign w:val="center"/>
          </w:tcPr>
          <w:p w14:paraId="54F1D815" w14:textId="77777777">
            <w:pPr>
              <w:pStyle w:val="Tabletext"/>
              <w:jc w:val="center"/>
              <w:rPr>
                <w:noProof/>
              </w:rPr>
            </w:pPr>
            <w:r>
              <w:rPr>
                <w:noProof/>
              </w:rPr>
              <w:drawing>
                <wp:inline distT="0" distB="0" distL="0" distR="0" wp14:anchorId="44FBA0F8" wp14:editId="045B2DD4">
                  <wp:extent cx="468000" cy="540000"/>
                  <wp:effectExtent l="0" t="0" r="8255" b="0"/>
                  <wp:docPr id="1264728767"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8000" cy="540000"/>
                          </a:xfrm>
                          <a:prstGeom prst="rect">
                            <a:avLst/>
                          </a:prstGeom>
                          <a:noFill/>
                          <a:ln>
                            <a:noFill/>
                          </a:ln>
                        </pic:spPr>
                      </pic:pic>
                    </a:graphicData>
                  </a:graphic>
                </wp:inline>
              </w:drawing>
            </w:r>
          </w:p>
        </w:tc>
        <w:tc>
          <w:tcPr>
            <w:tcW w:w="583" w:type="pct"/>
            <w:tcBorders>
              <w:left w:val="single" w:sz="4" w:space="0" w:color="auto"/>
              <w:right w:val="single" w:sz="4" w:space="0" w:color="auto"/>
            </w:tcBorders>
            <w:vAlign w:val="center"/>
          </w:tcPr>
          <w:p w14:paraId="5CFB78D1" w14:textId="77777777">
            <w:pPr>
              <w:pStyle w:val="Tabletext"/>
              <w:jc w:val="center"/>
            </w:pPr>
            <w:r>
              <w:t>ḫ=</w:t>
            </w:r>
            <w:proofErr w:type="spellStart"/>
            <w:r>
              <w:t>pu</w:t>
            </w:r>
            <w:proofErr w:type="spellEnd"/>
          </w:p>
        </w:tc>
        <w:tc>
          <w:tcPr>
            <w:tcW w:w="1755" w:type="pct"/>
            <w:tcBorders>
              <w:left w:val="single" w:sz="4" w:space="0" w:color="auto"/>
              <w:right w:val="single" w:sz="4" w:space="0" w:color="auto"/>
            </w:tcBorders>
            <w:vAlign w:val="center"/>
          </w:tcPr>
          <w:p w14:paraId="3656C5F0"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&gt;ḫ=pu&lt;/seg&gt;</w:t>
            </w:r>
          </w:p>
        </w:tc>
        <w:tc>
          <w:tcPr>
            <w:tcW w:w="1754" w:type="pct"/>
            <w:gridSpan w:val="2"/>
            <w:tcBorders>
              <w:left w:val="single" w:sz="4" w:space="0" w:color="auto"/>
            </w:tcBorders>
            <w:vAlign w:val="center"/>
          </w:tcPr>
          <w:p w14:paraId="39F46420" w14:textId="77777777">
            <w:pPr>
              <w:pStyle w:val="CodeParagraph"/>
              <w:jc w:val="center"/>
              <w:rPr>
                <w:rStyle w:val="Code"/>
              </w:rPr>
            </w:pPr>
            <w:r>
              <w:rPr>
                <w:rStyle w:val="Code"/>
              </w:rPr>
              <w:t xml:space="preserve">&lt;seg </w:t>
            </w:r>
            <w:r>
              <w:rPr>
                <w:rStyle w:val="Codeattribute"/>
              </w:rPr>
              <w:t>type</w:t>
            </w:r>
            <w:r>
              <w:rPr>
                <w:rStyle w:val="Code"/>
              </w:rPr>
              <w:t>=</w:t>
            </w:r>
            <w:r>
              <w:rPr>
                <w:rStyle w:val="Codevalue"/>
              </w:rPr>
              <w:t>"aksara"</w:t>
            </w:r>
            <w:r>
              <w:rPr>
                <w:rStyle w:val="Code"/>
              </w:rPr>
              <w:t>&gt;</w:t>
            </w:r>
            <w:r>
              <w:rPr>
                <w:rStyle w:val="Codetext"/>
              </w:rPr>
              <w:t>ḫpu</w:t>
            </w:r>
            <w:r>
              <w:rPr>
                <w:rStyle w:val="Code"/>
              </w:rPr>
              <w:t>&lt;/seg&gt;</w:t>
            </w:r>
          </w:p>
        </w:tc>
      </w:tr>
    </w:tbl>
    <w:p w14:paraId="60A6637D" w14:textId="77777777">
      <w:pPr>
        <w:pStyle w:val="Cmsor3"/>
      </w:pPr>
      <w:bookmarkStart w:id="379" w:name="_qasht2vjwj9m" w:colFirst="0" w:colLast="0"/>
      <w:bookmarkStart w:id="380" w:name="_Ref43987131"/>
      <w:bookmarkStart w:id="381" w:name="_Ref228202081"/>
      <w:bookmarkStart w:id="382" w:name="_Toc243900287"/>
      <w:bookmarkEnd w:id="379"/>
      <w:r>
        <w:t xml:space="preserve">Tagging parts of </w:t>
      </w:r>
      <w:bookmarkEnd w:id="380"/>
      <w:r>
        <w:t>phonographic glyphs</w:t>
      </w:r>
      <w:bookmarkEnd w:id="381"/>
      <w:bookmarkEnd w:id="382"/>
    </w:p>
    <w:p w14:paraId="6A43959D" w14:textId="77777777">
      <w:r>
        <w:t xml:space="preserve">As discussed in the TG (§3.1.4.2), our transliteration scheme ignores the variation of graphotactic allographs, i.e. different graphs normally employed in different positions for the same grapheme, such as the regular, superscript and subscript forms of &lt;r&gt; in most Indic writing systems. In XML encoding, we suggest a system of </w:t>
      </w:r>
      <w:r>
        <w:rPr>
          <w:noProof/>
        </w:rPr>
        <w:t>“sub-</w:t>
      </w:r>
      <w:r>
        <w:rPr>
          <w:rStyle w:val="Foreign"/>
        </w:rPr>
        <w:t>akṣara</w:t>
      </w:r>
      <w:r>
        <w:t xml:space="preserve"> markup” for tagging individual target graphemes with the purpose of indicating which part of a source glyph manifests that grapheme.</w:t>
      </w:r>
    </w:p>
    <w:p w14:paraId="3DCF94C2" w14:textId="77777777">
      <w:pPr>
        <w:pStyle w:val="Normlbehzs"/>
      </w:pPr>
      <w:r>
        <w:t>Keep in mind that DHARMA transliteration does distinguish graphemic allographs, i.e. the independent and dependent forms of vowels and consonants, so in all but a few cases a reader familiar with the source writing system will be able to reconstruct the graphetic composition of the source on the basis of the trans</w:t>
      </w:r>
      <w:r>
        <w:lastRenderedPageBreak/>
        <w:t xml:space="preserve">literated text. </w:t>
      </w:r>
      <w:r>
        <w:rPr>
          <w:noProof/>
        </w:rPr>
        <w:t>Sub-</w:t>
      </w:r>
      <w:r>
        <w:rPr>
          <w:rStyle w:val="Foreign"/>
        </w:rPr>
        <w:t>akṣara</w:t>
      </w:r>
      <w:r>
        <w:t xml:space="preserve"> markup is optional, and is generally counter-recommended on account of the encoding complexity involved. You may, however, need this kind of encoding for representing extraordinary spatial arrangement in the source when this is deemed desirable </w:t>
      </w:r>
      <w:r>
        <w:rPr>
          <w:noProof/>
        </w:rPr>
        <w:t>(</w:t>
      </w:r>
      <w:r>
        <w:t>§</w:t>
      </w:r>
      <w:r>
        <w:fldChar w:fldCharType="begin"/>
      </w:r>
      <w:r>
        <w:instrText xml:space="preserve"> REF _Ref43987090 \w \h  \* MERGEFORMAT </w:instrText>
      </w:r>
      <w:r>
        <w:fldChar w:fldCharType="separate"/>
      </w:r>
      <w:r>
        <w:t>5.1.3</w:t>
      </w:r>
      <w:r>
        <w:fldChar w:fldCharType="end"/>
      </w:r>
      <w:r>
        <w:t xml:space="preserve">), and for the encoding of micro-level lacunae </w:t>
      </w:r>
      <w:r>
        <w:rPr>
          <w:noProof/>
        </w:rPr>
        <w:t>(</w:t>
      </w:r>
      <w:r>
        <w:t>§</w:t>
      </w:r>
      <w:r>
        <w:fldChar w:fldCharType="begin"/>
      </w:r>
      <w:r>
        <w:instrText xml:space="preserve"> REF _Ref43987049 \w \h  \* MERGEFORMAT </w:instrText>
      </w:r>
      <w:r>
        <w:fldChar w:fldCharType="separate"/>
      </w:r>
      <w:r>
        <w:t>6.5.2.4</w:t>
      </w:r>
      <w:r>
        <w:fldChar w:fldCharType="end"/>
      </w:r>
      <w:r>
        <w:t>) for textual loci that are both highly problematic as regards legibility and pivotal as regards interpretation.</w:t>
      </w:r>
    </w:p>
    <w:p w14:paraId="5F8A9F75" w14:textId="77777777">
      <w:pPr>
        <w:pStyle w:val="Lista"/>
      </w:pPr>
      <w:r>
        <w:t>see §</w:t>
      </w:r>
      <w:r>
        <w:fldChar w:fldCharType="begin"/>
      </w:r>
      <w:r>
        <w:instrText xml:space="preserve"> REF _Ref43987165 \w \h  \* MERGEFORMAT </w:instrText>
      </w:r>
      <w:r>
        <w:fldChar w:fldCharType="separate"/>
      </w:r>
      <w:r>
        <w:t>5.1.4</w:t>
      </w:r>
      <w:r>
        <w:fldChar w:fldCharType="end"/>
      </w:r>
      <w:r>
        <w:t xml:space="preserve"> about handling glyph components separated from others by an intervening physical feature, a situation for which </w:t>
      </w:r>
      <w:r>
        <w:rPr>
          <w:noProof/>
        </w:rPr>
        <w:t>sub-</w:t>
      </w:r>
      <w:r>
        <w:rPr>
          <w:rStyle w:val="Foreign"/>
        </w:rPr>
        <w:t>akṣara</w:t>
      </w:r>
      <w:r>
        <w:t xml:space="preserve"> markup is not applicable</w:t>
      </w:r>
    </w:p>
    <w:p w14:paraId="64142232" w14:textId="77777777">
      <w:pPr>
        <w:pStyle w:val="Lista"/>
      </w:pPr>
      <w:r>
        <w:t>see §</w:t>
      </w:r>
      <w:r>
        <w:fldChar w:fldCharType="begin"/>
      </w:r>
      <w:r>
        <w:instrText xml:space="preserve"> REF _Ref228275185 \r \h </w:instrText>
      </w:r>
      <w:r>
        <w:fldChar w:fldCharType="separate"/>
      </w:r>
      <w:r>
        <w:t>6.3.3</w:t>
      </w:r>
      <w:r>
        <w:fldChar w:fldCharType="end"/>
      </w:r>
      <w:r>
        <w:t xml:space="preserve"> about handling legibility issues concerning glyph components, a situation for which </w:t>
      </w:r>
      <w:r>
        <w:rPr>
          <w:rStyle w:val="Foreign"/>
        </w:rPr>
        <w:t>sub-akṣara</w:t>
      </w:r>
      <w:r>
        <w:t xml:space="preserve"> markup is not normally warranted</w:t>
      </w:r>
    </w:p>
    <w:p w14:paraId="7370B812" w14:textId="77777777">
      <w:pPr>
        <w:pStyle w:val="Lista"/>
      </w:pPr>
      <w:r>
        <w:t xml:space="preserve">if you choose to tag a specific </w:t>
      </w:r>
      <w:r>
        <w:rPr>
          <w:noProof/>
        </w:rPr>
        <w:t>sub-</w:t>
      </w:r>
      <w:r>
        <w:rPr>
          <w:rStyle w:val="Foreign"/>
        </w:rPr>
        <w:t>akṣara</w:t>
      </w:r>
      <w:r>
        <w:t xml:space="preserve"> component, wrap it in </w:t>
      </w:r>
      <w:r>
        <w:rPr>
          <w:rStyle w:val="Code"/>
        </w:rPr>
        <w:t xml:space="preserve">&lt;seg </w:t>
      </w:r>
      <w:r>
        <w:rPr>
          <w:rStyle w:val="Codeattribute"/>
        </w:rPr>
        <w:t>type</w:t>
      </w:r>
      <w:r>
        <w:rPr>
          <w:rStyle w:val="Code"/>
        </w:rPr>
        <w:t>=</w:t>
      </w:r>
      <w:r>
        <w:rPr>
          <w:rStyle w:val="Codevalue"/>
        </w:rPr>
        <w:t>"component"</w:t>
      </w:r>
      <w:r>
        <w:rPr>
          <w:rStyle w:val="Code"/>
        </w:rPr>
        <w:t>&gt;</w:t>
      </w:r>
      <w:r>
        <w:t xml:space="preserve"> and add a </w:t>
      </w:r>
      <w:r>
        <w:rPr>
          <w:rStyle w:val="Codeattribute"/>
        </w:rPr>
        <w:t>@subtype</w:t>
      </w:r>
      <w:r>
        <w:t xml:space="preserve"> attribute with one of the following values:</w:t>
      </w:r>
    </w:p>
    <w:p w14:paraId="4652778F" w14:textId="77777777">
      <w:pPr>
        <w:pStyle w:val="Lista2"/>
      </w:pPr>
      <w:r>
        <w:rPr>
          <w:rStyle w:val="Codevalue"/>
        </w:rPr>
        <w:t>"body"</w:t>
      </w:r>
      <w:r>
        <w:t xml:space="preserve"> for the principal component of a complex glyph, which may be a single consonant or a conjunct</w:t>
      </w:r>
    </w:p>
    <w:p w14:paraId="64C18DE0" w14:textId="77777777">
      <w:pPr>
        <w:pStyle w:val="Lista2"/>
      </w:pPr>
      <w:r>
        <w:rPr>
          <w:rStyle w:val="Codevalue"/>
        </w:rPr>
        <w:t>"consonant"</w:t>
      </w:r>
      <w:r>
        <w:t xml:space="preserve"> for exactly one consonant component whose graphic location cannot be determined or is irrelevant</w:t>
      </w:r>
    </w:p>
    <w:p w14:paraId="706CBDE9" w14:textId="77777777">
      <w:pPr>
        <w:pStyle w:val="Lista2"/>
      </w:pPr>
      <w:r>
        <w:rPr>
          <w:rStyle w:val="Codevalue"/>
        </w:rPr>
        <w:t>"conjunct"</w:t>
      </w:r>
      <w:r>
        <w:t xml:space="preserve"> for two or more consonant components belonging to a single </w:t>
      </w:r>
      <w:r>
        <w:rPr>
          <w:rStyle w:val="Foreign"/>
        </w:rPr>
        <w:t>akṣara</w:t>
      </w:r>
      <w:r>
        <w:t xml:space="preserve"> (when you know the consonant was not single because prosody eliminates that possibility, or because vestiges definitely indicate a conjunct even though it is illegible)</w:t>
      </w:r>
    </w:p>
    <w:p w14:paraId="16BE974C" w14:textId="77777777">
      <w:pPr>
        <w:pStyle w:val="Lista2"/>
      </w:pPr>
      <w:r>
        <w:rPr>
          <w:rStyle w:val="Codevalue"/>
        </w:rPr>
        <w:t>"vowel"</w:t>
      </w:r>
      <w:r>
        <w:t xml:space="preserve"> for the vocalisation of an </w:t>
      </w:r>
      <w:r>
        <w:rPr>
          <w:rStyle w:val="Foreign"/>
        </w:rPr>
        <w:t>akṣara</w:t>
      </w:r>
      <w:r>
        <w:t>, when the location of the vowel marker cannot be determined or is irrelevant</w:t>
      </w:r>
    </w:p>
    <w:p w14:paraId="28BEF7A2" w14:textId="77777777">
      <w:pPr>
        <w:pStyle w:val="Lista2"/>
      </w:pPr>
      <w:r>
        <w:rPr>
          <w:rStyle w:val="Codevalue"/>
        </w:rPr>
        <w:t>"superscript"</w:t>
      </w:r>
      <w:r>
        <w:t xml:space="preserve"> for any components above the body, such as a superscript </w:t>
      </w:r>
      <w:r>
        <w:rPr>
          <w:rStyle w:val="Foreign"/>
        </w:rPr>
        <w:t>r</w:t>
      </w:r>
      <w:r>
        <w:t xml:space="preserve"> or a superscript vowel marker</w:t>
      </w:r>
    </w:p>
    <w:p w14:paraId="412EBE18" w14:textId="77777777">
      <w:pPr>
        <w:pStyle w:val="Lista2"/>
      </w:pPr>
      <w:r>
        <w:rPr>
          <w:rStyle w:val="Codevalue"/>
        </w:rPr>
        <w:t>"subscript"</w:t>
      </w:r>
      <w:r>
        <w:t xml:space="preserve"> for any components below the body, such as the subscript consonant of a conjunct or a subscript vowel marker</w:t>
      </w:r>
    </w:p>
    <w:p w14:paraId="393F7A0F" w14:textId="77777777">
      <w:pPr>
        <w:pStyle w:val="Lista2"/>
      </w:pPr>
      <w:r>
        <w:rPr>
          <w:rStyle w:val="Codevalue"/>
        </w:rPr>
        <w:t>"prescript"</w:t>
      </w:r>
      <w:r>
        <w:t xml:space="preserve"> for any components to the left of the body, generally a vowel marker but also applicable to part of a horizontally composed ligature</w:t>
      </w:r>
    </w:p>
    <w:p w14:paraId="533A5509" w14:textId="77777777">
      <w:pPr>
        <w:pStyle w:val="Lista2"/>
      </w:pPr>
      <w:r>
        <w:rPr>
          <w:rStyle w:val="Codevalue"/>
        </w:rPr>
        <w:t>"postscript"</w:t>
      </w:r>
      <w:r>
        <w:t xml:space="preserve"> for any components to the right of the body, generally a vowel marker but also applicable to part of a horizontally composed ligature</w:t>
      </w:r>
    </w:p>
    <w:p w14:paraId="7FDD0DF6" w14:textId="77777777">
      <w:pPr>
        <w:pStyle w:val="Lista"/>
      </w:pPr>
      <w:r>
        <w:t xml:space="preserve">when dealing with </w:t>
      </w:r>
      <w:r>
        <w:rPr>
          <w:noProof/>
        </w:rPr>
        <w:t>sub-</w:t>
      </w:r>
      <w:r>
        <w:rPr>
          <w:rStyle w:val="Foreign"/>
        </w:rPr>
        <w:t>akṣara</w:t>
      </w:r>
      <w:r>
        <w:t xml:space="preserve"> lacunae in relatively simple cases, your primary concern is to encode what kind of grapheme was lost, without regard to exactly what kind of glyph component represented it; in this case,</w:t>
      </w:r>
    </w:p>
    <w:p w14:paraId="5E6D9272" w14:textId="77777777">
      <w:pPr>
        <w:pStyle w:val="Lista2"/>
      </w:pPr>
      <w:r>
        <w:t xml:space="preserve">either use </w:t>
      </w:r>
      <w:r>
        <w:rPr>
          <w:rStyle w:val="Codevalue"/>
        </w:rPr>
        <w:t>"vowel"</w:t>
      </w:r>
      <w:r>
        <w:t xml:space="preserve"> for a lost vowel component, and </w:t>
      </w:r>
      <w:r>
        <w:rPr>
          <w:rStyle w:val="Codevalue"/>
        </w:rPr>
        <w:t>"consonant"</w:t>
      </w:r>
      <w:r>
        <w:t xml:space="preserve">, </w:t>
      </w:r>
      <w:r>
        <w:rPr>
          <w:rStyle w:val="Codevalue"/>
        </w:rPr>
        <w:t>"conjunct"</w:t>
      </w:r>
      <w:r>
        <w:t xml:space="preserve"> or </w:t>
      </w:r>
      <w:r>
        <w:rPr>
          <w:rStyle w:val="Codevalue"/>
        </w:rPr>
        <w:t>"body"</w:t>
      </w:r>
      <w:r>
        <w:t xml:space="preserve"> respectively for a lost consonant component that is known to be single, known to be a conjunct, or may be either of these</w:t>
      </w:r>
    </w:p>
    <w:p w14:paraId="2C9817D3" w14:textId="77777777">
      <w:pPr>
        <w:pStyle w:val="Lista2"/>
      </w:pPr>
      <w:r>
        <w:t xml:space="preserve">or forego </w:t>
      </w:r>
      <w:r>
        <w:rPr>
          <w:noProof/>
        </w:rPr>
        <w:t>sub-</w:t>
      </w:r>
      <w:r>
        <w:rPr>
          <w:rStyle w:val="Foreign"/>
        </w:rPr>
        <w:t>akṣara</w:t>
      </w:r>
      <w:r>
        <w:t xml:space="preserve"> encoding and use the placeholders V for ‘any vowel’ and C for ‘any consonant’ (TG §3.3.2.2) instead of encoding illegible or lost graphemes as component-level lacunae</w:t>
      </w:r>
    </w:p>
    <w:p w14:paraId="61D6CF85" w14:textId="77777777">
      <w:pPr>
        <w:pStyle w:val="Lista"/>
      </w:pPr>
      <w:r>
        <w:t>when dealing with unusually composed glyphs or with partial lacunae in complex cases that can benefit from a very high level of detail in the encoding (e.g. because the text is unintelligible and you wish to be fully objective in encoding what you see, without projecting any interpretation onto it), your primary concern is to describe the nature of the original glyph as accurately as possible; in this case,</w:t>
      </w:r>
    </w:p>
    <w:p w14:paraId="08E4014E" w14:textId="77777777">
      <w:pPr>
        <w:pStyle w:val="Lista2"/>
      </w:pPr>
      <w:r>
        <w:t xml:space="preserve">give preference to the values </w:t>
      </w:r>
      <w:r>
        <w:rPr>
          <w:rStyle w:val="Codevalue"/>
        </w:rPr>
        <w:t>"body"</w:t>
      </w:r>
      <w:r>
        <w:t xml:space="preserve">, </w:t>
      </w:r>
      <w:r>
        <w:rPr>
          <w:rStyle w:val="Codevalue"/>
        </w:rPr>
        <w:t>"superscript"</w:t>
      </w:r>
      <w:r>
        <w:t xml:space="preserve">, </w:t>
      </w:r>
      <w:r>
        <w:rPr>
          <w:rStyle w:val="Codevalue"/>
        </w:rPr>
        <w:t>"subscript"</w:t>
      </w:r>
      <w:r>
        <w:t xml:space="preserve">, </w:t>
      </w:r>
      <w:r>
        <w:rPr>
          <w:rStyle w:val="Codevalue"/>
        </w:rPr>
        <w:t>"prescript"</w:t>
      </w:r>
      <w:r>
        <w:t xml:space="preserve"> and </w:t>
      </w:r>
      <w:r>
        <w:rPr>
          <w:rStyle w:val="Codevalue"/>
        </w:rPr>
        <w:t>"postscript"</w:t>
      </w:r>
      <w:r>
        <w:t xml:space="preserve"> to encode the graphic location of the lacuna within the complex glyph, and use </w:t>
      </w:r>
      <w:r>
        <w:rPr>
          <w:rStyle w:val="Codevalue"/>
        </w:rPr>
        <w:t>"vowel"</w:t>
      </w:r>
      <w:r>
        <w:t xml:space="preserve">, </w:t>
      </w:r>
      <w:r>
        <w:rPr>
          <w:rStyle w:val="Codevalue"/>
        </w:rPr>
        <w:t>"consonant"</w:t>
      </w:r>
      <w:r>
        <w:t xml:space="preserve"> and </w:t>
      </w:r>
      <w:r>
        <w:rPr>
          <w:rStyle w:val="Codevalue"/>
        </w:rPr>
        <w:t>"conjunct"</w:t>
      </w:r>
      <w:r>
        <w:t xml:space="preserve"> only when it is impossible to determine the graphic location of a component that must have been present</w:t>
      </w:r>
    </w:p>
    <w:p w14:paraId="2E12B49A" w14:textId="77777777">
      <w:pPr>
        <w:pStyle w:val="Cmsor3"/>
      </w:pPr>
      <w:bookmarkStart w:id="383" w:name="_dv2inorm1p09" w:colFirst="0" w:colLast="0"/>
      <w:bookmarkStart w:id="384" w:name="_Ref43987090"/>
      <w:bookmarkStart w:id="385" w:name="_Toc243900288"/>
      <w:bookmarkEnd w:id="383"/>
      <w:r>
        <w:t>Unusual spatial arrangement in conjuncts</w:t>
      </w:r>
      <w:bookmarkEnd w:id="384"/>
      <w:bookmarkEnd w:id="385"/>
    </w:p>
    <w:p w14:paraId="0F421403" w14:textId="47107948">
      <w:r>
        <w:t xml:space="preserve">As our primary objective is to encode texts, the place to record information about unusual glyph composition is your annotation. However, in order to facilitate future palaeographic research, you may optionally use </w:t>
      </w:r>
      <w:r>
        <w:rPr>
          <w:noProof/>
        </w:rPr>
        <w:t>sub-</w:t>
      </w:r>
      <w:r>
        <w:rPr>
          <w:rStyle w:val="Foreign"/>
        </w:rPr>
        <w:t>akṣara</w:t>
      </w:r>
      <w:r>
        <w:t xml:space="preserve"> markup (§</w:t>
      </w:r>
      <w:r>
        <w:fldChar w:fldCharType="begin"/>
      </w:r>
      <w:r>
        <w:instrText xml:space="preserve"> REF _Ref43987131 \r \h </w:instrText>
      </w:r>
      <w:r>
        <w:fldChar w:fldCharType="separate"/>
      </w:r>
      <w:r>
        <w:t>5.1.2</w:t>
      </w:r>
      <w:r>
        <w:fldChar w:fldCharType="end"/>
      </w:r>
      <w:r>
        <w:t xml:space="preserve">) for tagging parts of phonographic glyphs in order to specify what part of a complex original glyph corresponds to any given target grapheme, as illustrated in </w:t>
      </w:r>
      <w:r>
        <w:fldChar w:fldCharType="begin"/>
      </w:r>
      <w:r>
        <w:instrText xml:space="preserve"> REF _Ref225936805 \h </w:instrText>
      </w:r>
      <w:r>
        <w:fldChar w:fldCharType="separate"/>
      </w:r>
      <w:r>
        <w:t xml:space="preserve">Exhibit </w:t>
      </w:r>
      <w:r>
        <w:rPr>
          <w:noProof/>
        </w:rPr>
        <w:t>5.1</w:t>
      </w:r>
      <w:r>
        <w:t>.</w:t>
      </w:r>
      <w:r>
        <w:rPr>
          <w:noProof/>
        </w:rPr>
        <w:t>B</w:t>
      </w:r>
      <w:r>
        <w:fldChar w:fldCharType="end"/>
      </w:r>
      <w:r>
        <w:t xml:space="preserve">. When doing so, aim to minimise the complexity of your encoding and add tags only to the components that most </w:t>
      </w:r>
      <w:r>
        <w:lastRenderedPageBreak/>
        <w:t xml:space="preserve">conspicuously deviate from the expected composition. However, if you deem that there is any ambiguity regarding </w:t>
      </w:r>
      <w:r>
        <w:rPr>
          <w:rStyle w:val="Foreign"/>
        </w:rPr>
        <w:t>akṣara</w:t>
      </w:r>
      <w:r>
        <w:t xml:space="preserve"> boundaries, feel free to wrap target graphemes and lacunae belonging to a single original character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as per §</w:t>
      </w:r>
      <w:r>
        <w:fldChar w:fldCharType="begin"/>
      </w:r>
      <w:r>
        <w:instrText xml:space="preserve"> REF _Ref43987221 \w \h  \* MERGEFORMAT </w:instrText>
      </w:r>
      <w:r>
        <w:fldChar w:fldCharType="separate"/>
      </w:r>
      <w:r>
        <w:t>5.1.1</w:t>
      </w:r>
      <w:r>
        <w:fldChar w:fldCharType="end"/>
      </w:r>
    </w:p>
    <w:tbl>
      <w:tblPr>
        <w:tblStyle w:val="CodeSampleTable"/>
        <w:tblW w:w="5000" w:type="pct"/>
        <w:tblLook w:val="04A0" w:firstRow="1" w:lastRow="0" w:firstColumn="1" w:lastColumn="0" w:noHBand="0" w:noVBand="1"/>
      </w:tblPr>
      <w:tblGrid>
        <w:gridCol w:w="8179"/>
        <w:gridCol w:w="1449"/>
      </w:tblGrid>
      <w:tr w14:paraId="12CE475E"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75066E9C" w14:textId="77777777">
            <w:pPr>
              <w:pStyle w:val="Kpalrs"/>
              <w:keepLines/>
            </w:pPr>
            <w:bookmarkStart w:id="386" w:name="_Ref225936805"/>
            <w:r>
              <w:t xml:space="preserve">Exhibit </w:t>
            </w:r>
            <w:fldSimple w:instr=" STYLEREF 2 \s ">
              <w:r>
                <w:rPr>
                  <w:noProof/>
                </w:rPr>
                <w:t>5.1</w:t>
              </w:r>
            </w:fldSimple>
            <w:r>
              <w:t>.</w:t>
            </w:r>
            <w:fldSimple w:instr=" SEQ Exhibit \* ALPHABETIC \s 2 ">
              <w:r>
                <w:rPr>
                  <w:noProof/>
                </w:rPr>
                <w:t>B</w:t>
              </w:r>
            </w:fldSimple>
            <w:bookmarkEnd w:id="386"/>
            <w:r>
              <w:t xml:space="preserve">: conjunct with regular </w:t>
            </w:r>
            <w:r>
              <w:rPr>
                <w:rStyle w:val="Foreign"/>
              </w:rPr>
              <w:t>r</w:t>
            </w:r>
            <w:r>
              <w:t xml:space="preserve"> instead of superscript</w:t>
            </w:r>
          </w:p>
        </w:tc>
      </w:tr>
      <w:tr w14:paraId="57FF1400" w14:textId="77777777">
        <w:tc>
          <w:tcPr>
            <w:tcW w:w="0" w:type="auto"/>
          </w:tcPr>
          <w:p w14:paraId="0E949BD2" w14:textId="77777777">
            <w:pPr>
              <w:pStyle w:val="CodeParagraph"/>
              <w:keepNext/>
              <w:keepLines/>
            </w:pP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&gt;</w:t>
            </w:r>
            <w:r>
              <w:rPr>
                <w:rStyle w:val="Codetext"/>
              </w:rPr>
              <w:t>r</w:t>
            </w:r>
            <w:r>
              <w:rPr>
                <w:rStyle w:val="Code"/>
              </w:rPr>
              <w:t>&lt;/seg&gt;</w:t>
            </w:r>
            <w:r>
              <w:rPr>
                <w:rStyle w:val="Codetext"/>
              </w:rPr>
              <w:t>ya</w:t>
            </w:r>
          </w:p>
        </w:tc>
        <w:tc>
          <w:tcPr>
            <w:tcW w:w="0" w:type="auto"/>
            <w:vMerge w:val="restart"/>
            <w:vAlign w:val="bottom"/>
          </w:tcPr>
          <w:p w14:paraId="762A8361" w14:textId="77777777">
            <w:pPr>
              <w:pStyle w:val="Image"/>
              <w:keepLines/>
            </w:pPr>
            <w:r>
              <w:drawing>
                <wp:inline distT="0" distB="0" distL="0" distR="0" wp14:anchorId="38F9C86D" wp14:editId="6FBFFB77">
                  <wp:extent cx="844550" cy="893907"/>
                  <wp:effectExtent l="0" t="0" r="0" b="1905"/>
                  <wp:docPr id="2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extLst>
                              <a:ext uri="{28A0092B-C50C-407E-A947-70E740481C1C}">
                                <a14:useLocalDpi xmlns:a14="http://schemas.microsoft.com/office/drawing/2010/main" val="0"/>
                              </a:ext>
                            </a:extLst>
                          </a:blip>
                          <a:srcRect/>
                          <a:stretch>
                            <a:fillRect/>
                          </a:stretch>
                        </pic:blipFill>
                        <pic:spPr>
                          <a:xfrm>
                            <a:off x="0" y="0"/>
                            <a:ext cx="851421" cy="901180"/>
                          </a:xfrm>
                          <a:prstGeom prst="rect">
                            <a:avLst/>
                          </a:prstGeom>
                          <a:ln/>
                        </pic:spPr>
                      </pic:pic>
                    </a:graphicData>
                  </a:graphic>
                </wp:inline>
              </w:drawing>
            </w:r>
          </w:p>
        </w:tc>
      </w:tr>
      <w:tr w14:paraId="334BEAE7" w14:textId="77777777">
        <w:tc>
          <w:tcPr>
            <w:tcW w:w="0" w:type="auto"/>
          </w:tcPr>
          <w:p w14:paraId="6FAF3643" w14:textId="77777777">
            <w:pPr>
              <w:pStyle w:val="TableNote"/>
              <w:keepNext/>
              <w:keepLines/>
            </w:pPr>
            <w:r>
              <w:rPr>
                <w:rStyle w:val="Foreign"/>
              </w:rPr>
              <w:t>rya</w:t>
            </w:r>
            <w:r>
              <w:t xml:space="preserve"> is here written with a regular (body) </w:t>
            </w:r>
            <w:r>
              <w:rPr>
                <w:rStyle w:val="Foreign"/>
              </w:rPr>
              <w:t>r</w:t>
            </w:r>
            <w:r>
              <w:t xml:space="preserve"> and a subscript </w:t>
            </w:r>
            <w:r>
              <w:rPr>
                <w:rStyle w:val="Foreign"/>
              </w:rPr>
              <w:t>y</w:t>
            </w:r>
            <w:r>
              <w:t xml:space="preserve"> instead of a superscript </w:t>
            </w:r>
            <w:r>
              <w:rPr>
                <w:rStyle w:val="Foreign"/>
              </w:rPr>
              <w:t>r</w:t>
            </w:r>
            <w:r>
              <w:t xml:space="preserve"> and a regular </w:t>
            </w:r>
            <w:r>
              <w:rPr>
                <w:rStyle w:val="Foreign"/>
              </w:rPr>
              <w:t>y</w:t>
            </w:r>
          </w:p>
          <w:p w14:paraId="2FC1A89E" w14:textId="77777777">
            <w:pPr>
              <w:pStyle w:val="TableNote"/>
              <w:keepNext/>
              <w:keepLines/>
              <w:rPr>
                <w:rFonts w:ascii="Consolas" w:hAnsi="Consolas" w:cs="Consolas"/>
                <w:noProof/>
                <w:color w:val="002060"/>
                <w:shd w:val="clear" w:color="auto" w:fill="F2F2F2" w:themeFill="background1" w:themeFillShade="F2"/>
              </w:rPr>
            </w:pPr>
            <w:r>
              <w:t xml:space="preserve">the fact that the </w:t>
            </w:r>
            <w:r>
              <w:rPr>
                <w:rStyle w:val="Foreign"/>
              </w:rPr>
              <w:t>r</w:t>
            </w:r>
            <w:r>
              <w:t xml:space="preserve"> is tagged as a body component dispenses with the need to explicitly tag the </w:t>
            </w:r>
            <w:r>
              <w:rPr>
                <w:rStyle w:val="Foreign"/>
              </w:rPr>
              <w:t>y</w:t>
            </w:r>
            <w:r>
              <w:t xml:space="preserve"> as a subscript component</w:t>
            </w:r>
          </w:p>
        </w:tc>
        <w:tc>
          <w:tcPr>
            <w:tcW w:w="0" w:type="auto"/>
            <w:vMerge/>
          </w:tcPr>
          <w:p w14:paraId="336E8E0A" w14:textId="77777777">
            <w:pPr>
              <w:keepNext/>
              <w:keepLines/>
              <w:rPr>
                <w:rStyle w:val="Code"/>
              </w:rPr>
            </w:pPr>
          </w:p>
        </w:tc>
      </w:tr>
      <w:tr w14:paraId="6D4B5498" w14:textId="77777777">
        <w:tc>
          <w:tcPr>
            <w:tcW w:w="0" w:type="auto"/>
          </w:tcPr>
          <w:p w14:paraId="027F6E86" w14:textId="77777777">
            <w:pPr>
              <w:pStyle w:val="CodeParagraph"/>
              <w:keepNext/>
              <w:keepLines/>
            </w:pPr>
            <w:r>
              <w:rPr>
                <w:rStyle w:val="Codetext"/>
              </w:rPr>
              <w:t>r</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"prescript"</w:t>
            </w:r>
            <w:r>
              <w:rPr>
                <w:rStyle w:val="Code"/>
              </w:rPr>
              <w:t>&gt;</w:t>
            </w:r>
            <w:r>
              <w:rPr>
                <w:rStyle w:val="Codetext"/>
              </w:rPr>
              <w:t>g</w:t>
            </w:r>
            <w:r>
              <w:rPr>
                <w:rStyle w:val="Code"/>
              </w:rPr>
              <w:t xml:space="preserve">&lt;/seg&gt;&lt;seg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&gt;</w:t>
            </w:r>
            <w:r>
              <w:rPr>
                <w:rStyle w:val="Codetext"/>
              </w:rPr>
              <w:t>gh</w:t>
            </w:r>
            <w:r>
              <w:rPr>
                <w:rStyle w:val="Code"/>
              </w:rPr>
              <w:t>&lt;/seg&gt;</w:t>
            </w:r>
            <w:r>
              <w:rPr>
                <w:rStyle w:val="Codetext"/>
              </w:rPr>
              <w:t>a</w:t>
            </w:r>
          </w:p>
        </w:tc>
        <w:tc>
          <w:tcPr>
            <w:tcW w:w="0" w:type="auto"/>
            <w:vMerge w:val="restart"/>
            <w:vAlign w:val="bottom"/>
          </w:tcPr>
          <w:p w14:paraId="6DBFAC8B" w14:textId="77777777">
            <w:pPr>
              <w:pStyle w:val="Image"/>
              <w:keepLines/>
            </w:pPr>
            <w:r>
              <w:drawing>
                <wp:inline distT="0" distB="0" distL="0" distR="0" wp14:anchorId="255E0209" wp14:editId="2280DA87">
                  <wp:extent cx="917407" cy="763152"/>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7">
                            <a:extLst>
                              <a:ext uri="{28A0092B-C50C-407E-A947-70E740481C1C}">
                                <a14:useLocalDpi xmlns:a14="http://schemas.microsoft.com/office/drawing/2010/main" val="0"/>
                              </a:ext>
                            </a:extLst>
                          </a:blip>
                          <a:srcRect/>
                          <a:stretch>
                            <a:fillRect/>
                          </a:stretch>
                        </pic:blipFill>
                        <pic:spPr>
                          <a:xfrm>
                            <a:off x="0" y="0"/>
                            <a:ext cx="928213" cy="772141"/>
                          </a:xfrm>
                          <a:prstGeom prst="rect">
                            <a:avLst/>
                          </a:prstGeom>
                          <a:ln/>
                        </pic:spPr>
                      </pic:pic>
                    </a:graphicData>
                  </a:graphic>
                </wp:inline>
              </w:drawing>
            </w:r>
          </w:p>
        </w:tc>
      </w:tr>
      <w:tr w14:paraId="1BA26D09" w14:textId="77777777">
        <w:tc>
          <w:tcPr>
            <w:tcW w:w="0" w:type="auto"/>
          </w:tcPr>
          <w:p w14:paraId="7DF944F9" w14:textId="77777777">
            <w:pPr>
              <w:pStyle w:val="TableNote"/>
            </w:pPr>
            <w:r>
              <w:rPr>
                <w:rStyle w:val="Foreign"/>
              </w:rPr>
              <w:t>rggha</w:t>
            </w:r>
            <w:r>
              <w:t xml:space="preserve"> is here written in a horizontal composition, with </w:t>
            </w:r>
            <w:r>
              <w:rPr>
                <w:rStyle w:val="Foreign"/>
              </w:rPr>
              <w:t>g</w:t>
            </w:r>
            <w:r>
              <w:t xml:space="preserve"> to the left of a regularly positioned </w:t>
            </w:r>
            <w:r>
              <w:rPr>
                <w:rStyle w:val="Foreign"/>
              </w:rPr>
              <w:t>gh</w:t>
            </w:r>
            <w:r>
              <w:t xml:space="preserve"> </w:t>
            </w:r>
          </w:p>
          <w:p w14:paraId="5ED80B1A" w14:textId="77777777">
            <w:pPr>
              <w:pStyle w:val="TableNote"/>
              <w:rPr>
                <w:rFonts w:ascii="Consolas" w:hAnsi="Consolas" w:cs="Consolas"/>
                <w:noProof/>
                <w:color w:val="002060"/>
                <w:shd w:val="clear" w:color="auto" w:fill="F2F2F2" w:themeFill="background1" w:themeFillShade="F2"/>
              </w:rPr>
            </w:pPr>
            <w:r>
              <w:t xml:space="preserve">in this example the second and third consonant components have both been tagged explicitly for their position, though it may be sufficient to tag the prescript </w:t>
            </w:r>
            <w:r>
              <w:rPr>
                <w:rStyle w:val="Foreign"/>
              </w:rPr>
              <w:t>g</w:t>
            </w:r>
            <w:r>
              <w:t xml:space="preserve"> in this way</w:t>
            </w:r>
          </w:p>
        </w:tc>
        <w:tc>
          <w:tcPr>
            <w:tcW w:w="0" w:type="auto"/>
            <w:vMerge/>
          </w:tcPr>
          <w:p w14:paraId="212ECE05" w14:textId="77777777">
            <w:pPr>
              <w:rPr>
                <w:rStyle w:val="Code"/>
              </w:rPr>
            </w:pPr>
          </w:p>
        </w:tc>
      </w:tr>
    </w:tbl>
    <w:p w14:paraId="413DB63B" w14:textId="77777777">
      <w:pPr>
        <w:pStyle w:val="Cmsor3"/>
      </w:pPr>
      <w:bookmarkStart w:id="387" w:name="_qy84vdm4cqcm" w:colFirst="0" w:colLast="0"/>
      <w:bookmarkStart w:id="388" w:name="_Ref43987165"/>
      <w:bookmarkStart w:id="389" w:name="_Toc243900289"/>
      <w:bookmarkEnd w:id="387"/>
      <w:r>
        <w:t>Complex glyphs deliberately split over an intervening feature</w:t>
      </w:r>
      <w:bookmarkEnd w:id="388"/>
      <w:bookmarkEnd w:id="389"/>
    </w:p>
    <w:p w14:paraId="7784C59B" w14:textId="77777777">
      <w:r>
        <w:t xml:space="preserve">Parts of </w:t>
      </w:r>
      <w:r>
        <w:rPr>
          <w:rStyle w:val="Foreign"/>
        </w:rPr>
        <w:t>akṣaras</w:t>
      </w:r>
      <w:r>
        <w:t xml:space="preserve"> may be split off from the rest of the glyph by a physical feature, most commonly a line break, sometimes a physical defect in the support or the binding hole in a copper plate. In this section we discuss situations where the scribe deliberately decomposed theoretically atomic glyphs into constituent parts in order to accommodate such an intervening feature. Inadvertent splits, typically caused by fracture, are discussed in §</w:t>
      </w:r>
      <w:r>
        <w:fldChar w:fldCharType="begin"/>
      </w:r>
      <w:r>
        <w:instrText xml:space="preserve"> REF _Ref182813737 \r \h </w:instrText>
      </w:r>
      <w:r>
        <w:fldChar w:fldCharType="separate"/>
      </w:r>
      <w:r>
        <w:t>4.7.6.1</w:t>
      </w:r>
      <w:r>
        <w:fldChar w:fldCharType="end"/>
      </w:r>
      <w:r>
        <w:t>.</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2BE09D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9DB2C9" w14:textId="77777777">
            <w:pPr>
              <w:pStyle w:val="Kpalrs"/>
            </w:pPr>
            <w:bookmarkStart w:id="390" w:name="_Ref225948796"/>
            <w:r>
              <w:t xml:space="preserve">Exhibit </w:t>
            </w:r>
            <w:fldSimple w:instr=" STYLEREF 2 \s ">
              <w:r>
                <w:rPr>
                  <w:noProof/>
                </w:rPr>
                <w:t>5.1</w:t>
              </w:r>
            </w:fldSimple>
            <w:r>
              <w:t>.</w:t>
            </w:r>
            <w:fldSimple w:instr=" SEQ Exhibit \* ALPHABETIC \s 2 ">
              <w:r>
                <w:rPr>
                  <w:noProof/>
                </w:rPr>
                <w:t>C</w:t>
              </w:r>
            </w:fldSimple>
            <w:bookmarkEnd w:id="390"/>
            <w:r>
              <w:t xml:space="preserve">: </w:t>
            </w:r>
            <w:r>
              <w:rPr>
                <w:rStyle w:val="Foreign"/>
              </w:rPr>
              <w:t>anusvāra</w:t>
            </w:r>
            <w:r>
              <w:t xml:space="preserve"> separated from glyph</w:t>
            </w:r>
          </w:p>
        </w:tc>
      </w:tr>
      <w:tr w14:paraId="56209423" w14:textId="77777777">
        <w:tc>
          <w:tcPr>
            <w:tcW w:w="0" w:type="auto"/>
          </w:tcPr>
          <w:p w14:paraId="62F46DAE" w14:textId="77777777">
            <w:pPr>
              <w:pStyle w:val="Image"/>
            </w:pPr>
            <w:r>
              <w:drawing>
                <wp:inline distT="0" distB="0" distL="0" distR="0" wp14:anchorId="444C3CEB" wp14:editId="3BC9CEF9">
                  <wp:extent cx="1713600" cy="720000"/>
                  <wp:effectExtent l="0" t="0" r="1270" b="4445"/>
                  <wp:docPr id="109407294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3600" cy="720000"/>
                          </a:xfrm>
                          <a:prstGeom prst="rect">
                            <a:avLst/>
                          </a:prstGeom>
                          <a:noFill/>
                          <a:ln>
                            <a:noFill/>
                          </a:ln>
                        </pic:spPr>
                      </pic:pic>
                    </a:graphicData>
                  </a:graphic>
                </wp:inline>
              </w:drawing>
            </w:r>
          </w:p>
        </w:tc>
      </w:tr>
      <w:tr w14:paraId="38BE2987" w14:textId="77777777">
        <w:tc>
          <w:tcPr>
            <w:tcW w:w="0" w:type="auto"/>
          </w:tcPr>
          <w:p w14:paraId="3ADFDA15" w14:textId="77777777">
            <w:pPr>
              <w:pStyle w:val="CodeParagraph"/>
              <w:rPr>
                <w:rStyle w:val="Codetext"/>
                <w:rFonts w:ascii="Gentium" w:hAnsi="Gentium" w:cs="Tiro Devanagari Sanskrit"/>
                <w:noProof w:val="0"/>
                <w:color w:val="auto"/>
                <w:shd w:val="clear" w:color="auto" w:fill="auto"/>
              </w:rPr>
            </w:pPr>
            <w:r>
              <w:rPr>
                <w:rStyle w:val="Codetext"/>
              </w:rPr>
              <w:t>mala</w:t>
            </w:r>
            <w:r>
              <w:rPr>
                <w:rStyle w:val="Code"/>
              </w:rPr>
              <w:t xml:space="preserve">&lt;space </w:t>
            </w:r>
            <w:r>
              <w:rPr>
                <w:rStyle w:val="Codeattribute"/>
              </w:rPr>
              <w:t>type</w:t>
            </w:r>
            <w:r>
              <w:rPr>
                <w:rStyle w:val="Codetext"/>
              </w:rPr>
              <w:t>=</w:t>
            </w:r>
            <w:r>
              <w:rPr>
                <w:rStyle w:val="Codevalue"/>
              </w:rPr>
              <w:t>"binding-hole"</w:t>
            </w:r>
            <w:r>
              <w:rPr>
                <w:rStyle w:val="Code"/>
              </w:rPr>
              <w:t>/&gt;</w:t>
            </w:r>
            <w:r>
              <w:rPr>
                <w:rStyle w:val="Codetext"/>
              </w:rPr>
              <w:t>ṁka</w:t>
            </w:r>
          </w:p>
        </w:tc>
      </w:tr>
    </w:tbl>
    <w:p w14:paraId="724BE7F9" w14:textId="77777777">
      <w:pPr>
        <w:pStyle w:val="Lista"/>
      </w:pPr>
      <w:r>
        <w:t xml:space="preserve">the intervening features may be line beginnings </w:t>
      </w:r>
      <w:r>
        <w:rPr>
          <w:noProof/>
        </w:rPr>
        <w:t>(</w:t>
      </w:r>
      <w:r>
        <w:t>§</w:t>
      </w:r>
      <w:r>
        <w:fldChar w:fldCharType="begin"/>
      </w:r>
      <w:r>
        <w:instrText xml:space="preserve"> REF _Ref43980100 \r \h </w:instrText>
      </w:r>
      <w:r>
        <w:fldChar w:fldCharType="separate"/>
      </w:r>
      <w:r>
        <w:t>4.5.1</w:t>
      </w:r>
      <w:r>
        <w:fldChar w:fldCharType="end"/>
      </w:r>
      <w:r>
        <w:t xml:space="preserve">) or space imposed by physical features </w:t>
      </w:r>
      <w:r>
        <w:rPr>
          <w:noProof/>
        </w:rPr>
        <w:t>(</w:t>
      </w:r>
      <w:r>
        <w:t>§</w:t>
      </w:r>
      <w:r>
        <w:fldChar w:fldCharType="begin"/>
      </w:r>
      <w:r>
        <w:instrText xml:space="preserve"> REF _Ref43985107 \w \h  \* MERGEFORMAT </w:instrText>
      </w:r>
      <w:r>
        <w:fldChar w:fldCharType="separate"/>
      </w:r>
      <w:r>
        <w:t>5.4.2.2</w:t>
      </w:r>
      <w:r>
        <w:fldChar w:fldCharType="end"/>
      </w:r>
      <w:r>
        <w:t>) and must be encoded as applicable</w:t>
      </w:r>
    </w:p>
    <w:p w14:paraId="650F23AE" w14:textId="77777777">
      <w:pPr>
        <w:pStyle w:val="Lista"/>
      </w:pPr>
      <w:r>
        <w:t xml:space="preserve">if the split can be represented accurately in transliteration because the physical order of the graphs corresponds to the logical sequence of the graphemes (typically involving </w:t>
      </w:r>
      <w:r>
        <w:rPr>
          <w:rStyle w:val="Foreign"/>
        </w:rPr>
        <w:t>anusvāra</w:t>
      </w:r>
      <w:r>
        <w:t xml:space="preserve">, </w:t>
      </w:r>
      <w:r>
        <w:rPr>
          <w:rStyle w:val="Foreign"/>
        </w:rPr>
        <w:t>visarga</w:t>
      </w:r>
      <w:r>
        <w:t xml:space="preserve"> or a postscript vowel marker) as in </w:t>
      </w:r>
      <w:r>
        <w:fldChar w:fldCharType="begin"/>
      </w:r>
      <w:r>
        <w:instrText xml:space="preserve"> REF _Ref225948796 \h </w:instrText>
      </w:r>
      <w:r>
        <w:fldChar w:fldCharType="separate"/>
      </w:r>
      <w:r>
        <w:t xml:space="preserve">Exhibit </w:t>
      </w:r>
      <w:r>
        <w:rPr>
          <w:noProof/>
        </w:rPr>
        <w:t>5.1</w:t>
      </w:r>
      <w:r>
        <w:t>.</w:t>
      </w:r>
      <w:r>
        <w:rPr>
          <w:noProof/>
        </w:rPr>
        <w:t>C</w:t>
      </w:r>
      <w:r>
        <w:fldChar w:fldCharType="end"/>
      </w:r>
      <w:r>
        <w:t>:</w:t>
      </w:r>
    </w:p>
    <w:p w14:paraId="10D8BD87" w14:textId="77777777">
      <w:pPr>
        <w:pStyle w:val="Lista2"/>
      </w:pPr>
      <w:r>
        <w:t>apply no special markup</w:t>
      </w:r>
    </w:p>
    <w:p w14:paraId="65EBAC6C" w14:textId="77777777">
      <w:pPr>
        <w:pStyle w:val="Lista2"/>
      </w:pPr>
      <w:r>
        <w:t>encode the intervening feature in its physical and logical place</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1EA41C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4296E9" w14:textId="77777777">
            <w:pPr>
              <w:pStyle w:val="Kpalrs"/>
            </w:pPr>
            <w:bookmarkStart w:id="391" w:name="_Ref225948797"/>
            <w:r>
              <w:t xml:space="preserve">Exhibit </w:t>
            </w:r>
            <w:fldSimple w:instr=" STYLEREF 2 \s ">
              <w:r>
                <w:rPr>
                  <w:noProof/>
                </w:rPr>
                <w:t>5.1</w:t>
              </w:r>
            </w:fldSimple>
            <w:r>
              <w:t>.</w:t>
            </w:r>
            <w:fldSimple w:instr=" SEQ Exhibit \* ALPHABETIC \s 2 ">
              <w:r>
                <w:rPr>
                  <w:noProof/>
                </w:rPr>
                <w:t>D</w:t>
              </w:r>
            </w:fldSimple>
            <w:bookmarkEnd w:id="391"/>
            <w:r>
              <w:t>: vowel marker separated from glyph</w:t>
            </w:r>
          </w:p>
        </w:tc>
      </w:tr>
      <w:tr w14:paraId="040C3D3C" w14:textId="77777777">
        <w:tc>
          <w:tcPr>
            <w:tcW w:w="0" w:type="auto"/>
          </w:tcPr>
          <w:p w14:paraId="18F181C6" w14:textId="77777777">
            <w:pPr>
              <w:pStyle w:val="Image"/>
            </w:pPr>
            <w:r>
              <w:drawing>
                <wp:inline distT="0" distB="0" distL="0" distR="0" wp14:anchorId="48160ADC" wp14:editId="10AB830D">
                  <wp:extent cx="1818000" cy="720000"/>
                  <wp:effectExtent l="0" t="0" r="0" b="4445"/>
                  <wp:docPr id="1965550830" name="Kép 1965550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18000" cy="720000"/>
                          </a:xfrm>
                          <a:prstGeom prst="rect">
                            <a:avLst/>
                          </a:prstGeom>
                          <a:noFill/>
                          <a:ln>
                            <a:noFill/>
                          </a:ln>
                        </pic:spPr>
                      </pic:pic>
                    </a:graphicData>
                  </a:graphic>
                </wp:inline>
              </w:drawing>
            </w:r>
          </w:p>
        </w:tc>
      </w:tr>
      <w:tr w14:paraId="62A74F53" w14:textId="77777777">
        <w:tc>
          <w:tcPr>
            <w:tcW w:w="0" w:type="auto"/>
          </w:tcPr>
          <w:p w14:paraId="6495D207" w14:textId="77777777">
            <w:pPr>
              <w:pStyle w:val="CodeParagraph"/>
              <w:rPr>
                <w:rStyle w:val="Codetext"/>
                <w:rFonts w:ascii="Gentium" w:hAnsi="Gentium" w:cs="Tiro Devanagari Sanskrit"/>
                <w:noProof w:val="0"/>
                <w:color w:val="auto"/>
                <w:shd w:val="clear" w:color="auto" w:fill="auto"/>
              </w:rPr>
            </w:pPr>
            <w:r>
              <w:rPr>
                <w:rStyle w:val="Codetext"/>
              </w:rPr>
              <w:t>A</w:t>
            </w:r>
            <w:r>
              <w:rPr>
                <w:rStyle w:val="Codetext"/>
                <w:rFonts w:ascii="Cambria Math" w:hAnsi="Cambria Math" w:cs="Cambria Math"/>
              </w:rPr>
              <w:t>⌈</w:t>
            </w:r>
            <w:r>
              <w:rPr>
                <w:rStyle w:val="Code"/>
              </w:rPr>
              <w:t xml:space="preserve">&lt;space </w:t>
            </w:r>
            <w:r>
              <w:rPr>
                <w:rStyle w:val="Codeattribute"/>
              </w:rPr>
              <w:t>type</w:t>
            </w:r>
            <w:r>
              <w:rPr>
                <w:rStyle w:val="Codetext"/>
              </w:rPr>
              <w:t>=</w:t>
            </w:r>
            <w:r>
              <w:rPr>
                <w:rStyle w:val="Codevalue"/>
              </w:rPr>
              <w:t>"descender"</w:t>
            </w:r>
            <w:r>
              <w:rPr>
                <w:rStyle w:val="Code"/>
              </w:rPr>
              <w:t>/&gt;</w:t>
            </w:r>
            <w:r>
              <w:rPr>
                <w:rStyle w:val="Codetext"/>
              </w:rPr>
              <w:t>horātri</w:t>
            </w:r>
          </w:p>
        </w:tc>
      </w:tr>
      <w:tr w14:paraId="2C212142" w14:textId="77777777">
        <w:tc>
          <w:tcPr>
            <w:tcW w:w="0" w:type="auto"/>
          </w:tcPr>
          <w:p w14:paraId="479B1BDD" w14:textId="77777777">
            <w:pPr>
              <w:pStyle w:val="TableNote"/>
            </w:pPr>
            <w:r>
              <w:t xml:space="preserve">the vowel marker for </w:t>
            </w:r>
            <w:r>
              <w:rPr>
                <w:rStyle w:val="Foreign"/>
              </w:rPr>
              <w:t>o</w:t>
            </w:r>
            <w:r>
              <w:t xml:space="preserve"> consists of a stroke on the left and another stroke on the right</w:t>
            </w:r>
          </w:p>
          <w:p w14:paraId="2488B8AA" w14:textId="77777777">
            <w:pPr>
              <w:pStyle w:val="TableNote"/>
              <w:rPr>
                <w:rStyle w:val="Codetext"/>
                <w:color w:val="002060"/>
              </w:rPr>
            </w:pPr>
            <w:r>
              <w:t>the stroke on the left has been split off from the consonant by a descender from the line above</w:t>
            </w:r>
          </w:p>
        </w:tc>
      </w:tr>
    </w:tbl>
    <w:p w14:paraId="0E05B01B" w14:textId="77777777">
      <w:pPr>
        <w:pStyle w:val="Lista"/>
      </w:pPr>
      <w:r>
        <w:t xml:space="preserve">if the split cannot be represented accurately in transliteration because the physical order of the graphs differs from the logical sequence of the graphemes (typically involving prescript vowel markers or a split consonant body) as in </w:t>
      </w:r>
      <w:r>
        <w:fldChar w:fldCharType="begin"/>
      </w:r>
      <w:r>
        <w:instrText xml:space="preserve"> REF _Ref225948797 \h </w:instrText>
      </w:r>
      <w:r>
        <w:fldChar w:fldCharType="separate"/>
      </w:r>
      <w:r>
        <w:t xml:space="preserve">Exhibit </w:t>
      </w:r>
      <w:r>
        <w:rPr>
          <w:noProof/>
        </w:rPr>
        <w:t>5.1</w:t>
      </w:r>
      <w:r>
        <w:t>.</w:t>
      </w:r>
      <w:r>
        <w:rPr>
          <w:noProof/>
        </w:rPr>
        <w:t>D</w:t>
      </w:r>
      <w:r>
        <w:fldChar w:fldCharType="end"/>
      </w:r>
      <w:r>
        <w:t>:</w:t>
      </w:r>
    </w:p>
    <w:p w14:paraId="0B41A818" w14:textId="77777777">
      <w:pPr>
        <w:pStyle w:val="Lista2"/>
      </w:pPr>
      <w:r>
        <w:t xml:space="preserve">this is handled in transliteration by means of the placeholder characters ⌈ </w:t>
      </w:r>
      <w:r>
        <w:rPr>
          <w:noProof/>
        </w:rPr>
        <w:t>(</w:t>
      </w:r>
      <w:r>
        <w:t xml:space="preserve">left ceiling, U+2308) and ⌉ </w:t>
      </w:r>
      <w:r>
        <w:rPr>
          <w:noProof/>
        </w:rPr>
        <w:t>(</w:t>
      </w:r>
      <w:r>
        <w:t>right ceiling, U+2309), as per TG §4.4.7</w:t>
      </w:r>
    </w:p>
    <w:p w14:paraId="70DA619B" w14:textId="77777777">
      <w:pPr>
        <w:pStyle w:val="Lista3"/>
      </w:pPr>
      <w:r>
        <w:t>the placeholder characters are essential shorthand (TG §3.3.1), meaning that they do not have an encoding alternative in DHARMA practice and will be used in XML editions in the same way as in non-XML contexts</w:t>
      </w:r>
    </w:p>
    <w:p w14:paraId="04DF5CB1" w14:textId="77777777">
      <w:pPr>
        <w:pStyle w:val="Lista2"/>
      </w:pPr>
      <w:r>
        <w:t>follow the TG’s instructions as regards the placement of the ceiling and the transliterated graphemes vis-à-vis the encoded interruption</w:t>
      </w:r>
    </w:p>
    <w:p w14:paraId="07F39CA4" w14:textId="77777777">
      <w:pPr>
        <w:pStyle w:val="Lista2"/>
      </w:pPr>
      <w:r>
        <w:t xml:space="preserve">all the target graphemes pertaining to an original </w:t>
      </w:r>
      <w:r>
        <w:rPr>
          <w:rStyle w:val="Foreign"/>
        </w:rPr>
        <w:t>akṣara</w:t>
      </w:r>
      <w:r>
        <w:t xml:space="preserve"> must be placed on that side of the interruption where the consonant body is located, while the applicable placeholder character must be placed on the other side of the interruption</w:t>
      </w:r>
    </w:p>
    <w:p w14:paraId="27CCE4BF" w14:textId="77777777">
      <w:pPr>
        <w:pStyle w:val="Cmsor4"/>
      </w:pPr>
      <w:r>
        <w:t>Split glyphs combined with legibility issues</w:t>
      </w:r>
    </w:p>
    <w:p w14:paraId="7A702A75" w14:textId="77777777">
      <w:pPr>
        <w:pStyle w:val="Lista"/>
      </w:pPr>
      <w:r>
        <w:t>in all examples in this subsection</w:t>
      </w:r>
    </w:p>
    <w:p w14:paraId="3C19B7C0" w14:textId="77777777">
      <w:pPr>
        <w:pStyle w:val="Lista2"/>
      </w:pPr>
      <w:r>
        <w:lastRenderedPageBreak/>
        <w:t>&lt;&gt; represents an interrupting element of any nature</w:t>
      </w:r>
    </w:p>
    <w:p w14:paraId="41AB144C" w14:textId="77777777">
      <w:pPr>
        <w:pStyle w:val="Lista2"/>
      </w:pPr>
      <w:r>
        <w:t>grey text represents unclear graphs or elements</w:t>
      </w:r>
    </w:p>
    <w:p w14:paraId="5B366F64" w14:textId="77777777">
      <w:pPr>
        <w:pStyle w:val="Lista2"/>
      </w:pPr>
      <w:r>
        <w:t>the dotted circle ◌ is to be ignored</w:t>
      </w:r>
    </w:p>
    <w:p w14:paraId="525C299E" w14:textId="77777777">
      <w:pPr>
        <w:pStyle w:val="Lista"/>
      </w:pPr>
      <w:r>
        <w:t xml:space="preserve">if some of the components involved are </w:t>
      </w:r>
      <w:r>
        <w:rPr>
          <w:b/>
          <w:bCs/>
        </w:rPr>
        <w:t>unclear</w:t>
      </w:r>
      <w:r>
        <w:t xml:space="preserve"> </w:t>
      </w:r>
      <w:r>
        <w:rPr>
          <w:noProof/>
        </w:rPr>
        <w:t>(</w:t>
      </w:r>
      <w:r>
        <w:t>§</w:t>
      </w:r>
      <w:r>
        <w:fldChar w:fldCharType="begin"/>
      </w:r>
      <w:r>
        <w:instrText xml:space="preserve"> REF _Ref43981505 \r \h </w:instrText>
      </w:r>
      <w:r>
        <w:fldChar w:fldCharType="separate"/>
      </w:r>
      <w:r>
        <w:t>6.3</w:t>
      </w:r>
      <w:r>
        <w:fldChar w:fldCharType="end"/>
      </w:r>
      <w:r>
        <w:t>)</w:t>
      </w:r>
    </w:p>
    <w:p w14:paraId="34B56785" w14:textId="77777777">
      <w:pPr>
        <w:pStyle w:val="Lista2"/>
      </w:pPr>
      <w:r>
        <w:t>apply this tag to whichever target graphemes are affected, but not to unaffected ones</w:t>
      </w:r>
    </w:p>
    <w:p w14:paraId="2E5119FB" w14:textId="77777777">
      <w:pPr>
        <w:pStyle w:val="Lista2"/>
      </w:pPr>
      <w:r>
        <w:t>if and only if the split-off component is itself affected, apply the tag to the placeholder and to the corresponding target grapheme separately, without including the encoded interruption</w:t>
      </w:r>
    </w:p>
    <w:p w14:paraId="785E82A7" w14:textId="77777777">
      <w:pPr>
        <w:pStyle w:val="Lista2"/>
      </w:pPr>
      <w:r>
        <w:t>for example:</w:t>
      </w:r>
    </w:p>
    <w:p w14:paraId="5CC74404" w14:textId="77777777">
      <w:pPr>
        <w:pStyle w:val="Lista3"/>
      </w:pPr>
      <w:r>
        <w:rPr>
          <w:rStyle w:val="ForeignTamilScript"/>
          <w:cs/>
        </w:rPr>
        <w:t>கெ</w:t>
      </w:r>
      <w:r>
        <w:t>&lt;&gt;</w:t>
      </w:r>
      <w:r>
        <w:rPr>
          <w:rStyle w:val="ForeignTamilScript"/>
          <w:color w:val="808080" w:themeColor="background1" w:themeShade="80"/>
          <w:cs/>
        </w:rPr>
        <w:t xml:space="preserve"> ா</w:t>
      </w:r>
      <w:r>
        <w:rPr>
          <w:cs/>
        </w:rPr>
        <w:t xml:space="preserve"> </w:t>
      </w:r>
      <w:r>
        <w:rPr>
          <w:rFonts w:cs="Gentium"/>
        </w:rPr>
        <w:t>→</w:t>
      </w:r>
      <w:r>
        <w:rPr>
          <w:rStyle w:val="ForeignTamilScript"/>
        </w:rPr>
        <w:t xml:space="preserve"> </w:t>
      </w:r>
      <w:r>
        <w:rPr>
          <w:rStyle w:val="Codetext"/>
        </w:rPr>
        <w:t>k</w:t>
      </w:r>
      <w:r>
        <w:rPr>
          <w:rStyle w:val="Code"/>
        </w:rPr>
        <w:t>&lt;unclear&gt;</w:t>
      </w:r>
      <w:r>
        <w:rPr>
          <w:rStyle w:val="Codetext"/>
        </w:rPr>
        <w:t>o</w:t>
      </w:r>
      <w:r>
        <w:rPr>
          <w:rStyle w:val="Code"/>
        </w:rPr>
        <w:t>&lt;/unclear&gt;&lt;&gt;&lt;unclear&gt;</w:t>
      </w:r>
      <w:r>
        <w:rPr>
          <w:rStyle w:val="Codetext"/>
          <w:rFonts w:ascii="Cambria Math" w:hAnsi="Cambria Math" w:cs="Cambria Math"/>
        </w:rPr>
        <w:t>⌉</w:t>
      </w:r>
      <w:r>
        <w:rPr>
          <w:rStyle w:val="Code"/>
        </w:rPr>
        <w:t>&lt;/unclear&gt;</w:t>
      </w:r>
    </w:p>
    <w:p w14:paraId="63893753" w14:textId="77777777">
      <w:pPr>
        <w:pStyle w:val="Lista3"/>
      </w:pPr>
      <w:r>
        <w:rPr>
          <w:rStyle w:val="ForeignTamilScript"/>
          <w:color w:val="808080" w:themeColor="background1" w:themeShade="80"/>
          <w:cs/>
        </w:rPr>
        <w:t>கெ</w:t>
      </w:r>
      <w:r>
        <w:t>&lt;&gt;</w:t>
      </w:r>
      <w:r>
        <w:rPr>
          <w:rStyle w:val="ForeignTamilScript"/>
          <w:cs/>
        </w:rPr>
        <w:t xml:space="preserve"> ா </w:t>
      </w:r>
      <w:r>
        <w:rPr>
          <w:rFonts w:cs="Gentium"/>
        </w:rPr>
        <w:t>→</w:t>
      </w:r>
      <w:r>
        <w:t xml:space="preserve"> </w:t>
      </w:r>
      <w:r>
        <w:rPr>
          <w:rStyle w:val="Code"/>
        </w:rPr>
        <w:t>&lt;unclear&gt;</w:t>
      </w:r>
      <w:r>
        <w:rPr>
          <w:rStyle w:val="Codetext"/>
        </w:rPr>
        <w:t>ko</w:t>
      </w:r>
      <w:r>
        <w:rPr>
          <w:rStyle w:val="Code"/>
        </w:rPr>
        <w:t>&lt;/unclear&gt;&lt;&gt;</w:t>
      </w:r>
      <w:r>
        <w:rPr>
          <w:rStyle w:val="Codetext"/>
          <w:rFonts w:ascii="Cambria Math" w:hAnsi="Cambria Math" w:cs="Cambria Math"/>
        </w:rPr>
        <w:t>⌉</w:t>
      </w:r>
    </w:p>
    <w:p w14:paraId="221C5E3F" w14:textId="77777777">
      <w:pPr>
        <w:pStyle w:val="Lista3"/>
      </w:pPr>
      <w:r>
        <w:rPr>
          <w:rStyle w:val="ForeignTamilScript"/>
          <w:color w:val="808080" w:themeColor="background1" w:themeShade="80"/>
          <w:cs/>
        </w:rPr>
        <w:t>ெ</w:t>
      </w:r>
      <w:r>
        <w:t>&lt;&gt;</w:t>
      </w:r>
      <w:r>
        <w:rPr>
          <w:rStyle w:val="ForeignTamilScript"/>
          <w:cs/>
        </w:rPr>
        <w:t>கா</w:t>
      </w:r>
      <w:r>
        <w:rPr>
          <w:cs/>
        </w:rPr>
        <w:t xml:space="preserve"> </w:t>
      </w:r>
      <w:r>
        <w:rPr>
          <w:rFonts w:cs="Gentium"/>
        </w:rPr>
        <w:t>→</w:t>
      </w:r>
      <w:r>
        <w:t xml:space="preserve"> </w:t>
      </w:r>
      <w:r>
        <w:rPr>
          <w:rStyle w:val="Code"/>
        </w:rPr>
        <w:t>&lt;unclear&gt;</w:t>
      </w:r>
      <w:r>
        <w:rPr>
          <w:rStyle w:val="Codetext"/>
          <w:rFonts w:ascii="Cambria Math" w:hAnsi="Cambria Math" w:cs="Cambria Math"/>
        </w:rPr>
        <w:t>⌈</w:t>
      </w:r>
      <w:r>
        <w:rPr>
          <w:rStyle w:val="Code"/>
        </w:rPr>
        <w:t>&lt;/unclear&gt;&lt;&gt;</w:t>
      </w:r>
      <w:r>
        <w:rPr>
          <w:rStyle w:val="Codetext"/>
        </w:rPr>
        <w:t>k</w:t>
      </w:r>
      <w:r>
        <w:rPr>
          <w:rStyle w:val="Code"/>
        </w:rPr>
        <w:t>&lt;unclear&gt;</w:t>
      </w:r>
      <w:r>
        <w:rPr>
          <w:rStyle w:val="Codetext"/>
        </w:rPr>
        <w:t>o</w:t>
      </w:r>
      <w:r>
        <w:rPr>
          <w:rStyle w:val="Code"/>
        </w:rPr>
        <w:t>&lt;/unclear&gt;</w:t>
      </w:r>
    </w:p>
    <w:p w14:paraId="35584A5D" w14:textId="77777777">
      <w:pPr>
        <w:pStyle w:val="Lista2"/>
      </w:pPr>
      <w:r>
        <w:t xml:space="preserve">if the reading of some components is </w:t>
      </w:r>
      <w:r>
        <w:rPr>
          <w:b/>
          <w:bCs/>
        </w:rPr>
        <w:t>ambivalent</w:t>
      </w:r>
      <w:r>
        <w:t xml:space="preserve"> </w:t>
      </w:r>
      <w:r>
        <w:rPr>
          <w:noProof/>
        </w:rPr>
        <w:t>(</w:t>
      </w:r>
      <w:r>
        <w:t>§</w:t>
      </w:r>
      <w:r>
        <w:fldChar w:fldCharType="begin"/>
      </w:r>
      <w:r>
        <w:instrText xml:space="preserve"> REF _Ref43987339 \w \h  \* MERGEFORMAT </w:instrText>
      </w:r>
      <w:r>
        <w:fldChar w:fldCharType="separate"/>
      </w:r>
      <w:r>
        <w:t>6.3.2</w:t>
      </w:r>
      <w:r>
        <w:fldChar w:fldCharType="end"/>
      </w:r>
      <w:r>
        <w:t>)</w:t>
      </w:r>
    </w:p>
    <w:p w14:paraId="1729A376" w14:textId="77777777">
      <w:pPr>
        <w:pStyle w:val="Lista3"/>
      </w:pPr>
      <w:r>
        <w:t>consider alternatives in the interest of minimising complexity</w:t>
      </w:r>
    </w:p>
    <w:p w14:paraId="337098E5" w14:textId="77777777">
      <w:pPr>
        <w:pStyle w:val="Lista4"/>
      </w:pPr>
      <w:r>
        <w:t xml:space="preserve">encoding the </w:t>
      </w:r>
      <w:r>
        <w:rPr>
          <w:rStyle w:val="Foreign"/>
        </w:rPr>
        <w:t>akṣara</w:t>
      </w:r>
      <w:r>
        <w:t xml:space="preserve"> as unclear may be sufficient for a reader familiar with the script to deduce the possible alternatives</w:t>
      </w:r>
    </w:p>
    <w:p w14:paraId="01A6576C" w14:textId="77777777">
      <w:pPr>
        <w:pStyle w:val="Lista4"/>
      </w:pPr>
      <w:r>
        <w:t>annotation may be added to explain the nature of the problem to the human end user</w:t>
      </w:r>
    </w:p>
    <w:p w14:paraId="65746F9F" w14:textId="77777777">
      <w:pPr>
        <w:pStyle w:val="Lista3"/>
      </w:pPr>
      <w:r>
        <w:t>if you deem that encoding ambivalence is essential</w:t>
      </w:r>
    </w:p>
    <w:p w14:paraId="3EEB191B" w14:textId="77777777">
      <w:pPr>
        <w:pStyle w:val="Lista4"/>
      </w:pPr>
      <w:r>
        <w:t>do so for the target graphemes concerned</w:t>
      </w:r>
    </w:p>
    <w:p w14:paraId="5C2EE6CA" w14:textId="77777777">
      <w:pPr>
        <w:pStyle w:val="Lista4"/>
      </w:pPr>
      <w:r>
        <w:t>add an unclear tag to the placeholder if the split-off component is affected</w:t>
      </w:r>
    </w:p>
    <w:p w14:paraId="0E58C640" w14:textId="77777777">
      <w:pPr>
        <w:pStyle w:val="Lista4"/>
      </w:pPr>
      <w:r>
        <w:t>do not include the placeholder in the markup for ambivalence, and do not include the interruption itself in any markup</w:t>
      </w:r>
    </w:p>
    <w:p w14:paraId="7EBA4A2E" w14:textId="77777777">
      <w:pPr>
        <w:pStyle w:val="Lista3"/>
      </w:pPr>
      <w:r>
        <w:t>for example:</w:t>
      </w:r>
    </w:p>
    <w:p w14:paraId="4BBCCB1C" w14:textId="77777777">
      <w:pPr>
        <w:pStyle w:val="Lista4"/>
      </w:pPr>
      <w:r>
        <w:rPr>
          <w:rStyle w:val="ForeignTamilScript"/>
          <w:cs/>
        </w:rPr>
        <w:t>கெ</w:t>
      </w:r>
      <w:r>
        <w:t>&lt;&gt;</w:t>
      </w:r>
      <w:r>
        <w:rPr>
          <w:rStyle w:val="ForeignTamilScript"/>
          <w:color w:val="808080" w:themeColor="background1" w:themeShade="80"/>
          <w:cs/>
        </w:rPr>
        <w:t xml:space="preserve"> ா</w:t>
      </w:r>
      <w:r>
        <w:rPr>
          <w:rStyle w:val="ForeignTamilScript"/>
          <w:cs/>
        </w:rPr>
        <w:t xml:space="preserve"> </w:t>
      </w:r>
      <w:r>
        <w:rPr>
          <w:rStyle w:val="ForeignTamilScript"/>
        </w:rPr>
        <w:t>(</w:t>
      </w:r>
      <w:r>
        <w:t xml:space="preserve">where the unclear element after the interruption may be the glyph </w:t>
      </w:r>
      <w:r>
        <w:rPr>
          <w:rStyle w:val="ForeignTamilScript"/>
          <w:cs/>
        </w:rPr>
        <w:t xml:space="preserve">ர </w:t>
      </w:r>
      <w:r>
        <w:rPr>
          <w:rStyle w:val="Foreign"/>
        </w:rPr>
        <w:t>ra</w:t>
      </w:r>
      <w:r>
        <w:t xml:space="preserve"> instead of the vowel marker </w:t>
      </w:r>
      <w:r>
        <w:rPr>
          <w:rStyle w:val="ForeignTamilScript"/>
          <w:cs/>
        </w:rPr>
        <w:t>ா</w:t>
      </w:r>
      <w:r>
        <w:t xml:space="preserve">) </w:t>
      </w:r>
      <w:r>
        <w:rPr>
          <w:rFonts w:cs="Gentium"/>
        </w:rPr>
        <w:t>→</w:t>
      </w:r>
    </w:p>
    <w:p w14:paraId="24C8C984" w14:textId="77777777">
      <w:pPr>
        <w:pStyle w:val="Lista5"/>
      </w:pPr>
      <w:r>
        <w:rPr>
          <w:rStyle w:val="Codetext"/>
        </w:rPr>
        <w:t>k</w:t>
      </w:r>
      <w:r>
        <w:rPr>
          <w:rStyle w:val="Code"/>
        </w:rPr>
        <w:t>&lt;choice&gt;&lt;unclear&gt;</w:t>
      </w:r>
      <w:r>
        <w:rPr>
          <w:rStyle w:val="Codetext"/>
        </w:rPr>
        <w:t>o</w:t>
      </w:r>
      <w:r>
        <w:rPr>
          <w:rStyle w:val="Code"/>
        </w:rPr>
        <w:t>&lt;/unclear&gt;&lt;unclear&gt;</w:t>
      </w:r>
      <w:r>
        <w:rPr>
          <w:rStyle w:val="Codetext"/>
        </w:rPr>
        <w:t>era</w:t>
      </w:r>
      <w:r>
        <w:rPr>
          <w:rStyle w:val="Code"/>
        </w:rPr>
        <w:t>&lt;/unclear&gt;&lt;/choice&gt;</w:t>
      </w:r>
      <w:r>
        <w:rPr>
          <w:rStyle w:val="Code"/>
        </w:rPr>
        <w:br/>
        <w:t>&lt;&gt;&lt;unclear&gt;</w:t>
      </w:r>
      <w:r>
        <w:rPr>
          <w:rStyle w:val="Codetext"/>
          <w:rFonts w:ascii="Cambria Math" w:hAnsi="Cambria Math" w:cs="Cambria Math"/>
        </w:rPr>
        <w:t>⌉</w:t>
      </w:r>
      <w:r>
        <w:rPr>
          <w:rStyle w:val="Code"/>
        </w:rPr>
        <w:t>&lt;/unclear&gt;</w:t>
      </w:r>
    </w:p>
    <w:p w14:paraId="45E78659" w14:textId="77777777">
      <w:pPr>
        <w:pStyle w:val="Lista5"/>
      </w:pPr>
      <w:r>
        <w:t xml:space="preserve">note that in this case the second option of the </w:t>
      </w:r>
      <w:r>
        <w:rPr>
          <w:rStyle w:val="Code"/>
        </w:rPr>
        <w:t>&lt;choice&gt;</w:t>
      </w:r>
      <w:r>
        <w:t xml:space="preserve"> element produces the text </w:t>
      </w:r>
      <w:r>
        <w:rPr>
          <w:noProof/>
        </w:rPr>
        <w:t>“</w:t>
      </w:r>
      <w:r>
        <w:rPr>
          <w:rStyle w:val="Foreign"/>
        </w:rPr>
        <w:t>kera</w:t>
      </w:r>
      <w:r>
        <w:t xml:space="preserve">&lt;&gt;⌉”, where the placeholder sign must be understood to mean that the entire preceding </w:t>
      </w:r>
      <w:r>
        <w:rPr>
          <w:rStyle w:val="Foreign"/>
        </w:rPr>
        <w:t>akṣara</w:t>
      </w:r>
      <w:r>
        <w:t xml:space="preserve"> </w:t>
      </w:r>
      <w:r>
        <w:rPr>
          <w:noProof/>
        </w:rPr>
        <w:t>(</w:t>
      </w:r>
      <w:r>
        <w:t xml:space="preserve">i.e. </w:t>
      </w:r>
      <w:r>
        <w:rPr>
          <w:rStyle w:val="Foreign"/>
        </w:rPr>
        <w:t>ra</w:t>
      </w:r>
      <w:r>
        <w:t>), rather than just one component of it, is located after the interruption</w:t>
      </w:r>
      <w:r>
        <w:rPr>
          <w:rStyle w:val="Lbjegyzet-hivatkozs"/>
        </w:rPr>
        <w:footnoteReference w:id="19"/>
      </w:r>
    </w:p>
    <w:p w14:paraId="5E19E36A" w14:textId="77777777">
      <w:pPr>
        <w:pStyle w:val="Lista2"/>
      </w:pPr>
      <w:r>
        <w:t xml:space="preserve">if an adjacent </w:t>
      </w:r>
      <w:r>
        <w:rPr>
          <w:b/>
          <w:bCs/>
        </w:rPr>
        <w:t>lacuna</w:t>
      </w:r>
      <w:r>
        <w:t xml:space="preserve"> has obliterated a split-off component which you </w:t>
      </w:r>
      <w:r>
        <w:rPr>
          <w:b/>
          <w:bCs/>
        </w:rPr>
        <w:t>supply</w:t>
      </w:r>
      <w:r>
        <w:t xml:space="preserve"> </w:t>
      </w:r>
      <w:r>
        <w:rPr>
          <w:noProof/>
        </w:rPr>
        <w:t>(</w:t>
      </w:r>
      <w:r>
        <w:t>§</w:t>
      </w:r>
      <w:r>
        <w:fldChar w:fldCharType="begin"/>
      </w:r>
      <w:r>
        <w:instrText xml:space="preserve"> REF _Ref228459751 \r \h </w:instrText>
      </w:r>
      <w:r>
        <w:fldChar w:fldCharType="separate"/>
      </w:r>
      <w:r>
        <w:t>6.4</w:t>
      </w:r>
      <w:r>
        <w:fldChar w:fldCharType="end"/>
      </w:r>
      <w:r>
        <w:t>)</w:t>
      </w:r>
    </w:p>
    <w:p w14:paraId="2236469B" w14:textId="77777777">
      <w:pPr>
        <w:pStyle w:val="Lista3"/>
      </w:pPr>
      <w:r>
        <w:t>mark up the affected vowel</w:t>
      </w:r>
    </w:p>
    <w:p w14:paraId="173F6DC5" w14:textId="77777777">
      <w:pPr>
        <w:pStyle w:val="Lista4"/>
      </w:pPr>
      <w:r>
        <w:t>as supplied if it consists only of the supplied split-off component</w:t>
      </w:r>
    </w:p>
    <w:p w14:paraId="7762E0A6" w14:textId="77777777">
      <w:pPr>
        <w:pStyle w:val="Lista4"/>
      </w:pPr>
      <w:r>
        <w:t xml:space="preserve">as unclear if it consists of an extant component </w:t>
      </w:r>
      <w:r>
        <w:rPr>
          <w:rStyle w:val="Foreign"/>
        </w:rPr>
        <w:t>and</w:t>
      </w:r>
      <w:r>
        <w:t xml:space="preserve"> a supplied split-off component</w:t>
      </w:r>
    </w:p>
    <w:p w14:paraId="27514874" w14:textId="77777777">
      <w:pPr>
        <w:pStyle w:val="Lista3"/>
      </w:pPr>
      <w:r>
        <w:t>mark up the placeholder as supplied</w:t>
      </w:r>
    </w:p>
    <w:p w14:paraId="74553F43" w14:textId="77777777">
      <w:pPr>
        <w:pStyle w:val="Lista3"/>
      </w:pPr>
      <w:r>
        <w:t>do not include the interruption itself in any markup</w:t>
      </w:r>
    </w:p>
    <w:p w14:paraId="0568E53B" w14:textId="77777777">
      <w:pPr>
        <w:pStyle w:val="Lista3"/>
      </w:pPr>
      <w:r>
        <w:t>for example</w:t>
      </w:r>
    </w:p>
    <w:p w14:paraId="242EAD86" w14:textId="77777777">
      <w:pPr>
        <w:pStyle w:val="Lista4"/>
      </w:pPr>
      <w:r>
        <w:rPr>
          <w:rStyle w:val="ForeignTamilScript"/>
          <w:cs/>
        </w:rPr>
        <w:t>கெ</w:t>
      </w:r>
      <w:r>
        <w:t>&lt;&gt;</w:t>
      </w:r>
      <w:r>
        <w:rPr>
          <w:rStyle w:val="ForeignTamilScript"/>
          <w:color w:val="808080" w:themeColor="background1" w:themeShade="80"/>
          <w:cs/>
        </w:rPr>
        <w:t xml:space="preserve"> ா</w:t>
      </w:r>
      <w:r>
        <w:rPr>
          <w:cs/>
        </w:rPr>
        <w:t xml:space="preserve"> </w:t>
      </w:r>
      <w:r>
        <w:t xml:space="preserve">(with grey text for the restored lacuna) </w:t>
      </w:r>
      <w:r>
        <w:rPr>
          <w:rFonts w:cs="Gentium"/>
        </w:rPr>
        <w:t>→</w:t>
      </w:r>
    </w:p>
    <w:p w14:paraId="2DC3C426" w14:textId="77777777">
      <w:pPr>
        <w:pStyle w:val="Lista5"/>
      </w:pPr>
      <w:r>
        <w:rPr>
          <w:rStyle w:val="Codetext"/>
        </w:rPr>
        <w:t>k</w:t>
      </w:r>
      <w:r>
        <w:rPr>
          <w:rStyle w:val="Code"/>
        </w:rPr>
        <w:t>&lt;unclear&gt;</w:t>
      </w:r>
      <w:r>
        <w:rPr>
          <w:rStyle w:val="Codetext"/>
        </w:rPr>
        <w:t>o</w:t>
      </w:r>
      <w:r>
        <w:rPr>
          <w:rStyle w:val="Code"/>
        </w:rPr>
        <w:t>&lt;/unclear&gt;</w:t>
      </w:r>
      <w:r>
        <w:rPr>
          <w:rStyle w:val="Code"/>
        </w:rPr>
        <w:br/>
        <w:t xml:space="preserve">&lt;&gt;&lt;supplied </w:t>
      </w:r>
      <w:r>
        <w:rPr>
          <w:rStyle w:val="Codeattribute"/>
        </w:rPr>
        <w:t>reason</w:t>
      </w:r>
      <w:r>
        <w:rPr>
          <w:rStyle w:val="Code"/>
        </w:rPr>
        <w:t>=</w:t>
      </w:r>
      <w:r>
        <w:rPr>
          <w:rStyle w:val="Codevalue"/>
        </w:rPr>
        <w:t>"lost"</w:t>
      </w:r>
      <w:r>
        <w:rPr>
          <w:rStyle w:val="Code"/>
        </w:rPr>
        <w:t>&gt;</w:t>
      </w:r>
      <w:r>
        <w:rPr>
          <w:rStyle w:val="Codetext"/>
          <w:rFonts w:ascii="Cambria Math" w:hAnsi="Cambria Math" w:cs="Cambria Math"/>
        </w:rPr>
        <w:t>⌉</w:t>
      </w:r>
      <w:r>
        <w:rPr>
          <w:rStyle w:val="Code"/>
        </w:rPr>
        <w:t>&lt;/supplied&gt;</w:t>
      </w:r>
    </w:p>
    <w:p w14:paraId="4A48B0CF" w14:textId="77777777">
      <w:pPr>
        <w:pStyle w:val="Lista4"/>
      </w:pPr>
      <w:r>
        <w:rPr>
          <w:rStyle w:val="ForeignTamilScript"/>
          <w:color w:val="808080" w:themeColor="background1" w:themeShade="80"/>
          <w:cs/>
        </w:rPr>
        <w:t>ெ</w:t>
      </w:r>
      <w:r>
        <w:t>&lt;&gt;</w:t>
      </w:r>
      <w:r>
        <w:rPr>
          <w:rStyle w:val="ForeignTamilScript"/>
          <w:cs/>
        </w:rPr>
        <w:t>க</w:t>
      </w:r>
      <w:r>
        <w:rPr>
          <w:cs/>
        </w:rPr>
        <w:t xml:space="preserve"> </w:t>
      </w:r>
      <w:r>
        <w:rPr>
          <w:rFonts w:cs="Gentium"/>
        </w:rPr>
        <w:t>→</w:t>
      </w:r>
    </w:p>
    <w:p w14:paraId="61B3C838" w14:textId="77777777">
      <w:pPr>
        <w:pStyle w:val="Lista5"/>
      </w:pPr>
      <w:r>
        <w:rPr>
          <w:rStyle w:val="Code"/>
        </w:rPr>
        <w:t xml:space="preserve">&lt;supplied </w:t>
      </w:r>
      <w:r>
        <w:rPr>
          <w:rStyle w:val="Codeattribute"/>
        </w:rPr>
        <w:t>reason</w:t>
      </w:r>
      <w:r>
        <w:rPr>
          <w:rStyle w:val="Code"/>
        </w:rPr>
        <w:t>=</w:t>
      </w:r>
      <w:r>
        <w:rPr>
          <w:rStyle w:val="Codevalue"/>
        </w:rPr>
        <w:t>"lost"</w:t>
      </w:r>
      <w:r>
        <w:rPr>
          <w:rStyle w:val="Code"/>
        </w:rPr>
        <w:t>&gt;</w:t>
      </w:r>
      <w:r>
        <w:rPr>
          <w:rStyle w:val="Codetext"/>
          <w:rFonts w:ascii="Cambria Math" w:hAnsi="Cambria Math" w:cs="Cambria Math"/>
        </w:rPr>
        <w:t>⌈</w:t>
      </w:r>
      <w:r>
        <w:rPr>
          <w:rStyle w:val="Code"/>
        </w:rPr>
        <w:t>&lt;/supplied&gt;</w:t>
      </w:r>
      <w:r>
        <w:rPr>
          <w:rStyle w:val="Code"/>
        </w:rPr>
        <w:br/>
        <w:t>&lt;&gt;</w:t>
      </w:r>
      <w:r>
        <w:rPr>
          <w:rStyle w:val="Codetext"/>
        </w:rPr>
        <w:t>k</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&lt;/supplied&gt;</w:t>
      </w:r>
    </w:p>
    <w:p w14:paraId="4914F013" w14:textId="77777777">
      <w:pPr>
        <w:pStyle w:val="Lista2"/>
      </w:pPr>
      <w:r>
        <w:t xml:space="preserve">if an adjacent </w:t>
      </w:r>
      <w:r>
        <w:rPr>
          <w:b/>
          <w:bCs/>
        </w:rPr>
        <w:t>lacuna</w:t>
      </w:r>
      <w:r>
        <w:t xml:space="preserve"> may have obliterated a split-off component but you </w:t>
      </w:r>
      <w:r>
        <w:rPr>
          <w:b/>
          <w:bCs/>
        </w:rPr>
        <w:t xml:space="preserve">do not supply </w:t>
      </w:r>
      <w:r>
        <w:t>this even tentatively</w:t>
      </w:r>
    </w:p>
    <w:p w14:paraId="434AD9AD" w14:textId="77777777">
      <w:pPr>
        <w:pStyle w:val="Lista3"/>
      </w:pPr>
      <w:r>
        <w:t xml:space="preserve">simply mark up the </w:t>
      </w:r>
      <w:r>
        <w:rPr>
          <w:rStyle w:val="Foreign"/>
        </w:rPr>
        <w:t>extant</w:t>
      </w:r>
      <w:r>
        <w:t xml:space="preserve"> vowel component as unclear and leave it to the proficient reader to deduce the fact that an additional component may have been destroyed in the lacuna</w:t>
      </w:r>
    </w:p>
    <w:p w14:paraId="298D9458" w14:textId="77777777">
      <w:pPr>
        <w:pStyle w:val="Cmsor3"/>
      </w:pPr>
      <w:bookmarkStart w:id="392" w:name="_Ref226033790"/>
      <w:bookmarkStart w:id="393" w:name="_Toc243900290"/>
      <w:r>
        <w:lastRenderedPageBreak/>
        <w:t>Phonographic glyphs in a different function</w:t>
      </w:r>
      <w:bookmarkEnd w:id="392"/>
      <w:bookmarkEnd w:id="393"/>
    </w:p>
    <w:p w14:paraId="3780CD49" w14:textId="77777777">
      <w:pPr>
        <w:rPr>
          <w:lang w:eastAsia="en-US" w:bidi="ar-SA"/>
        </w:rPr>
      </w:pPr>
      <w:r>
        <w:rPr>
          <w:lang w:eastAsia="en-US" w:bidi="ar-SA"/>
        </w:rPr>
        <w:t xml:space="preserve">The glyphs that normally manifest phonographic graphemes or </w:t>
      </w:r>
      <w:r>
        <w:rPr>
          <w:rStyle w:val="Foreign"/>
        </w:rPr>
        <w:t>akṣara</w:t>
      </w:r>
      <w:r>
        <w:rPr>
          <w:noProof/>
          <w:lang w:eastAsia="en-US" w:bidi="ar-SA"/>
        </w:rPr>
        <w:t>s</w:t>
      </w:r>
      <w:r>
        <w:rPr>
          <w:lang w:eastAsia="en-US" w:bidi="ar-SA"/>
        </w:rPr>
        <w:t xml:space="preserve"> may occasionally be used in other graphemic functions. </w:t>
      </w:r>
      <w:r>
        <w:t xml:space="preserve">For example, the glyphs for |ka|, |kha| etc. may be used for numeration, while those for </w:t>
      </w:r>
      <w:r>
        <w:rPr>
          <w:rStyle w:val="ForeignIndic"/>
        </w:rPr>
        <w:t>|tha|</w:t>
      </w:r>
      <w:r>
        <w:t xml:space="preserve">, </w:t>
      </w:r>
      <w:r>
        <w:rPr>
          <w:rStyle w:val="ForeignIndic"/>
        </w:rPr>
        <w:t>|cha|</w:t>
      </w:r>
      <w:r>
        <w:t xml:space="preserve"> or </w:t>
      </w:r>
      <w:r>
        <w:rPr>
          <w:rStyle w:val="ForeignIndic"/>
        </w:rPr>
        <w:t>|chaḥ|</w:t>
      </w:r>
      <w:r>
        <w:t xml:space="preserve"> may be employed as closing symbols at the end of texts. In such cases, transliterate the glyph with the appropriate phonographic target graphemes</w:t>
      </w:r>
      <w:r>
        <w:rPr>
          <w:lang w:eastAsia="en-US" w:bidi="ar-SA"/>
        </w:rPr>
        <w:t>. However, as per TG §6.2, symbol glyphs whose shape is similar to a phonographic glyph but not identical to that glyph as attested or expected in the given writing system shall be treated as peripheral graphemes and encoded accordingly (§</w:t>
      </w:r>
      <w:r>
        <w:rPr>
          <w:lang w:eastAsia="en-US" w:bidi="ar-SA"/>
        </w:rPr>
        <w:fldChar w:fldCharType="begin"/>
      </w:r>
      <w:r>
        <w:rPr>
          <w:lang w:eastAsia="en-US" w:bidi="ar-SA"/>
        </w:rPr>
        <w:instrText xml:space="preserve"> REF _Ref226033363 \r \h </w:instrText>
      </w:r>
      <w:r>
        <w:rPr>
          <w:lang w:eastAsia="en-US" w:bidi="ar-SA"/>
        </w:rPr>
      </w:r>
      <w:r>
        <w:rPr>
          <w:lang w:eastAsia="en-US" w:bidi="ar-SA"/>
        </w:rPr>
        <w:fldChar w:fldCharType="separate"/>
      </w:r>
      <w:r>
        <w:rPr>
          <w:lang w:eastAsia="en-US" w:bidi="ar-SA"/>
        </w:rPr>
        <w:t>5.3</w:t>
      </w:r>
      <w:r>
        <w:rPr>
          <w:lang w:eastAsia="en-US" w:bidi="ar-SA"/>
        </w:rPr>
        <w:fldChar w:fldCharType="end"/>
      </w:r>
      <w:r>
        <w:rPr>
          <w:lang w:eastAsia="en-US" w:bidi="ar-SA"/>
        </w:rPr>
        <w:t>).</w:t>
      </w:r>
    </w:p>
    <w:p w14:paraId="635030C6" w14:textId="77777777">
      <w:pPr>
        <w:pStyle w:val="Cmsor2"/>
      </w:pPr>
      <w:bookmarkStart w:id="394" w:name="_f8rlfquf7u2o" w:colFirst="0" w:colLast="0"/>
      <w:bookmarkStart w:id="395" w:name="_Ref226015920"/>
      <w:bookmarkStart w:id="396" w:name="_Toc243900291"/>
      <w:bookmarkEnd w:id="394"/>
      <w:r>
        <w:t>Numeral signs</w:t>
      </w:r>
      <w:bookmarkEnd w:id="395"/>
      <w:bookmarkEnd w:id="396"/>
    </w:p>
    <w:p w14:paraId="166C122B" w14:textId="77777777">
      <w:pPr>
        <w:rPr>
          <w:lang w:eastAsia="en-US" w:bidi="ar-SA"/>
        </w:rPr>
      </w:pPr>
      <w:r>
        <w:rPr>
          <w:lang w:eastAsia="en-US" w:bidi="ar-SA"/>
        </w:rPr>
        <w:t>As core graphemes of our transliteration system, numerals are rendered with Arabic numerals in transliteration, and this transliteration identifies the applicable source grapheme with sufficient accuracy. However, source numeral graphemes which are represented by something other than a single Arabic numeral require encoding as per §</w:t>
      </w:r>
      <w:r>
        <w:rPr>
          <w:lang w:eastAsia="en-US" w:bidi="ar-SA"/>
        </w:rPr>
        <w:fldChar w:fldCharType="begin"/>
      </w:r>
      <w:r>
        <w:rPr>
          <w:lang w:eastAsia="en-US" w:bidi="ar-SA"/>
        </w:rPr>
        <w:instrText xml:space="preserve"> REF _Ref225950738 \r \h </w:instrText>
      </w:r>
      <w:r>
        <w:rPr>
          <w:lang w:eastAsia="en-US" w:bidi="ar-SA"/>
        </w:rPr>
      </w:r>
      <w:r>
        <w:rPr>
          <w:lang w:eastAsia="en-US" w:bidi="ar-SA"/>
        </w:rPr>
        <w:fldChar w:fldCharType="separate"/>
      </w:r>
      <w:r>
        <w:rPr>
          <w:lang w:eastAsia="en-US" w:bidi="ar-SA"/>
        </w:rPr>
        <w:t>5.2.1</w:t>
      </w:r>
      <w:r>
        <w:rPr>
          <w:lang w:eastAsia="en-US" w:bidi="ar-SA"/>
        </w:rPr>
        <w:fldChar w:fldCharType="end"/>
      </w:r>
      <w:r>
        <w:rPr>
          <w:lang w:eastAsia="en-US" w:bidi="ar-SA"/>
        </w:rPr>
        <w:t xml:space="preserve"> when used in an XML context, in order to make it clear that a cluster of target graphemes represents a single numeral in the source. </w:t>
      </w:r>
    </w:p>
    <w:p w14:paraId="4B01C739" w14:textId="77777777">
      <w:pPr>
        <w:pStyle w:val="Lista"/>
      </w:pPr>
      <w:r>
        <w:t>in addition to the glyph encoding presented in this section, in DHARMA practice all numbers are also encoded for their semantic value</w:t>
      </w:r>
    </w:p>
    <w:p w14:paraId="1E44BA1D" w14:textId="77777777">
      <w:pPr>
        <w:pStyle w:val="Lista2"/>
      </w:pPr>
      <w:r>
        <w:t>because value encoding can also apply to numbers represented in words, it is described in §</w:t>
      </w:r>
      <w:r>
        <w:fldChar w:fldCharType="begin"/>
      </w:r>
      <w:r>
        <w:instrText xml:space="preserve"> REF _Ref43980607 \r \h  \* MERGEFORMAT </w:instrText>
      </w:r>
      <w:r>
        <w:fldChar w:fldCharType="separate"/>
      </w:r>
      <w:r>
        <w:t>9.1</w:t>
      </w:r>
      <w:r>
        <w:fldChar w:fldCharType="end"/>
      </w:r>
      <w:r>
        <w:t xml:space="preserve"> under the generic section on encoding semantic information</w:t>
      </w:r>
    </w:p>
    <w:p w14:paraId="4DA4AD4C" w14:textId="77777777">
      <w:pPr>
        <w:pStyle w:val="Lista"/>
      </w:pPr>
      <w:r>
        <w:t>occasionally, a glyph that normally represents a numeral is employed in a different function, which is to be handled according to §</w:t>
      </w:r>
      <w:r>
        <w:fldChar w:fldCharType="begin"/>
      </w:r>
      <w:r>
        <w:instrText xml:space="preserve"> REF _Ref226033797 \r \h </w:instrText>
      </w:r>
      <w:r>
        <w:fldChar w:fldCharType="separate"/>
      </w:r>
      <w:r>
        <w:t>5.2.3</w:t>
      </w:r>
      <w:r>
        <w:fldChar w:fldCharType="end"/>
      </w:r>
      <w:r>
        <w:t xml:space="preserve"> </w:t>
      </w:r>
    </w:p>
    <w:p w14:paraId="41991061" w14:textId="77777777">
      <w:pPr>
        <w:pStyle w:val="Cmsor3"/>
      </w:pPr>
      <w:bookmarkStart w:id="397" w:name="_Ref225950738"/>
      <w:bookmarkStart w:id="398" w:name="_Toc243900292"/>
      <w:r>
        <w:t>Glyph encoding for numerals</w:t>
      </w:r>
      <w:bookmarkEnd w:id="397"/>
      <w:bookmarkEnd w:id="398"/>
    </w:p>
    <w:p w14:paraId="281635ED" w14:textId="77777777">
      <w:pPr>
        <w:rPr>
          <w:lang w:eastAsia="en-US" w:bidi="ar-SA"/>
        </w:rPr>
      </w:pPr>
      <w:r>
        <w:t xml:space="preserve">We use the TEI element </w:t>
      </w:r>
      <w:r>
        <w:rPr>
          <w:rStyle w:val="Code"/>
        </w:rPr>
        <w:t>&lt;g&gt;</w:t>
      </w:r>
      <w:r>
        <w:t xml:space="preserve"> </w:t>
      </w:r>
      <w:r>
        <w:rPr>
          <w:noProof/>
        </w:rPr>
        <w:t>(</w:t>
      </w:r>
      <w:r>
        <w:t>for “glyph” or “gaiji”</w:t>
      </w:r>
      <w:r>
        <w:rPr>
          <w:rStyle w:val="Lbjegyzet-hivatkozs"/>
        </w:rPr>
        <w:footnoteReference w:id="20"/>
      </w:r>
      <w:r>
        <w:t>) in the encoding of all glyphs other than phonographic ones and decimal digits. The use of this element indicates that our set of target graphemes provides no direct equivalent to the original glyph, and that the contents of this element represent a single source grapheme.</w:t>
      </w:r>
    </w:p>
    <w:p w14:paraId="771F9305" w14:textId="77777777">
      <w:pPr>
        <w:pStyle w:val="Lista"/>
      </w:pPr>
      <w:r>
        <w:t xml:space="preserve">when a single source numeral glyph is represented in transliteration with anything other than a single Arabic numeral, wrap the transliterated grapheme(s) in </w:t>
      </w:r>
      <w:r>
        <w:rPr>
          <w:rStyle w:val="Code"/>
        </w:rPr>
        <w:t xml:space="preserve">&lt;g </w:t>
      </w:r>
      <w:r>
        <w:rPr>
          <w:rStyle w:val="Codeattribute"/>
        </w:rPr>
        <w:t>type</w:t>
      </w:r>
      <w:r>
        <w:rPr>
          <w:rStyle w:val="Code"/>
        </w:rPr>
        <w:t>=</w:t>
      </w:r>
      <w:r>
        <w:rPr>
          <w:rStyle w:val="Codevalue"/>
        </w:rPr>
        <w:t>"numeral"</w:t>
      </w:r>
      <w:r>
        <w:rPr>
          <w:rStyle w:val="Code"/>
        </w:rPr>
        <w:t>&gt;</w:t>
      </w:r>
    </w:p>
    <w:p w14:paraId="1158236D" w14:textId="77777777">
      <w:pPr>
        <w:pStyle w:val="Cmsor4"/>
      </w:pPr>
      <w:r>
        <w:t>No glyph encoding for digital numerals</w:t>
      </w:r>
    </w:p>
    <w:tbl>
      <w:tblPr>
        <w:tblStyle w:val="CodeSampleTable"/>
        <w:tblpPr w:leftFromText="180" w:rightFromText="180" w:vertAnchor="text" w:tblpXSpec="right" w:tblpY="1"/>
        <w:tblOverlap w:val="never"/>
        <w:tblW w:w="3686" w:type="dxa"/>
        <w:tblLook w:val="04A0" w:firstRow="1" w:lastRow="0" w:firstColumn="1" w:lastColumn="0" w:noHBand="0" w:noVBand="1"/>
      </w:tblPr>
      <w:tblGrid>
        <w:gridCol w:w="3686"/>
      </w:tblGrid>
      <w:tr w14:paraId="1163E5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53C2C4" w14:textId="77777777">
            <w:pPr>
              <w:pStyle w:val="Kpalrs"/>
            </w:pPr>
            <w:bookmarkStart w:id="399" w:name="_Ref225951763"/>
            <w:r>
              <w:t xml:space="preserve">Exhibit </w:t>
            </w:r>
            <w:fldSimple w:instr=" STYLEREF 2 \s ">
              <w:r>
                <w:rPr>
                  <w:noProof/>
                </w:rPr>
                <w:t>5.2</w:t>
              </w:r>
            </w:fldSimple>
            <w:r>
              <w:t>.</w:t>
            </w:r>
            <w:fldSimple w:instr=" SEQ Exhibit \* ALPHABETIC \s 2 ">
              <w:r>
                <w:rPr>
                  <w:noProof/>
                </w:rPr>
                <w:t>A</w:t>
              </w:r>
            </w:fldSimple>
            <w:bookmarkEnd w:id="399"/>
            <w:r>
              <w:t>: a digital numeral</w:t>
            </w:r>
          </w:p>
        </w:tc>
      </w:tr>
      <w:tr w14:paraId="6148DB03" w14:textId="77777777">
        <w:tc>
          <w:tcPr>
            <w:tcW w:w="0" w:type="auto"/>
          </w:tcPr>
          <w:p w14:paraId="40784701" w14:textId="77777777">
            <w:pPr>
              <w:pStyle w:val="Image"/>
            </w:pPr>
            <w:r>
              <w:drawing>
                <wp:inline distT="0" distB="0" distL="0" distR="0" wp14:anchorId="1ECF3722" wp14:editId="0E82C9AE">
                  <wp:extent cx="1796400" cy="720000"/>
                  <wp:effectExtent l="0" t="0" r="0" b="4445"/>
                  <wp:docPr id="92449898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796400" cy="720000"/>
                          </a:xfrm>
                          <a:prstGeom prst="rect">
                            <a:avLst/>
                          </a:prstGeom>
                          <a:noFill/>
                          <a:ln>
                            <a:noFill/>
                          </a:ln>
                        </pic:spPr>
                      </pic:pic>
                    </a:graphicData>
                  </a:graphic>
                </wp:inline>
              </w:drawing>
            </w:r>
          </w:p>
        </w:tc>
      </w:tr>
      <w:tr w14:paraId="79D6C3A1" w14:textId="77777777">
        <w:tc>
          <w:tcPr>
            <w:tcW w:w="0" w:type="auto"/>
          </w:tcPr>
          <w:p w14:paraId="4306E046" w14:textId="77777777">
            <w:pPr>
              <w:pStyle w:val="CodeParagraph"/>
              <w:rPr>
                <w:rStyle w:val="Codetext"/>
                <w:rFonts w:ascii="Gentium" w:hAnsi="Gentium" w:cs="Tiro Devanagari Sanskrit"/>
                <w:noProof w:val="0"/>
                <w:color w:val="auto"/>
                <w:shd w:val="clear" w:color="auto" w:fill="auto"/>
              </w:rPr>
            </w:pPr>
            <w:r>
              <w:rPr>
                <w:rStyle w:val="Code"/>
              </w:rPr>
              <w:t xml:space="preserve">&lt;num </w:t>
            </w:r>
            <w:r>
              <w:rPr>
                <w:rStyle w:val="Codeattribute"/>
              </w:rPr>
              <w:t>value</w:t>
            </w:r>
            <w:r>
              <w:rPr>
                <w:rStyle w:val="Codetext"/>
              </w:rPr>
              <w:t>=</w:t>
            </w:r>
            <w:r>
              <w:rPr>
                <w:rStyle w:val="Codevalue"/>
              </w:rPr>
              <w:t>"1218"</w:t>
            </w:r>
            <w:r>
              <w:rPr>
                <w:rStyle w:val="Code"/>
              </w:rPr>
              <w:t>&gt;</w:t>
            </w:r>
            <w:r>
              <w:rPr>
                <w:rStyle w:val="Codetext"/>
              </w:rPr>
              <w:t>1218</w:t>
            </w:r>
            <w:r>
              <w:rPr>
                <w:rStyle w:val="Code"/>
              </w:rPr>
              <w:t>&lt;/num&gt;</w:t>
            </w:r>
          </w:p>
        </w:tc>
      </w:tr>
      <w:tr w14:paraId="609E4946" w14:textId="77777777">
        <w:tc>
          <w:tcPr>
            <w:tcW w:w="0" w:type="auto"/>
          </w:tcPr>
          <w:p w14:paraId="3F1BEE66" w14:textId="77777777">
            <w:pPr>
              <w:pStyle w:val="TableNote"/>
            </w:pPr>
            <w:r>
              <w:t>decimal digits need no glyph markup</w:t>
            </w:r>
          </w:p>
          <w:p w14:paraId="2D95A316" w14:textId="77777777">
            <w:pPr>
              <w:pStyle w:val="TableNote"/>
              <w:rPr>
                <w:rStyle w:val="Codetext"/>
                <w:color w:val="002060"/>
              </w:rPr>
            </w:pPr>
            <w:r>
              <w:t>semantic markup added as per §</w:t>
            </w:r>
            <w:r>
              <w:fldChar w:fldCharType="begin"/>
            </w:r>
            <w:r>
              <w:instrText xml:space="preserve"> REF _Ref43980607 \r \h  \* MERGEFORMAT </w:instrText>
            </w:r>
            <w:r>
              <w:fldChar w:fldCharType="separate"/>
            </w:r>
            <w:r>
              <w:t>9.1</w:t>
            </w:r>
            <w:r>
              <w:fldChar w:fldCharType="end"/>
            </w:r>
          </w:p>
        </w:tc>
      </w:tr>
    </w:tbl>
    <w:p w14:paraId="336DEACE" w14:textId="77777777">
      <w:r>
        <w:t xml:space="preserve">Encoding with </w:t>
      </w:r>
      <w:r>
        <w:rPr>
          <w:rStyle w:val="Code"/>
        </w:rPr>
        <w:t>&lt;g&gt;</w:t>
      </w:r>
      <w:r>
        <w:t xml:space="preserve"> is not needed (and must not be added) to decimal digits, i.e. the integers 0 to 9 represented in the source by an individual grapheme.</w:t>
      </w:r>
    </w:p>
    <w:p w14:paraId="1AD5BBA7" w14:textId="77777777">
      <w:pPr>
        <w:pStyle w:val="Lista"/>
      </w:pPr>
      <w:r>
        <w:t>do not use glyph markup for</w:t>
      </w:r>
    </w:p>
    <w:p w14:paraId="148CAED7" w14:textId="77777777">
      <w:pPr>
        <w:pStyle w:val="Lista2"/>
      </w:pPr>
      <w:r>
        <w:t xml:space="preserve">standalone digits, as the second 8 in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741C3848" w14:textId="77777777">
      <w:pPr>
        <w:pStyle w:val="Lista2"/>
      </w:pPr>
      <w:r>
        <w:t xml:space="preserve">digits conjoined additively to non-digital numeral signs, as the first 8 and the 5 in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p w14:paraId="79A81B9D" w14:textId="77777777">
      <w:pPr>
        <w:pStyle w:val="Lista2"/>
      </w:pPr>
      <w:r>
        <w:t xml:space="preserve">multiple digits used in place-value notation for a larger number, as in </w:t>
      </w:r>
      <w:r>
        <w:fldChar w:fldCharType="begin"/>
      </w:r>
      <w:r>
        <w:instrText xml:space="preserve"> REF _Ref225951763 \h </w:instrText>
      </w:r>
      <w:r>
        <w:fldChar w:fldCharType="separate"/>
      </w:r>
      <w:r>
        <w:t xml:space="preserve">Exhibit </w:t>
      </w:r>
      <w:r>
        <w:rPr>
          <w:noProof/>
        </w:rPr>
        <w:t>5.2</w:t>
      </w:r>
      <w:r>
        <w:t>.</w:t>
      </w:r>
      <w:r>
        <w:rPr>
          <w:noProof/>
        </w:rPr>
        <w:t>A</w:t>
      </w:r>
      <w:r>
        <w:fldChar w:fldCharType="end"/>
      </w:r>
    </w:p>
    <w:p w14:paraId="413840CF" w14:textId="77777777">
      <w:pPr>
        <w:pStyle w:val="Cmsor4"/>
      </w:pPr>
      <w:r>
        <w:t>Encoding non-digital numerals</w:t>
      </w:r>
    </w:p>
    <w:p w14:paraId="261B18E5" w14:textId="77777777">
      <w:r>
        <w:t xml:space="preserve">All non-digital numerals must be individually wrapped in </w:t>
      </w:r>
      <w:r>
        <w:rPr>
          <w:rStyle w:val="Code"/>
        </w:rPr>
        <w:t xml:space="preserve">&lt;g </w:t>
      </w:r>
      <w:r>
        <w:rPr>
          <w:rStyle w:val="Codeattribute"/>
        </w:rPr>
        <w:t>type</w:t>
      </w:r>
      <w:r>
        <w:rPr>
          <w:rStyle w:val="Code"/>
        </w:rPr>
        <w:t>=</w:t>
      </w:r>
      <w:r>
        <w:rPr>
          <w:rStyle w:val="Codevalue"/>
        </w:rPr>
        <w:t>"numeral"</w:t>
      </w:r>
      <w:r>
        <w:rPr>
          <w:rStyle w:val="Code"/>
        </w:rPr>
        <w:t>&gt;</w:t>
      </w:r>
      <w:r>
        <w:t>. This glyph markup disambiguates the transliteration from other meanings in which the same target graphemes might be used and, for clusters of target graphemes, clarifies the demarcation of the source grapheme. The semantic markup for number values (§</w:t>
      </w:r>
      <w:r>
        <w:fldChar w:fldCharType="begin"/>
      </w:r>
      <w:r>
        <w:instrText xml:space="preserve"> REF _Ref43980607 \r \h  \* MERGEFORMAT </w:instrText>
      </w:r>
      <w:r>
        <w:fldChar w:fldCharType="separate"/>
      </w:r>
      <w:r>
        <w:t>9.1</w:t>
      </w:r>
      <w:r>
        <w:fldChar w:fldCharType="end"/>
      </w:r>
      <w:r>
        <w:t>) clarifies the denoted number even when this is not self-evident from a series of glyphs. Non-digital numerals encountered in our practice are of the following kinds.</w:t>
      </w:r>
    </w:p>
    <w:p w14:paraId="7896DEE8" w14:textId="77777777">
      <w:pPr>
        <w:pStyle w:val="Lista"/>
      </w:pPr>
      <w:r>
        <w:t xml:space="preserve">numeral </w:t>
      </w:r>
      <w:r>
        <w:rPr>
          <w:b/>
          <w:bCs/>
        </w:rPr>
        <w:t>glyphs denoting</w:t>
      </w:r>
      <w:r>
        <w:t xml:space="preserve"> </w:t>
      </w:r>
      <w:r>
        <w:rPr>
          <w:b/>
          <w:bCs/>
        </w:rPr>
        <w:t>powers of 10</w:t>
      </w:r>
      <w:r>
        <w:t xml:space="preserve"> and their multiples, transliterated with multi-digit Arabic numerals as per TG §4.2.2</w:t>
      </w:r>
    </w:p>
    <w:p w14:paraId="4EF262B1" w14:textId="77777777">
      <w:pPr>
        <w:pStyle w:val="Lista2"/>
      </w:pPr>
      <w:r>
        <w:lastRenderedPageBreak/>
        <w:t>standing alone, e.g.</w:t>
      </w:r>
    </w:p>
    <w:p w14:paraId="43C0F63E" w14:textId="77777777">
      <w:pPr>
        <w:pStyle w:val="Lista3"/>
      </w:pPr>
      <w:r>
        <w:rPr>
          <w:rStyle w:val="ForeignBrahmiScript"/>
        </w:rPr>
        <w:t>𑁤𑁿𑁓</w:t>
      </w:r>
      <w:r>
        <w:t xml:space="preserve"> = |200|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200</w:t>
      </w:r>
      <w:r>
        <w:rPr>
          <w:rStyle w:val="Code"/>
        </w:rPr>
        <w:t>&lt;/g&gt;</w:t>
      </w:r>
      <w:r>
        <w:t xml:space="preserve"> </w:t>
      </w:r>
    </w:p>
    <w:p w14:paraId="5CB38F79" w14:textId="77777777">
      <w:pPr>
        <w:pStyle w:val="Lista2"/>
      </w:pPr>
      <w:r>
        <w:t>combined additively with other numeral glyphs, e.g.</w:t>
      </w:r>
    </w:p>
    <w:p w14:paraId="6F9404D3" w14:textId="77777777">
      <w:pPr>
        <w:pStyle w:val="Lista3"/>
      </w:pPr>
      <w:r>
        <w:rPr>
          <w:rFonts w:ascii="Segoe UI Historic" w:hAnsi="Segoe UI Historic" w:cs="Segoe UI Historic"/>
        </w:rPr>
        <w:t>𑁤𑁜𑁔</w:t>
      </w:r>
      <w:r>
        <w:t xml:space="preserve"> = |100| + |20| + |3|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100</w:t>
      </w:r>
      <w:r>
        <w:rPr>
          <w:rStyle w:val="Code"/>
        </w:rPr>
        <w:t>&lt;/g&gt;</w:t>
      </w:r>
      <w:r>
        <w:rPr>
          <w:rStyle w:val="Codetext"/>
        </w:rP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20</w:t>
      </w:r>
      <w:r>
        <w:rPr>
          <w:rStyle w:val="Code"/>
        </w:rPr>
        <w:t>&lt;/g&gt;</w:t>
      </w:r>
      <w:r>
        <w:rPr>
          <w:rStyle w:val="Codetext"/>
        </w:rPr>
        <w:t xml:space="preserve"> 3</w:t>
      </w:r>
      <w:r>
        <w:t xml:space="preserve"> </w:t>
      </w:r>
    </w:p>
    <w:p w14:paraId="1C89F3C3" w14:textId="77777777">
      <w:pPr>
        <w:pStyle w:val="Lista4"/>
      </w:pPr>
      <w:r>
        <w:t xml:space="preserve">note that the transliterated 3 is not wrapped in </w:t>
      </w:r>
      <w:r>
        <w:rPr>
          <w:rStyle w:val="Code"/>
        </w:rPr>
        <w:t>&lt;g&gt;</w:t>
      </w:r>
      <w:r>
        <w:t>, because it is a single Arabic digit</w:t>
      </w:r>
    </w:p>
    <w:tbl>
      <w:tblPr>
        <w:tblStyle w:val="CodeSampleTable"/>
        <w:tblpPr w:leftFromText="180" w:rightFromText="180" w:vertAnchor="text" w:tblpXSpec="right" w:tblpY="1"/>
        <w:tblOverlap w:val="never"/>
        <w:tblW w:w="4253" w:type="dxa"/>
        <w:tblLook w:val="04A0" w:firstRow="1" w:lastRow="0" w:firstColumn="1" w:lastColumn="0" w:noHBand="0" w:noVBand="1"/>
      </w:tblPr>
      <w:tblGrid>
        <w:gridCol w:w="4253"/>
      </w:tblGrid>
      <w:tr w14:paraId="426861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5942E6" w14:textId="77777777">
            <w:pPr>
              <w:pStyle w:val="Kpalrs"/>
              <w:keepLines/>
            </w:pPr>
            <w:bookmarkStart w:id="400" w:name="_Ref225952270"/>
            <w:r>
              <w:t xml:space="preserve">Exhibit </w:t>
            </w:r>
            <w:fldSimple w:instr=" STYLEREF 2 \s ">
              <w:r>
                <w:rPr>
                  <w:noProof/>
                </w:rPr>
                <w:t>5.2</w:t>
              </w:r>
            </w:fldSimple>
            <w:r>
              <w:t>.</w:t>
            </w:r>
            <w:fldSimple w:instr=" SEQ Exhibit \* ALPHABETIC \s 2 ">
              <w:r>
                <w:rPr>
                  <w:noProof/>
                </w:rPr>
                <w:t>B</w:t>
              </w:r>
            </w:fldSimple>
            <w:bookmarkEnd w:id="400"/>
            <w:r>
              <w:t>: multiplicative combination</w:t>
            </w:r>
          </w:p>
        </w:tc>
      </w:tr>
      <w:tr w14:paraId="0CCC6E1A" w14:textId="77777777">
        <w:tc>
          <w:tcPr>
            <w:tcW w:w="0" w:type="auto"/>
          </w:tcPr>
          <w:p w14:paraId="3965ADE1" w14:textId="77777777">
            <w:pPr>
              <w:pStyle w:val="Image"/>
            </w:pPr>
            <w:r>
              <w:drawing>
                <wp:inline distT="0" distB="0" distL="0" distR="0" wp14:anchorId="4A7FBFC6" wp14:editId="3FD1D408">
                  <wp:extent cx="2685600" cy="540000"/>
                  <wp:effectExtent l="0" t="0" r="635" b="0"/>
                  <wp:docPr id="1219481461" name="Kép 121948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85600" cy="540000"/>
                          </a:xfrm>
                          <a:prstGeom prst="rect">
                            <a:avLst/>
                          </a:prstGeom>
                          <a:noFill/>
                          <a:ln>
                            <a:noFill/>
                          </a:ln>
                        </pic:spPr>
                      </pic:pic>
                    </a:graphicData>
                  </a:graphic>
                </wp:inline>
              </w:drawing>
            </w:r>
          </w:p>
        </w:tc>
      </w:tr>
    </w:tbl>
    <w:p w14:paraId="19A89B5D" w14:textId="77777777">
      <w:pPr>
        <w:pStyle w:val="Lista2"/>
      </w:pPr>
      <w:r>
        <w:t xml:space="preserve">combined multiplicatively (as well as additively) with other numeral glyphs, e.g. </w:t>
      </w:r>
      <w:r>
        <w:fldChar w:fldCharType="begin"/>
      </w:r>
      <w:r>
        <w:instrText xml:space="preserve"> REF _Ref225952270 \h </w:instrText>
      </w:r>
      <w:r>
        <w:fldChar w:fldCharType="separate"/>
      </w:r>
      <w:r>
        <w:t xml:space="preserve">Exhibit </w:t>
      </w:r>
      <w:r>
        <w:rPr>
          <w:noProof/>
        </w:rPr>
        <w:t>5.2</w:t>
      </w:r>
      <w:r>
        <w:t>.</w:t>
      </w:r>
      <w:r>
        <w:rPr>
          <w:noProof/>
        </w:rPr>
        <w:t>B</w:t>
      </w:r>
      <w:r>
        <w:fldChar w:fldCharType="end"/>
      </w:r>
    </w:p>
    <w:p w14:paraId="745CEFEF" w14:textId="77777777">
      <w:pPr>
        <w:pStyle w:val="Lista3"/>
      </w:pPr>
      <w:r>
        <w:t xml:space="preserve">|1000| × |8| + |100| × |3| + |10| </w:t>
      </w:r>
      <w:r>
        <w:rPr>
          <w:rFonts w:cs="Gentium"/>
        </w:rPr>
        <w:t>→</w:t>
      </w:r>
      <w:r>
        <w:t xml:space="preserve"> </w:t>
      </w:r>
      <w:r>
        <w:rPr>
          <w:rStyle w:val="Code"/>
        </w:rPr>
        <w:t xml:space="preserve">&lt;g </w:t>
      </w:r>
      <w:r>
        <w:rPr>
          <w:rStyle w:val="Codeattribute"/>
        </w:rPr>
        <w:t>type=</w:t>
      </w:r>
      <w:r>
        <w:rPr>
          <w:rStyle w:val="Codevalue"/>
        </w:rPr>
        <w:t>"numeral"</w:t>
      </w:r>
      <w:r>
        <w:rPr>
          <w:rStyle w:val="Code"/>
        </w:rPr>
        <w:t>&gt;</w:t>
      </w:r>
      <w:r>
        <w:rPr>
          <w:rStyle w:val="Codetext"/>
        </w:rPr>
        <w:t>1000</w:t>
      </w:r>
      <w:r>
        <w:rPr>
          <w:rStyle w:val="Code"/>
        </w:rPr>
        <w:t>&lt;/g&gt;</w:t>
      </w:r>
      <w:r>
        <w:rPr>
          <w:rStyle w:val="Codetext"/>
        </w:rPr>
        <w:t xml:space="preserve"> 8 </w:t>
      </w:r>
      <w:r>
        <w:rPr>
          <w:rStyle w:val="Code"/>
        </w:rPr>
        <w:t xml:space="preserve">&lt;g </w:t>
      </w:r>
      <w:r>
        <w:rPr>
          <w:rStyle w:val="Codeattribute"/>
        </w:rPr>
        <w:t>type=</w:t>
      </w:r>
      <w:r>
        <w:rPr>
          <w:rStyle w:val="Codevalue"/>
        </w:rPr>
        <w:t>"numeral"</w:t>
      </w:r>
      <w:r>
        <w:rPr>
          <w:rStyle w:val="Code"/>
        </w:rPr>
        <w:t>&gt;</w:t>
      </w:r>
      <w:r>
        <w:rPr>
          <w:rStyle w:val="Codetext"/>
        </w:rPr>
        <w:t>100</w:t>
      </w:r>
      <w:r>
        <w:rPr>
          <w:rStyle w:val="Code"/>
        </w:rPr>
        <w:t>&lt;/g&gt;</w:t>
      </w:r>
      <w:r>
        <w:rPr>
          <w:rStyle w:val="Codetext"/>
        </w:rPr>
        <w:t xml:space="preserve"> 3 </w:t>
      </w:r>
      <w:r>
        <w:rPr>
          <w:rStyle w:val="Code"/>
        </w:rPr>
        <w:t xml:space="preserve">&lt;g </w:t>
      </w:r>
      <w:r>
        <w:rPr>
          <w:rStyle w:val="Codeattribute"/>
        </w:rPr>
        <w:t>type=</w:t>
      </w:r>
      <w:r>
        <w:rPr>
          <w:rStyle w:val="Codevalue"/>
        </w:rPr>
        <w:t>"numeral"</w:t>
      </w:r>
      <w:r>
        <w:rPr>
          <w:rStyle w:val="Code"/>
        </w:rPr>
        <w:t>&gt;</w:t>
      </w:r>
      <w:r>
        <w:rPr>
          <w:rStyle w:val="Codetext"/>
        </w:rPr>
        <w:t>10</w:t>
      </w:r>
      <w:r>
        <w:rPr>
          <w:rStyle w:val="Code"/>
        </w:rPr>
        <w:t>&lt;/g&gt;</w:t>
      </w:r>
      <w:r>
        <w:t xml:space="preserve"> </w:t>
      </w:r>
    </w:p>
    <w:p w14:paraId="2C6DAA06" w14:textId="77777777">
      <w:pPr>
        <w:pStyle w:val="Lista4"/>
      </w:pPr>
      <w:r>
        <w:t xml:space="preserve">8 and 3 are not wrapped in </w:t>
      </w:r>
      <w:r>
        <w:rPr>
          <w:rStyle w:val="Code"/>
        </w:rPr>
        <w:t>&lt;g&gt;</w:t>
      </w:r>
      <w:r>
        <w:t>, because they are single Arabic digits</w:t>
      </w:r>
    </w:p>
    <w:p w14:paraId="062067F3" w14:textId="77777777">
      <w:pPr>
        <w:pStyle w:val="Lista2"/>
      </w:pPr>
      <w:r>
        <w:rPr>
          <w:b/>
          <w:bCs/>
        </w:rPr>
        <w:t>vertical bars denoting |1|</w:t>
      </w:r>
      <w:r>
        <w:t xml:space="preserve"> in Cambodian inscriptions, transliterated with I (uppercase </w:t>
      </w:r>
      <w:proofErr w:type="spellStart"/>
      <w:r>
        <w:t>i</w:t>
      </w:r>
      <w:proofErr w:type="spellEnd"/>
      <w:r>
        <w:t>) as per TG §4.2.3</w:t>
      </w:r>
    </w:p>
    <w:p w14:paraId="2440787F" w14:textId="77777777">
      <w:pPr>
        <w:pStyle w:val="Lista3"/>
      </w:pPr>
      <w:r>
        <w:t xml:space="preserve">used singly, e.g.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w:t>
      </w:r>
      <w:r>
        <w:rPr>
          <w:rStyle w:val="Code"/>
        </w:rPr>
        <w:t>&lt;/g&gt;</w:t>
      </w:r>
      <w:r>
        <w:t xml:space="preserve"> </w:t>
      </w:r>
    </w:p>
    <w:p w14:paraId="585B61D9" w14:textId="77777777">
      <w:pPr>
        <w:pStyle w:val="Lista3"/>
      </w:pPr>
      <w:r>
        <w:t xml:space="preserve">or in groups, e.g.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III</w:t>
      </w:r>
      <w:r>
        <w:rPr>
          <w:rStyle w:val="Code"/>
        </w:rPr>
        <w:t>&lt;/g&gt;</w:t>
      </w:r>
    </w:p>
    <w:p w14:paraId="44C5A723" w14:textId="77777777">
      <w:pPr>
        <w:pStyle w:val="Lista2"/>
      </w:pPr>
      <w:r>
        <w:rPr>
          <w:b/>
          <w:bCs/>
        </w:rPr>
        <w:t>glyphs</w:t>
      </w:r>
      <w:r>
        <w:t xml:space="preserve"> </w:t>
      </w:r>
      <w:r>
        <w:rPr>
          <w:b/>
          <w:bCs/>
        </w:rPr>
        <w:t>denoting fractions</w:t>
      </w:r>
      <w:r>
        <w:t>, transliterated as per TG §4.2.3 with common fractions (involving a slash)</w:t>
      </w:r>
    </w:p>
    <w:p w14:paraId="6DA9B35E" w14:textId="77777777">
      <w:pPr>
        <w:pStyle w:val="Lista3"/>
      </w:pPr>
      <w:r>
        <w:t xml:space="preserve">e.g. a source glyph meaning “one eighth” </w:t>
      </w:r>
      <w:r>
        <w:rPr>
          <w:rFonts w:cs="Gentium"/>
        </w:rPr>
        <w:t>→</w:t>
      </w:r>
      <w: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1/8</w:t>
      </w:r>
      <w:r>
        <w:rPr>
          <w:rStyle w:val="Code"/>
        </w:rPr>
        <w:t>&lt;/g&gt;</w:t>
      </w:r>
      <w:r>
        <w:t xml:space="preserve"> </w:t>
      </w:r>
    </w:p>
    <w:p w14:paraId="22530C32" w14:textId="77777777">
      <w:pPr>
        <w:pStyle w:val="Cmsor3"/>
      </w:pPr>
      <w:bookmarkStart w:id="401" w:name="_Toc243900293"/>
      <w:r>
        <w:t>Numeral signs and their context</w:t>
      </w:r>
      <w:bookmarkEnd w:id="401"/>
    </w:p>
    <w:p w14:paraId="67079521" w14:textId="77777777">
      <w:pPr>
        <w:pStyle w:val="Lista"/>
      </w:pPr>
      <w:r>
        <w:t xml:space="preserve">use spaces around transliterated numerals as instructed in TG §7.3.4.2, i.e. essentially: </w:t>
      </w:r>
    </w:p>
    <w:p w14:paraId="28F11152" w14:textId="77777777">
      <w:pPr>
        <w:pStyle w:val="Lista2"/>
      </w:pPr>
      <w:r>
        <w:t xml:space="preserve">add spaces to separate the transliterated (and, if applicable, encoded) representation of any and all numerals from any and all adjacent graphemes except: </w:t>
      </w:r>
    </w:p>
    <w:p w14:paraId="433233B5" w14:textId="77777777">
      <w:pPr>
        <w:pStyle w:val="Lista3"/>
      </w:pPr>
      <w:r>
        <w:t>use no spaces between numerals used together in place-value notation</w:t>
      </w:r>
    </w:p>
    <w:p w14:paraId="77F67414" w14:textId="77777777">
      <w:pPr>
        <w:pStyle w:val="Lista3"/>
      </w:pPr>
      <w:r>
        <w:t>use no spaces around a numeral sign that interrupts a word</w:t>
      </w:r>
    </w:p>
    <w:p w14:paraId="44D00E7D" w14:textId="77777777">
      <w:pPr>
        <w:pStyle w:val="Cmsor3"/>
      </w:pPr>
      <w:bookmarkStart w:id="402" w:name="_Ref226033797"/>
      <w:bookmarkStart w:id="403" w:name="_Toc243900294"/>
      <w:r>
        <w:t>Numeral glyphs in a non-numeral function</w:t>
      </w:r>
      <w:bookmarkEnd w:id="402"/>
      <w:bookmarkEnd w:id="403"/>
    </w:p>
    <w:p w14:paraId="7CC8A88C" w14:textId="77777777">
      <w:pPr>
        <w:rPr>
          <w:lang w:eastAsia="en-US" w:bidi="ar-SA"/>
        </w:rPr>
      </w:pPr>
      <w:r>
        <w:rPr>
          <w:lang w:eastAsia="en-US" w:bidi="ar-SA"/>
        </w:rPr>
        <w:t>The glyphs that normally manifest numeral graphemes may occasionally be used in other graphemic functions, which shall be treated as follows. The semantic tags for numbers introduced in §</w:t>
      </w:r>
      <w:r>
        <w:rPr>
          <w:lang w:eastAsia="en-US" w:bidi="ar-SA"/>
        </w:rPr>
        <w:fldChar w:fldCharType="begin"/>
      </w:r>
      <w:r>
        <w:rPr>
          <w:lang w:eastAsia="en-US" w:bidi="ar-SA"/>
        </w:rPr>
        <w:instrText xml:space="preserve"> REF _Ref231894384 \r \h </w:instrText>
      </w:r>
      <w:r>
        <w:rPr>
          <w:lang w:eastAsia="en-US" w:bidi="ar-SA"/>
        </w:rPr>
      </w:r>
      <w:r>
        <w:rPr>
          <w:lang w:eastAsia="en-US" w:bidi="ar-SA"/>
        </w:rPr>
        <w:fldChar w:fldCharType="separate"/>
      </w:r>
      <w:r>
        <w:rPr>
          <w:lang w:eastAsia="en-US" w:bidi="ar-SA"/>
        </w:rPr>
        <w:t>9.1</w:t>
      </w:r>
      <w:r>
        <w:rPr>
          <w:lang w:eastAsia="en-US" w:bidi="ar-SA"/>
        </w:rPr>
        <w:fldChar w:fldCharType="end"/>
      </w:r>
      <w:r>
        <w:rPr>
          <w:lang w:eastAsia="en-US" w:bidi="ar-SA"/>
        </w:rPr>
        <w:t xml:space="preserve"> are not applicable in any of these cases.</w:t>
      </w:r>
    </w:p>
    <w:p w14:paraId="38F70C94" w14:textId="77777777">
      <w:pPr>
        <w:pStyle w:val="Lista"/>
        <w:rPr>
          <w:lang w:eastAsia="en-US" w:bidi="ar-SA"/>
        </w:rPr>
      </w:pPr>
      <w:r>
        <w:rPr>
          <w:lang w:eastAsia="en-US" w:bidi="ar-SA"/>
        </w:rPr>
        <w:t>as per TG §6.2, symbol glyphs whose shape is similar to (and/or derived from) a numeral glyph but not identical to the regular numeral attested or expected in the given writing system shall be treated as peripheral graphemes and encoded accordingly (§</w:t>
      </w:r>
      <w:r>
        <w:rPr>
          <w:lang w:eastAsia="en-US" w:bidi="ar-SA"/>
        </w:rPr>
        <w:fldChar w:fldCharType="begin"/>
      </w:r>
      <w:r>
        <w:rPr>
          <w:lang w:eastAsia="en-US" w:bidi="ar-SA"/>
        </w:rPr>
        <w:instrText xml:space="preserve"> REF _Ref226033363 \r \h </w:instrText>
      </w:r>
      <w:r>
        <w:rPr>
          <w:lang w:eastAsia="en-US" w:bidi="ar-SA"/>
        </w:rPr>
      </w:r>
      <w:r>
        <w:rPr>
          <w:lang w:eastAsia="en-US" w:bidi="ar-SA"/>
        </w:rPr>
        <w:fldChar w:fldCharType="separate"/>
      </w:r>
      <w:r>
        <w:rPr>
          <w:lang w:eastAsia="en-US" w:bidi="ar-SA"/>
        </w:rPr>
        <w:t>5.3</w:t>
      </w:r>
      <w:r>
        <w:rPr>
          <w:lang w:eastAsia="en-US" w:bidi="ar-SA"/>
        </w:rPr>
        <w:fldChar w:fldCharType="end"/>
      </w:r>
      <w:r>
        <w:rPr>
          <w:lang w:eastAsia="en-US" w:bidi="ar-SA"/>
        </w:rPr>
        <w:t>)</w:t>
      </w:r>
    </w:p>
    <w:p w14:paraId="78AA5E35" w14:textId="77777777">
      <w:pPr>
        <w:pStyle w:val="Lista"/>
        <w:rPr>
          <w:lang w:eastAsia="en-US" w:bidi="ar-SA"/>
        </w:rPr>
      </w:pPr>
      <w:r>
        <w:rPr>
          <w:lang w:eastAsia="en-US" w:bidi="ar-SA"/>
        </w:rPr>
        <w:t>regular numeral glyphs used for functions other than to represent numbers shall be transliterated as numbers, including the following</w:t>
      </w:r>
    </w:p>
    <w:p w14:paraId="3AED0C4B" w14:textId="77777777">
      <w:pPr>
        <w:pStyle w:val="Lista2"/>
        <w:rPr>
          <w:lang w:eastAsia="en-US" w:bidi="ar-SA"/>
        </w:rPr>
      </w:pPr>
      <w:r>
        <w:rPr>
          <w:lang w:eastAsia="en-US" w:bidi="ar-SA"/>
        </w:rPr>
        <w:t>symbolic use: if a regular numeral sign (rather than a shape derived from one) is used as a symbol</w:t>
      </w:r>
    </w:p>
    <w:p w14:paraId="32FD6899" w14:textId="77777777">
      <w:pPr>
        <w:pStyle w:val="Lista3"/>
        <w:rPr>
          <w:lang w:eastAsia="en-US" w:bidi="ar-SA"/>
        </w:rPr>
      </w:pPr>
      <w:r>
        <w:rPr>
          <w:lang w:eastAsia="en-US" w:bidi="ar-SA"/>
        </w:rPr>
        <w:t>such as the glyph |1| used as an auspicious opening symbol</w:t>
      </w:r>
    </w:p>
    <w:p w14:paraId="3EA276C5" w14:textId="77777777">
      <w:pPr>
        <w:pStyle w:val="Lista2"/>
        <w:rPr>
          <w:lang w:eastAsia="en-US" w:bidi="ar-SA"/>
        </w:rPr>
      </w:pPr>
      <w:r>
        <w:rPr>
          <w:lang w:eastAsia="en-US" w:bidi="ar-SA"/>
        </w:rPr>
        <w:t>phonographic use: if a numeral sign represents a phonographic value</w:t>
      </w:r>
    </w:p>
    <w:p w14:paraId="79B33E74" w14:textId="77777777">
      <w:pPr>
        <w:pStyle w:val="Lista3"/>
        <w:rPr>
          <w:lang w:eastAsia="en-US" w:bidi="ar-SA"/>
        </w:rPr>
      </w:pPr>
      <w:r>
        <w:rPr>
          <w:lang w:eastAsia="en-US" w:bidi="ar-SA"/>
        </w:rPr>
        <w:t xml:space="preserve">such as the </w:t>
      </w:r>
      <w:r>
        <w:t xml:space="preserve">glyph |2| used in Old Sundanese to represent the phonemes </w:t>
      </w:r>
      <w:r>
        <w:rPr>
          <w:rStyle w:val="Foreign"/>
        </w:rPr>
        <w:t>/ro/</w:t>
      </w:r>
      <w:r>
        <w:t>)</w:t>
      </w:r>
    </w:p>
    <w:p w14:paraId="6C6FCEA4" w14:textId="77777777">
      <w:pPr>
        <w:pStyle w:val="Lista2"/>
        <w:rPr>
          <w:lang w:eastAsia="en-US" w:bidi="ar-SA"/>
        </w:rPr>
      </w:pPr>
      <w:r>
        <w:t>“metalinguistic” use: numeral signs signifying vowel length, accent type or word repetition</w:t>
      </w:r>
    </w:p>
    <w:p w14:paraId="18575601" w14:textId="77777777">
      <w:pPr>
        <w:pStyle w:val="Lista"/>
        <w:rPr>
          <w:lang w:eastAsia="en-US" w:bidi="ar-SA"/>
        </w:rPr>
      </w:pPr>
      <w:r>
        <w:rPr>
          <w:lang w:eastAsia="en-US" w:bidi="ar-SA"/>
        </w:rPr>
        <w:t>when in doubt, rely on the following rules of thumb</w:t>
      </w:r>
    </w:p>
    <w:p w14:paraId="698B118B" w14:textId="77777777">
      <w:pPr>
        <w:pStyle w:val="Lista2"/>
        <w:rPr>
          <w:lang w:eastAsia="en-US" w:bidi="ar-SA"/>
        </w:rPr>
      </w:pPr>
      <w:r>
        <w:rPr>
          <w:lang w:eastAsia="en-US" w:bidi="ar-SA"/>
        </w:rPr>
        <w:t>transliterate numeral signs as numbers unless both of the following conditions are met:</w:t>
      </w:r>
    </w:p>
    <w:p w14:paraId="172CEFA5" w14:textId="77777777">
      <w:pPr>
        <w:pStyle w:val="Lista3"/>
        <w:rPr>
          <w:lang w:eastAsia="en-US" w:bidi="ar-SA"/>
        </w:rPr>
      </w:pPr>
      <w:r>
        <w:rPr>
          <w:lang w:eastAsia="en-US" w:bidi="ar-SA"/>
        </w:rPr>
        <w:t>their graphetic shape is clearly different from the regular sign for the same number found or expected in the document</w:t>
      </w:r>
    </w:p>
    <w:p w14:paraId="31F240DE" w14:textId="77777777">
      <w:pPr>
        <w:pStyle w:val="Lista3"/>
        <w:rPr>
          <w:lang w:eastAsia="en-US" w:bidi="ar-SA"/>
        </w:rPr>
      </w:pPr>
      <w:r>
        <w:rPr>
          <w:lang w:eastAsia="en-US" w:bidi="ar-SA"/>
        </w:rPr>
        <w:t>and you are confident that they do not represent a number in their semantic context</w:t>
      </w:r>
    </w:p>
    <w:p w14:paraId="35AF59C5" w14:textId="77777777">
      <w:pPr>
        <w:pStyle w:val="Lista2"/>
        <w:rPr>
          <w:lang w:eastAsia="en-US" w:bidi="ar-SA"/>
        </w:rPr>
      </w:pPr>
      <w:r>
        <w:rPr>
          <w:lang w:eastAsia="en-US" w:bidi="ar-SA"/>
        </w:rPr>
        <w:t>add the semantic encoding for numbers (§</w:t>
      </w:r>
      <w:r>
        <w:rPr>
          <w:lang w:eastAsia="en-US" w:bidi="ar-SA"/>
        </w:rPr>
        <w:fldChar w:fldCharType="begin"/>
      </w:r>
      <w:r>
        <w:rPr>
          <w:lang w:eastAsia="en-US" w:bidi="ar-SA"/>
        </w:rPr>
        <w:instrText xml:space="preserve"> REF _Ref43980607 \r \h </w:instrText>
      </w:r>
      <w:r>
        <w:rPr>
          <w:lang w:eastAsia="en-US" w:bidi="ar-SA"/>
        </w:rPr>
      </w:r>
      <w:r>
        <w:rPr>
          <w:lang w:eastAsia="en-US" w:bidi="ar-SA"/>
        </w:rPr>
        <w:fldChar w:fldCharType="separate"/>
      </w:r>
      <w:r>
        <w:rPr>
          <w:lang w:eastAsia="en-US" w:bidi="ar-SA"/>
        </w:rPr>
        <w:t>9.1</w:t>
      </w:r>
      <w:r>
        <w:rPr>
          <w:lang w:eastAsia="en-US" w:bidi="ar-SA"/>
        </w:rPr>
        <w:fldChar w:fldCharType="end"/>
      </w:r>
      <w:r>
        <w:rPr>
          <w:lang w:eastAsia="en-US" w:bidi="ar-SA"/>
        </w:rPr>
        <w:t>) only for signs that represent a number which is part of the document’s content</w:t>
      </w:r>
    </w:p>
    <w:p w14:paraId="23139B3B" w14:textId="77777777">
      <w:pPr>
        <w:pStyle w:val="Lista3"/>
        <w:rPr>
          <w:lang w:eastAsia="en-US" w:bidi="ar-SA"/>
        </w:rPr>
      </w:pPr>
      <w:r>
        <w:rPr>
          <w:lang w:eastAsia="en-US" w:bidi="ar-SA"/>
        </w:rPr>
        <w:t>imagine the document being read out loud by a contemporary reader: if they would read a number, then number encoding is applicable</w:t>
      </w:r>
    </w:p>
    <w:p w14:paraId="4236F6E8" w14:textId="77777777">
      <w:pPr>
        <w:pStyle w:val="Cmsor2"/>
      </w:pPr>
      <w:bookmarkStart w:id="404" w:name="_Ref226033363"/>
      <w:bookmarkStart w:id="405" w:name="_Toc243900295"/>
      <w:r>
        <w:lastRenderedPageBreak/>
        <w:t>Peripheral graphemes</w:t>
      </w:r>
      <w:bookmarkEnd w:id="404"/>
      <w:bookmarkEnd w:id="405"/>
    </w:p>
    <w:p w14:paraId="51AAFF44" w14:textId="77777777">
      <w:pPr>
        <w:pStyle w:val="Cmsor3"/>
      </w:pPr>
      <w:bookmarkStart w:id="406" w:name="_4mw6s39lu6fq" w:colFirst="0" w:colLast="0"/>
      <w:bookmarkStart w:id="407" w:name="_Toc243900296"/>
      <w:bookmarkEnd w:id="406"/>
      <w:r>
        <w:t>Representing peripheral graphemes in a digital edition</w:t>
      </w:r>
      <w:bookmarkEnd w:id="407"/>
    </w:p>
    <w:p w14:paraId="280FBD81" w14:textId="77777777">
      <w:r>
        <w:rPr>
          <w:lang w:eastAsia="en-US" w:bidi="ar-SA"/>
        </w:rPr>
        <w:t xml:space="preserve">Peripheral graphemes, informally also called </w:t>
      </w:r>
      <w:r>
        <w:rPr>
          <w:i/>
          <w:iCs/>
          <w:lang w:eastAsia="en-US" w:bidi="ar-SA"/>
        </w:rPr>
        <w:t>symbols</w:t>
      </w:r>
      <w:r>
        <w:rPr>
          <w:lang w:eastAsia="en-US" w:bidi="ar-SA"/>
        </w:rPr>
        <w:t>, are graphemes which we represent in transliteration by means of a placeholder grapheme dedicated to one of the basic functional classes, namely ideograms, punctuation marks, connectors and abstract symbols as defined in TG §5 and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below.</w:t>
      </w:r>
      <w:r>
        <w:rPr>
          <w:rStyle w:val="Lbjegyzet-hivatkozs"/>
          <w:lang w:eastAsia="en-US" w:bidi="ar-SA"/>
        </w:rPr>
        <w:footnoteReference w:id="21"/>
      </w:r>
    </w:p>
    <w:p w14:paraId="4F8E88B9" w14:textId="5E09A56F">
      <w:pPr>
        <w:pStyle w:val="Normlbehzs"/>
      </w:pPr>
      <w:r>
        <w:t xml:space="preserve">Since the glyph shapes of peripheral graphemes only rarely show a consistent correlation with their graphemic functions across the corpora of texts we deal with, our encoding conveys information separately about the physical appearance of the glyph where applicable, and about the editor’s interpretation of its function where applicable. Specifically, at the level of transliteration we use </w:t>
      </w:r>
      <w:r>
        <w:rPr>
          <w:lang w:eastAsia="en-US" w:bidi="ar-SA"/>
        </w:rPr>
        <w:t>a narrow range of default placeholders (§</w:t>
      </w:r>
      <w:r>
        <w:rPr>
          <w:lang w:eastAsia="en-US" w:bidi="ar-SA"/>
        </w:rPr>
        <w:fldChar w:fldCharType="begin"/>
      </w:r>
      <w:r>
        <w:rPr>
          <w:lang w:eastAsia="en-US" w:bidi="ar-SA"/>
        </w:rPr>
        <w:instrText xml:space="preserve"> REF _Ref226036268 \r \h </w:instrText>
      </w:r>
      <w:r>
        <w:rPr>
          <w:lang w:eastAsia="en-US" w:bidi="ar-SA"/>
        </w:rPr>
      </w:r>
      <w:r>
        <w:rPr>
          <w:lang w:eastAsia="en-US" w:bidi="ar-SA"/>
        </w:rPr>
        <w:fldChar w:fldCharType="separate"/>
      </w:r>
      <w:r>
        <w:rPr>
          <w:lang w:eastAsia="en-US" w:bidi="ar-SA"/>
        </w:rPr>
        <w:t>5.3.3.1</w:t>
      </w:r>
      <w:r>
        <w:rPr>
          <w:lang w:eastAsia="en-US" w:bidi="ar-SA"/>
        </w:rPr>
        <w:fldChar w:fldCharType="end"/>
      </w:r>
      <w:r>
        <w:rPr>
          <w:lang w:eastAsia="en-US" w:bidi="ar-SA"/>
        </w:rPr>
        <w:t>), with one placeholder dedicated to each functional class of peripheral grapheme; in addition, we optionally allow arbitrary placeholders (§</w:t>
      </w:r>
      <w:r>
        <w:rPr>
          <w:lang w:eastAsia="en-US" w:bidi="ar-SA"/>
        </w:rPr>
        <w:fldChar w:fldCharType="begin"/>
      </w:r>
      <w:r>
        <w:rPr>
          <w:lang w:eastAsia="en-US" w:bidi="ar-SA"/>
        </w:rPr>
        <w:instrText xml:space="preserve"> REF _Ref225955892 \r \h </w:instrText>
      </w:r>
      <w:r>
        <w:rPr>
          <w:lang w:eastAsia="en-US" w:bidi="ar-SA"/>
        </w:rPr>
      </w:r>
      <w:r>
        <w:rPr>
          <w:lang w:eastAsia="en-US" w:bidi="ar-SA"/>
        </w:rPr>
        <w:fldChar w:fldCharType="separate"/>
      </w:r>
      <w:r>
        <w:rPr>
          <w:lang w:eastAsia="en-US" w:bidi="ar-SA"/>
        </w:rPr>
        <w:t>5.3.3.2</w:t>
      </w:r>
      <w:r>
        <w:rPr>
          <w:lang w:eastAsia="en-US" w:bidi="ar-SA"/>
        </w:rPr>
        <w:fldChar w:fldCharType="end"/>
      </w:r>
      <w:r>
        <w:rPr>
          <w:lang w:eastAsia="en-US" w:bidi="ar-SA"/>
        </w:rPr>
        <w:t>) for greater variety and more accurate human-friendly representation. The placeholders may be combined with glyph encoding (§</w:t>
      </w:r>
      <w:r>
        <w:rPr>
          <w:lang w:eastAsia="en-US" w:bidi="ar-SA"/>
        </w:rPr>
        <w:fldChar w:fldCharType="begin"/>
      </w:r>
      <w:r>
        <w:rPr>
          <w:lang w:eastAsia="en-US" w:bidi="ar-SA"/>
        </w:rPr>
        <w:instrText xml:space="preserve"> REF _Ref225955927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 xml:space="preserve">), which can represent the same basic functional classification as the default placeholders and, in addition, allow a fairly precise differentiation based either on the glyph’s visual appearance or on its name in a source writing tradition. The synergy of transliteration and encoding is illustrated in </w:t>
      </w:r>
      <w:r>
        <w:rPr>
          <w:lang w:eastAsia="en-US" w:bidi="ar-SA"/>
        </w:rPr>
        <w:fldChar w:fldCharType="begin"/>
      </w:r>
      <w:r>
        <w:rPr>
          <w:lang w:eastAsia="en-US" w:bidi="ar-SA"/>
        </w:rPr>
        <w:instrText xml:space="preserve"> REF _Ref225956032 \h </w:instrText>
      </w:r>
      <w:r>
        <w:rPr>
          <w:lang w:eastAsia="en-US" w:bidi="ar-SA"/>
        </w:rPr>
      </w:r>
      <w:r>
        <w:rPr>
          <w:lang w:eastAsia="en-US" w:bidi="ar-SA"/>
        </w:rPr>
        <w:fldChar w:fldCharType="separate"/>
      </w:r>
      <w:r>
        <w:t xml:space="preserve">Exhibit </w:t>
      </w:r>
      <w:r>
        <w:rPr>
          <w:noProof/>
        </w:rPr>
        <w:t>5.3</w:t>
      </w:r>
      <w:r>
        <w:t>.</w:t>
      </w:r>
      <w:r>
        <w:rPr>
          <w:noProof/>
        </w:rPr>
        <w:t>A</w:t>
      </w:r>
      <w:r>
        <w:rPr>
          <w:lang w:eastAsia="en-US" w:bidi="ar-SA"/>
        </w:rPr>
        <w:fldChar w:fldCharType="end"/>
      </w:r>
      <w:r>
        <w:rPr>
          <w:lang w:eastAsia="en-US" w:bidi="ar-SA"/>
        </w:rPr>
        <w:t xml:space="preserve"> (identical to the figure in TG §5.1). Strategies for combining the available transliteration and encoding options are outlined in TG §5.1.3.</w:t>
      </w:r>
    </w:p>
    <w:tbl>
      <w:tblPr>
        <w:tblStyle w:val="FigureTable"/>
        <w:tblW w:w="5000" w:type="pct"/>
        <w:tblBorders>
          <w:insideV w:val="single" w:sz="4" w:space="0" w:color="auto"/>
        </w:tblBorders>
        <w:tblLook w:val="04A0" w:firstRow="1" w:lastRow="0" w:firstColumn="1" w:lastColumn="0" w:noHBand="0" w:noVBand="1"/>
      </w:tblPr>
      <w:tblGrid>
        <w:gridCol w:w="1537"/>
        <w:gridCol w:w="2132"/>
        <w:gridCol w:w="2811"/>
        <w:gridCol w:w="901"/>
        <w:gridCol w:w="2247"/>
      </w:tblGrid>
      <w:tr w14:paraId="26ACDB85"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Pr>
          <w:p w14:paraId="2A1FF2A8" w14:textId="77777777">
            <w:pPr>
              <w:pStyle w:val="Kpalrs"/>
              <w:keepLines/>
              <w:rPr>
                <w:szCs w:val="20"/>
                <w:lang w:eastAsia="en-US" w:bidi="ar-SA"/>
              </w:rPr>
            </w:pPr>
            <w:bookmarkStart w:id="408" w:name="_Ref225956032"/>
            <w:r>
              <w:t xml:space="preserve">Exhibit </w:t>
            </w:r>
            <w:fldSimple w:instr=" STYLEREF 2 \s ">
              <w:r>
                <w:rPr>
                  <w:noProof/>
                </w:rPr>
                <w:t>5.3</w:t>
              </w:r>
            </w:fldSimple>
            <w:r>
              <w:t>.</w:t>
            </w:r>
            <w:fldSimple w:instr=" SEQ Exhibit \* ALPHABETIC \s 2 ">
              <w:r>
                <w:rPr>
                  <w:noProof/>
                </w:rPr>
                <w:t>A</w:t>
              </w:r>
            </w:fldSimple>
            <w:bookmarkEnd w:id="408"/>
            <w:r>
              <w:t>: representation of peripheral graphemes through transliteration and encoding</w:t>
            </w:r>
          </w:p>
        </w:tc>
      </w:tr>
      <w:tr w14:paraId="69143B1E" w14:textId="77777777">
        <w:tc>
          <w:tcPr>
            <w:tcW w:w="798" w:type="pct"/>
            <w:vMerge w:val="restart"/>
            <w:shd w:val="clear" w:color="auto" w:fill="F0F7D7"/>
            <w:vAlign w:val="bottom"/>
          </w:tcPr>
          <w:p w14:paraId="506E318A" w14:textId="77777777">
            <w:pPr>
              <w:keepNext/>
              <w:keepLines/>
              <w:jc w:val="right"/>
              <w:rPr>
                <w:b/>
                <w:bCs/>
                <w:sz w:val="20"/>
                <w:szCs w:val="20"/>
                <w:lang w:eastAsia="en-US" w:bidi="ar-SA"/>
              </w:rPr>
            </w:pPr>
            <w:r>
              <w:rPr>
                <w:b/>
                <w:bCs/>
                <w:sz w:val="20"/>
                <w:szCs w:val="20"/>
                <w:lang w:eastAsia="en-US" w:bidi="ar-SA"/>
              </w:rPr>
              <w:t>method</w:t>
            </w:r>
          </w:p>
        </w:tc>
        <w:tc>
          <w:tcPr>
            <w:tcW w:w="1107" w:type="pct"/>
            <w:vMerge w:val="restart"/>
            <w:shd w:val="clear" w:color="auto" w:fill="F0F7D7"/>
            <w:vAlign w:val="bottom"/>
          </w:tcPr>
          <w:p w14:paraId="2E6F6C20" w14:textId="77777777">
            <w:pPr>
              <w:keepNext/>
              <w:keepLines/>
              <w:rPr>
                <w:b/>
                <w:bCs/>
                <w:sz w:val="20"/>
                <w:szCs w:val="20"/>
                <w:lang w:eastAsia="en-US" w:bidi="ar-SA"/>
              </w:rPr>
            </w:pPr>
            <w:r>
              <w:rPr>
                <w:b/>
                <w:bCs/>
                <w:sz w:val="20"/>
                <w:szCs w:val="20"/>
                <w:lang w:eastAsia="en-US" w:bidi="ar-SA"/>
              </w:rPr>
              <w:t>solution</w:t>
            </w:r>
          </w:p>
        </w:tc>
        <w:tc>
          <w:tcPr>
            <w:tcW w:w="1460" w:type="pct"/>
            <w:vMerge w:val="restart"/>
            <w:shd w:val="clear" w:color="auto" w:fill="F0F7D7"/>
            <w:vAlign w:val="bottom"/>
          </w:tcPr>
          <w:p w14:paraId="0393DE2C" w14:textId="77777777">
            <w:pPr>
              <w:keepNext/>
              <w:keepLines/>
              <w:rPr>
                <w:b/>
                <w:bCs/>
                <w:sz w:val="20"/>
                <w:szCs w:val="20"/>
                <w:lang w:eastAsia="en-US" w:bidi="ar-SA"/>
              </w:rPr>
            </w:pPr>
            <w:r>
              <w:rPr>
                <w:b/>
                <w:bCs/>
                <w:sz w:val="20"/>
                <w:szCs w:val="20"/>
                <w:lang w:eastAsia="en-US" w:bidi="ar-SA"/>
              </w:rPr>
              <w:t>demarcation</w:t>
            </w:r>
          </w:p>
        </w:tc>
        <w:tc>
          <w:tcPr>
            <w:tcW w:w="1635" w:type="pct"/>
            <w:gridSpan w:val="2"/>
            <w:shd w:val="clear" w:color="auto" w:fill="F0F7D7"/>
            <w:vAlign w:val="bottom"/>
          </w:tcPr>
          <w:p w14:paraId="5ABEE997" w14:textId="77777777">
            <w:pPr>
              <w:keepNext/>
              <w:keepLines/>
              <w:rPr>
                <w:b/>
                <w:bCs/>
                <w:sz w:val="20"/>
                <w:szCs w:val="20"/>
                <w:lang w:eastAsia="en-US" w:bidi="ar-SA"/>
              </w:rPr>
            </w:pPr>
            <w:r>
              <w:rPr>
                <w:b/>
                <w:bCs/>
                <w:sz w:val="20"/>
                <w:szCs w:val="20"/>
                <w:lang w:eastAsia="en-US" w:bidi="ar-SA"/>
              </w:rPr>
              <w:t>individuation</w:t>
            </w:r>
          </w:p>
        </w:tc>
      </w:tr>
      <w:tr w14:paraId="6C3C4D17" w14:textId="77777777">
        <w:tc>
          <w:tcPr>
            <w:tcW w:w="798" w:type="pct"/>
            <w:vMerge/>
            <w:shd w:val="clear" w:color="auto" w:fill="F0F7D7"/>
            <w:vAlign w:val="bottom"/>
            <w:hideMark/>
          </w:tcPr>
          <w:p w14:paraId="482CD201" w14:textId="77777777">
            <w:pPr>
              <w:keepNext/>
              <w:keepLines/>
              <w:jc w:val="right"/>
              <w:rPr>
                <w:b/>
                <w:bCs/>
                <w:sz w:val="20"/>
                <w:szCs w:val="20"/>
                <w:lang w:eastAsia="en-US" w:bidi="ar-SA"/>
              </w:rPr>
            </w:pPr>
          </w:p>
        </w:tc>
        <w:tc>
          <w:tcPr>
            <w:tcW w:w="1107" w:type="pct"/>
            <w:vMerge/>
            <w:shd w:val="clear" w:color="auto" w:fill="F0F7D7"/>
            <w:vAlign w:val="bottom"/>
            <w:hideMark/>
          </w:tcPr>
          <w:p w14:paraId="7A813D9C" w14:textId="77777777">
            <w:pPr>
              <w:keepNext/>
              <w:keepLines/>
              <w:rPr>
                <w:b/>
                <w:bCs/>
                <w:sz w:val="20"/>
                <w:szCs w:val="20"/>
                <w:lang w:eastAsia="en-US" w:bidi="ar-SA"/>
              </w:rPr>
            </w:pPr>
          </w:p>
        </w:tc>
        <w:tc>
          <w:tcPr>
            <w:tcW w:w="1460" w:type="pct"/>
            <w:vMerge/>
            <w:shd w:val="clear" w:color="auto" w:fill="F0F7D7"/>
            <w:vAlign w:val="bottom"/>
            <w:hideMark/>
          </w:tcPr>
          <w:p w14:paraId="4B25944A" w14:textId="77777777">
            <w:pPr>
              <w:keepNext/>
              <w:keepLines/>
              <w:rPr>
                <w:b/>
                <w:bCs/>
                <w:sz w:val="20"/>
                <w:szCs w:val="20"/>
                <w:lang w:eastAsia="en-US" w:bidi="ar-SA"/>
              </w:rPr>
            </w:pPr>
          </w:p>
        </w:tc>
        <w:tc>
          <w:tcPr>
            <w:tcW w:w="468" w:type="pct"/>
            <w:shd w:val="clear" w:color="auto" w:fill="F0F7D7"/>
            <w:vAlign w:val="bottom"/>
            <w:hideMark/>
          </w:tcPr>
          <w:p w14:paraId="7BB6B638" w14:textId="77777777">
            <w:pPr>
              <w:keepNext/>
              <w:keepLines/>
              <w:rPr>
                <w:b/>
                <w:bCs/>
                <w:sz w:val="20"/>
                <w:szCs w:val="20"/>
                <w:lang w:eastAsia="en-US" w:bidi="ar-SA"/>
              </w:rPr>
            </w:pPr>
            <w:r>
              <w:rPr>
                <w:b/>
                <w:bCs/>
                <w:sz w:val="20"/>
                <w:szCs w:val="20"/>
                <w:lang w:eastAsia="en-US" w:bidi="ar-SA"/>
              </w:rPr>
              <w:t>by form</w:t>
            </w:r>
          </w:p>
        </w:tc>
        <w:tc>
          <w:tcPr>
            <w:tcW w:w="1167" w:type="pct"/>
            <w:shd w:val="clear" w:color="auto" w:fill="F0F7D7"/>
            <w:vAlign w:val="bottom"/>
            <w:hideMark/>
          </w:tcPr>
          <w:p w14:paraId="2B796C4B" w14:textId="77777777">
            <w:pPr>
              <w:keepNext/>
              <w:keepLines/>
              <w:rPr>
                <w:b/>
                <w:bCs/>
                <w:sz w:val="20"/>
                <w:szCs w:val="20"/>
                <w:lang w:eastAsia="en-US" w:bidi="ar-SA"/>
              </w:rPr>
            </w:pPr>
            <w:r>
              <w:rPr>
                <w:b/>
                <w:bCs/>
                <w:sz w:val="20"/>
                <w:szCs w:val="20"/>
                <w:lang w:eastAsia="en-US" w:bidi="ar-SA"/>
              </w:rPr>
              <w:t>by function</w:t>
            </w:r>
          </w:p>
        </w:tc>
      </w:tr>
      <w:tr w14:paraId="0A6CA7C7" w14:textId="77777777">
        <w:trPr>
          <w:trHeight w:val="440"/>
        </w:trPr>
        <w:tc>
          <w:tcPr>
            <w:tcW w:w="798" w:type="pct"/>
            <w:vMerge w:val="restart"/>
            <w:shd w:val="clear" w:color="auto" w:fill="F0F7D7"/>
            <w:vAlign w:val="center"/>
            <w:hideMark/>
          </w:tcPr>
          <w:p w14:paraId="60664F02" w14:textId="77777777">
            <w:pPr>
              <w:keepNext/>
              <w:keepLines/>
              <w:jc w:val="right"/>
              <w:rPr>
                <w:b/>
                <w:bCs/>
                <w:sz w:val="20"/>
                <w:szCs w:val="20"/>
                <w:lang w:eastAsia="en-US" w:bidi="ar-SA"/>
              </w:rPr>
            </w:pPr>
            <w:r>
              <w:rPr>
                <w:b/>
                <w:bCs/>
                <w:sz w:val="20"/>
                <w:szCs w:val="20"/>
                <w:lang w:eastAsia="en-US" w:bidi="ar-SA"/>
              </w:rPr>
              <w:t>transliteration</w:t>
            </w:r>
          </w:p>
        </w:tc>
        <w:tc>
          <w:tcPr>
            <w:tcW w:w="1107" w:type="pct"/>
            <w:shd w:val="clear" w:color="auto" w:fill="F0F7D7"/>
            <w:vAlign w:val="center"/>
            <w:hideMark/>
          </w:tcPr>
          <w:p w14:paraId="4FF1F00B" w14:textId="77777777">
            <w:pPr>
              <w:keepNext/>
              <w:keepLines/>
              <w:rPr>
                <w:sz w:val="20"/>
                <w:szCs w:val="20"/>
                <w:lang w:eastAsia="en-US" w:bidi="ar-SA"/>
              </w:rPr>
            </w:pPr>
            <w:r>
              <w:rPr>
                <w:sz w:val="20"/>
                <w:szCs w:val="20"/>
                <w:lang w:eastAsia="en-US" w:bidi="ar-SA"/>
              </w:rPr>
              <w:t>default placeholders</w:t>
            </w:r>
          </w:p>
        </w:tc>
        <w:tc>
          <w:tcPr>
            <w:tcW w:w="1460" w:type="pct"/>
            <w:vAlign w:val="center"/>
            <w:hideMark/>
          </w:tcPr>
          <w:p w14:paraId="0F92BA8E" w14:textId="77777777">
            <w:pPr>
              <w:keepNext/>
              <w:keepLines/>
              <w:rPr>
                <w:sz w:val="20"/>
                <w:szCs w:val="20"/>
                <w:lang w:eastAsia="en-US" w:bidi="ar-SA"/>
              </w:rPr>
            </w:pPr>
            <w:r>
              <w:rPr>
                <w:sz w:val="20"/>
                <w:szCs w:val="20"/>
                <w:lang w:eastAsia="en-US" w:bidi="ar-SA"/>
              </w:rPr>
              <w:t>clear</w:t>
            </w:r>
          </w:p>
        </w:tc>
        <w:tc>
          <w:tcPr>
            <w:tcW w:w="468" w:type="pct"/>
            <w:vAlign w:val="center"/>
            <w:hideMark/>
          </w:tcPr>
          <w:p w14:paraId="0B0B83ED" w14:textId="77777777">
            <w:pPr>
              <w:keepNext/>
              <w:keepLines/>
              <w:rPr>
                <w:sz w:val="20"/>
                <w:szCs w:val="20"/>
                <w:lang w:eastAsia="en-US" w:bidi="ar-SA"/>
              </w:rPr>
            </w:pPr>
            <w:r>
              <w:rPr>
                <w:sz w:val="20"/>
                <w:szCs w:val="20"/>
                <w:lang w:eastAsia="en-US" w:bidi="ar-SA"/>
              </w:rPr>
              <w:t>—</w:t>
            </w:r>
          </w:p>
        </w:tc>
        <w:tc>
          <w:tcPr>
            <w:tcW w:w="1167" w:type="pct"/>
            <w:vAlign w:val="center"/>
            <w:hideMark/>
          </w:tcPr>
          <w:p w14:paraId="53D0C043" w14:textId="77777777">
            <w:pPr>
              <w:keepNext/>
              <w:keepLines/>
              <w:rPr>
                <w:sz w:val="20"/>
                <w:szCs w:val="20"/>
                <w:lang w:eastAsia="en-US" w:bidi="ar-SA"/>
              </w:rPr>
            </w:pPr>
            <w:r>
              <w:rPr>
                <w:sz w:val="20"/>
                <w:szCs w:val="20"/>
                <w:lang w:eastAsia="en-US" w:bidi="ar-SA"/>
              </w:rPr>
              <w:t>basic</w:t>
            </w:r>
          </w:p>
        </w:tc>
      </w:tr>
      <w:tr w14:paraId="7D9E8F24" w14:textId="77777777">
        <w:trPr>
          <w:trHeight w:val="440"/>
        </w:trPr>
        <w:tc>
          <w:tcPr>
            <w:tcW w:w="798" w:type="pct"/>
            <w:vMerge/>
            <w:shd w:val="clear" w:color="auto" w:fill="F0F7D7"/>
            <w:vAlign w:val="center"/>
            <w:hideMark/>
          </w:tcPr>
          <w:p w14:paraId="056D442E" w14:textId="77777777">
            <w:pPr>
              <w:keepNext/>
              <w:keepLines/>
              <w:jc w:val="right"/>
              <w:rPr>
                <w:b/>
                <w:bCs/>
                <w:sz w:val="20"/>
                <w:szCs w:val="20"/>
                <w:lang w:eastAsia="en-US" w:bidi="ar-SA"/>
              </w:rPr>
            </w:pPr>
          </w:p>
        </w:tc>
        <w:tc>
          <w:tcPr>
            <w:tcW w:w="1107" w:type="pct"/>
            <w:shd w:val="clear" w:color="auto" w:fill="F0F7D7"/>
            <w:vAlign w:val="center"/>
            <w:hideMark/>
          </w:tcPr>
          <w:p w14:paraId="4BDD45BE" w14:textId="77777777">
            <w:pPr>
              <w:keepNext/>
              <w:keepLines/>
              <w:rPr>
                <w:sz w:val="20"/>
                <w:szCs w:val="20"/>
                <w:lang w:eastAsia="en-US" w:bidi="ar-SA"/>
              </w:rPr>
            </w:pPr>
            <w:r>
              <w:rPr>
                <w:sz w:val="20"/>
                <w:szCs w:val="20"/>
                <w:lang w:eastAsia="en-US" w:bidi="ar-SA"/>
              </w:rPr>
              <w:t>arbitrary placeholders</w:t>
            </w:r>
          </w:p>
        </w:tc>
        <w:tc>
          <w:tcPr>
            <w:tcW w:w="1460" w:type="pct"/>
            <w:vAlign w:val="center"/>
            <w:hideMark/>
          </w:tcPr>
          <w:p w14:paraId="02C96A3C" w14:textId="77777777">
            <w:pPr>
              <w:keepNext/>
              <w:keepLines/>
              <w:rPr>
                <w:sz w:val="20"/>
                <w:szCs w:val="20"/>
                <w:lang w:eastAsia="en-US" w:bidi="ar-SA"/>
              </w:rPr>
            </w:pPr>
            <w:r>
              <w:rPr>
                <w:sz w:val="20"/>
                <w:szCs w:val="20"/>
                <w:lang w:eastAsia="en-US" w:bidi="ar-SA"/>
              </w:rPr>
              <w:t>unclear when multi-character</w:t>
            </w:r>
          </w:p>
        </w:tc>
        <w:tc>
          <w:tcPr>
            <w:tcW w:w="468" w:type="pct"/>
            <w:vAlign w:val="center"/>
            <w:hideMark/>
          </w:tcPr>
          <w:p w14:paraId="03FD3BF8" w14:textId="77777777">
            <w:pPr>
              <w:keepNext/>
              <w:keepLines/>
              <w:rPr>
                <w:sz w:val="20"/>
                <w:szCs w:val="20"/>
                <w:lang w:eastAsia="en-US" w:bidi="ar-SA"/>
              </w:rPr>
            </w:pPr>
            <w:r>
              <w:rPr>
                <w:sz w:val="20"/>
                <w:szCs w:val="20"/>
                <w:lang w:eastAsia="en-US" w:bidi="ar-SA"/>
              </w:rPr>
              <w:t>vague</w:t>
            </w:r>
          </w:p>
        </w:tc>
        <w:tc>
          <w:tcPr>
            <w:tcW w:w="1167" w:type="pct"/>
            <w:vAlign w:val="center"/>
            <w:hideMark/>
          </w:tcPr>
          <w:p w14:paraId="24F2471B" w14:textId="77777777">
            <w:pPr>
              <w:keepNext/>
              <w:keepLines/>
              <w:rPr>
                <w:sz w:val="20"/>
                <w:szCs w:val="20"/>
                <w:lang w:eastAsia="en-US" w:bidi="ar-SA"/>
              </w:rPr>
            </w:pPr>
            <w:r>
              <w:rPr>
                <w:sz w:val="20"/>
                <w:szCs w:val="20"/>
                <w:lang w:eastAsia="en-US" w:bidi="ar-SA"/>
              </w:rPr>
              <w:t>vague, implied</w:t>
            </w:r>
          </w:p>
        </w:tc>
      </w:tr>
      <w:tr w14:paraId="61D63F71" w14:textId="77777777">
        <w:trPr>
          <w:trHeight w:val="440"/>
        </w:trPr>
        <w:tc>
          <w:tcPr>
            <w:tcW w:w="798" w:type="pct"/>
            <w:vMerge w:val="restart"/>
            <w:shd w:val="clear" w:color="auto" w:fill="F0F7D7"/>
            <w:vAlign w:val="center"/>
            <w:hideMark/>
          </w:tcPr>
          <w:p w14:paraId="46E65FD0" w14:textId="77777777">
            <w:pPr>
              <w:keepNext/>
              <w:keepLines/>
              <w:jc w:val="right"/>
              <w:rPr>
                <w:b/>
                <w:bCs/>
                <w:sz w:val="20"/>
                <w:szCs w:val="20"/>
                <w:lang w:eastAsia="en-US" w:bidi="ar-SA"/>
              </w:rPr>
            </w:pPr>
            <w:r>
              <w:rPr>
                <w:b/>
                <w:bCs/>
                <w:sz w:val="20"/>
                <w:szCs w:val="20"/>
                <w:lang w:eastAsia="en-US" w:bidi="ar-SA"/>
              </w:rPr>
              <w:t>encoding</w:t>
            </w:r>
          </w:p>
        </w:tc>
        <w:tc>
          <w:tcPr>
            <w:tcW w:w="1107" w:type="pct"/>
            <w:shd w:val="clear" w:color="auto" w:fill="F0F7D7"/>
            <w:vAlign w:val="center"/>
            <w:hideMark/>
          </w:tcPr>
          <w:p w14:paraId="0EF676DF" w14:textId="77777777">
            <w:pPr>
              <w:keepNext/>
              <w:keepLines/>
              <w:rPr>
                <w:noProof/>
                <w:sz w:val="20"/>
                <w:szCs w:val="20"/>
                <w:lang w:eastAsia="en-US" w:bidi="ar-SA"/>
              </w:rPr>
            </w:pPr>
            <w:r>
              <w:rPr>
                <w:noProof/>
                <w:sz w:val="20"/>
                <w:szCs w:val="20"/>
                <w:lang w:eastAsia="en-US" w:bidi="ar-SA"/>
              </w:rPr>
              <w:t>&lt;g&gt;</w:t>
            </w:r>
          </w:p>
        </w:tc>
        <w:tc>
          <w:tcPr>
            <w:tcW w:w="1460" w:type="pct"/>
            <w:vAlign w:val="center"/>
            <w:hideMark/>
          </w:tcPr>
          <w:p w14:paraId="203B075B" w14:textId="77777777">
            <w:pPr>
              <w:keepNext/>
              <w:keepLines/>
              <w:rPr>
                <w:sz w:val="20"/>
                <w:szCs w:val="20"/>
                <w:lang w:eastAsia="en-US" w:bidi="ar-SA"/>
              </w:rPr>
            </w:pPr>
            <w:r>
              <w:rPr>
                <w:sz w:val="20"/>
                <w:szCs w:val="20"/>
                <w:lang w:eastAsia="en-US" w:bidi="ar-SA"/>
              </w:rPr>
              <w:t>clear</w:t>
            </w:r>
          </w:p>
        </w:tc>
        <w:tc>
          <w:tcPr>
            <w:tcW w:w="468" w:type="pct"/>
            <w:vAlign w:val="center"/>
            <w:hideMark/>
          </w:tcPr>
          <w:p w14:paraId="1395E655" w14:textId="77777777">
            <w:pPr>
              <w:keepNext/>
              <w:keepLines/>
              <w:rPr>
                <w:sz w:val="20"/>
                <w:szCs w:val="20"/>
                <w:lang w:eastAsia="en-US" w:bidi="ar-SA"/>
              </w:rPr>
            </w:pPr>
            <w:r>
              <w:rPr>
                <w:sz w:val="20"/>
                <w:szCs w:val="20"/>
                <w:lang w:eastAsia="en-US" w:bidi="ar-SA"/>
              </w:rPr>
              <w:t>—</w:t>
            </w:r>
          </w:p>
        </w:tc>
        <w:tc>
          <w:tcPr>
            <w:tcW w:w="1167" w:type="pct"/>
            <w:vAlign w:val="center"/>
            <w:hideMark/>
          </w:tcPr>
          <w:p w14:paraId="78B20E29" w14:textId="77777777">
            <w:pPr>
              <w:keepNext/>
              <w:keepLines/>
              <w:rPr>
                <w:sz w:val="20"/>
                <w:szCs w:val="20"/>
                <w:lang w:eastAsia="en-US" w:bidi="ar-SA"/>
              </w:rPr>
            </w:pPr>
            <w:r>
              <w:rPr>
                <w:sz w:val="20"/>
                <w:szCs w:val="20"/>
                <w:lang w:eastAsia="en-US" w:bidi="ar-SA"/>
              </w:rPr>
              <w:t>—</w:t>
            </w:r>
          </w:p>
        </w:tc>
      </w:tr>
      <w:tr w14:paraId="14D9E9A1" w14:textId="77777777">
        <w:trPr>
          <w:trHeight w:val="440"/>
        </w:trPr>
        <w:tc>
          <w:tcPr>
            <w:tcW w:w="798" w:type="pct"/>
            <w:vMerge/>
            <w:shd w:val="clear" w:color="auto" w:fill="F0F7D7"/>
            <w:vAlign w:val="center"/>
            <w:hideMark/>
          </w:tcPr>
          <w:p w14:paraId="734CB853" w14:textId="77777777">
            <w:pPr>
              <w:keepNext/>
              <w:keepLines/>
              <w:rPr>
                <w:sz w:val="20"/>
                <w:szCs w:val="20"/>
                <w:lang w:eastAsia="en-US" w:bidi="ar-SA"/>
              </w:rPr>
            </w:pPr>
          </w:p>
        </w:tc>
        <w:tc>
          <w:tcPr>
            <w:tcW w:w="1107" w:type="pct"/>
            <w:shd w:val="clear" w:color="auto" w:fill="F0F7D7"/>
            <w:vAlign w:val="center"/>
            <w:hideMark/>
          </w:tcPr>
          <w:p w14:paraId="61484608" w14:textId="77777777">
            <w:pPr>
              <w:keepNext/>
              <w:keepLines/>
              <w:rPr>
                <w:noProof/>
                <w:sz w:val="20"/>
                <w:szCs w:val="20"/>
                <w:lang w:eastAsia="en-US" w:bidi="ar-SA"/>
              </w:rPr>
            </w:pPr>
            <w:r>
              <w:rPr>
                <w:noProof/>
                <w:sz w:val="20"/>
                <w:szCs w:val="20"/>
                <w:lang w:eastAsia="en-US" w:bidi="ar-SA"/>
              </w:rPr>
              <w:t>@type</w:t>
            </w:r>
          </w:p>
        </w:tc>
        <w:tc>
          <w:tcPr>
            <w:tcW w:w="1460" w:type="pct"/>
            <w:vAlign w:val="center"/>
            <w:hideMark/>
          </w:tcPr>
          <w:p w14:paraId="2CB380BE" w14:textId="77777777">
            <w:pPr>
              <w:keepNext/>
              <w:keepLines/>
              <w:rPr>
                <w:sz w:val="20"/>
                <w:szCs w:val="20"/>
                <w:lang w:eastAsia="en-US" w:bidi="ar-SA"/>
              </w:rPr>
            </w:pPr>
            <w:r>
              <w:rPr>
                <w:sz w:val="20"/>
                <w:szCs w:val="20"/>
                <w:lang w:eastAsia="en-US" w:bidi="ar-SA"/>
              </w:rPr>
              <w:t>—</w:t>
            </w:r>
          </w:p>
        </w:tc>
        <w:tc>
          <w:tcPr>
            <w:tcW w:w="468" w:type="pct"/>
            <w:vAlign w:val="center"/>
            <w:hideMark/>
          </w:tcPr>
          <w:p w14:paraId="7D5EB8B6" w14:textId="77777777">
            <w:pPr>
              <w:keepNext/>
              <w:keepLines/>
              <w:rPr>
                <w:sz w:val="20"/>
                <w:szCs w:val="20"/>
                <w:lang w:eastAsia="en-US" w:bidi="ar-SA"/>
              </w:rPr>
            </w:pPr>
            <w:r>
              <w:rPr>
                <w:sz w:val="20"/>
                <w:szCs w:val="20"/>
                <w:lang w:eastAsia="en-US" w:bidi="ar-SA"/>
              </w:rPr>
              <w:t>—</w:t>
            </w:r>
          </w:p>
        </w:tc>
        <w:tc>
          <w:tcPr>
            <w:tcW w:w="1167" w:type="pct"/>
            <w:vAlign w:val="center"/>
            <w:hideMark/>
          </w:tcPr>
          <w:p w14:paraId="35E10718" w14:textId="77777777">
            <w:pPr>
              <w:keepNext/>
              <w:keepLines/>
              <w:rPr>
                <w:sz w:val="20"/>
                <w:szCs w:val="20"/>
                <w:lang w:eastAsia="en-US" w:bidi="ar-SA"/>
              </w:rPr>
            </w:pPr>
            <w:r>
              <w:rPr>
                <w:sz w:val="20"/>
                <w:szCs w:val="20"/>
                <w:lang w:eastAsia="en-US" w:bidi="ar-SA"/>
              </w:rPr>
              <w:t>basic</w:t>
            </w:r>
          </w:p>
        </w:tc>
      </w:tr>
      <w:tr w14:paraId="1EDC5221" w14:textId="77777777">
        <w:trPr>
          <w:trHeight w:val="440"/>
        </w:trPr>
        <w:tc>
          <w:tcPr>
            <w:tcW w:w="798" w:type="pct"/>
            <w:vMerge/>
            <w:shd w:val="clear" w:color="auto" w:fill="F0F7D7"/>
            <w:vAlign w:val="center"/>
            <w:hideMark/>
          </w:tcPr>
          <w:p w14:paraId="06E48B07" w14:textId="77777777">
            <w:pPr>
              <w:rPr>
                <w:sz w:val="20"/>
                <w:szCs w:val="20"/>
                <w:lang w:eastAsia="en-US" w:bidi="ar-SA"/>
              </w:rPr>
            </w:pPr>
          </w:p>
        </w:tc>
        <w:tc>
          <w:tcPr>
            <w:tcW w:w="1107" w:type="pct"/>
            <w:shd w:val="clear" w:color="auto" w:fill="F0F7D7"/>
            <w:vAlign w:val="center"/>
            <w:hideMark/>
          </w:tcPr>
          <w:p w14:paraId="08B62E3D" w14:textId="77777777">
            <w:pPr>
              <w:rPr>
                <w:noProof/>
                <w:sz w:val="20"/>
                <w:szCs w:val="20"/>
                <w:lang w:eastAsia="en-US" w:bidi="ar-SA"/>
              </w:rPr>
            </w:pPr>
            <w:r>
              <w:rPr>
                <w:noProof/>
                <w:sz w:val="20"/>
                <w:szCs w:val="20"/>
                <w:lang w:eastAsia="en-US" w:bidi="ar-SA"/>
              </w:rPr>
              <w:t>@ref</w:t>
            </w:r>
          </w:p>
        </w:tc>
        <w:tc>
          <w:tcPr>
            <w:tcW w:w="1460" w:type="pct"/>
            <w:vAlign w:val="center"/>
            <w:hideMark/>
          </w:tcPr>
          <w:p w14:paraId="50189175" w14:textId="77777777">
            <w:pPr>
              <w:rPr>
                <w:sz w:val="20"/>
                <w:szCs w:val="20"/>
                <w:lang w:eastAsia="en-US" w:bidi="ar-SA"/>
              </w:rPr>
            </w:pPr>
            <w:r>
              <w:rPr>
                <w:sz w:val="20"/>
                <w:szCs w:val="20"/>
                <w:lang w:eastAsia="en-US" w:bidi="ar-SA"/>
              </w:rPr>
              <w:t>—</w:t>
            </w:r>
          </w:p>
        </w:tc>
        <w:tc>
          <w:tcPr>
            <w:tcW w:w="468" w:type="pct"/>
            <w:vAlign w:val="center"/>
            <w:hideMark/>
          </w:tcPr>
          <w:p w14:paraId="5991114A" w14:textId="77777777">
            <w:pPr>
              <w:rPr>
                <w:sz w:val="20"/>
                <w:szCs w:val="20"/>
                <w:lang w:eastAsia="en-US" w:bidi="ar-SA"/>
              </w:rPr>
            </w:pPr>
            <w:r>
              <w:rPr>
                <w:sz w:val="20"/>
                <w:szCs w:val="20"/>
                <w:lang w:eastAsia="en-US" w:bidi="ar-SA"/>
              </w:rPr>
              <w:t>specific</w:t>
            </w:r>
          </w:p>
        </w:tc>
        <w:tc>
          <w:tcPr>
            <w:tcW w:w="1167" w:type="pct"/>
            <w:vAlign w:val="center"/>
            <w:hideMark/>
          </w:tcPr>
          <w:p w14:paraId="2D513148" w14:textId="77777777">
            <w:pPr>
              <w:rPr>
                <w:sz w:val="20"/>
                <w:szCs w:val="20"/>
                <w:lang w:eastAsia="en-US" w:bidi="ar-SA"/>
              </w:rPr>
            </w:pPr>
            <w:r>
              <w:rPr>
                <w:noProof/>
                <w:sz w:val="20"/>
                <w:szCs w:val="20"/>
                <w:lang w:eastAsia="en-US" w:bidi="ar-SA"/>
              </w:rPr>
              <w:t>(</w:t>
            </w:r>
            <w:r>
              <w:rPr>
                <w:sz w:val="20"/>
                <w:szCs w:val="20"/>
                <w:lang w:eastAsia="en-US" w:bidi="ar-SA"/>
              </w:rPr>
              <w:t>implied for ideograms)</w:t>
            </w:r>
          </w:p>
        </w:tc>
      </w:tr>
    </w:tbl>
    <w:p w14:paraId="05476D98" w14:textId="77777777">
      <w:pPr>
        <w:pStyle w:val="Cmsor4"/>
      </w:pPr>
      <w:r>
        <w:t>What counts as a symbol?</w:t>
      </w:r>
    </w:p>
    <w:p w14:paraId="20441D23" w14:textId="77777777">
      <w:pPr>
        <w:rPr>
          <w:lang w:eastAsia="en-US" w:bidi="ar-SA"/>
        </w:rPr>
      </w:pPr>
      <w:r>
        <w:rPr>
          <w:lang w:eastAsia="en-US" w:bidi="ar-SA"/>
        </w:rPr>
        <w:t>The symbols discussed in this section are graphemes, with the implication that they signify information that pertains, however vaguely, to language. Any other graphic content in an original document may be described in annotation, but shall not be represented in transliteration and through symbol encoding, as discussed in TG §3.1.4.3. In particular, the following features are not symbols:</w:t>
      </w:r>
    </w:p>
    <w:p w14:paraId="701E950A" w14:textId="77777777">
      <w:pPr>
        <w:pStyle w:val="Lista"/>
        <w:rPr>
          <w:lang w:eastAsia="en-US" w:bidi="ar-SA"/>
        </w:rPr>
      </w:pPr>
      <w:r>
        <w:rPr>
          <w:lang w:eastAsia="en-US" w:bidi="ar-SA"/>
        </w:rPr>
        <w:t>decorative or illustrative imagery, which is to be annotated</w:t>
      </w:r>
    </w:p>
    <w:p w14:paraId="60488BDB" w14:textId="77777777">
      <w:pPr>
        <w:pStyle w:val="Lista"/>
        <w:rPr>
          <w:lang w:eastAsia="en-US" w:bidi="ar-SA"/>
        </w:rPr>
      </w:pPr>
      <w:r>
        <w:rPr>
          <w:lang w:eastAsia="en-US" w:bidi="ar-SA"/>
        </w:rPr>
        <w:t xml:space="preserve">scribal (premodern editorial) marks, which are represented in the encoding but not in the text </w:t>
      </w:r>
      <w:r>
        <w:t>(see §</w:t>
      </w:r>
      <w:r>
        <w:fldChar w:fldCharType="begin"/>
      </w:r>
      <w:r>
        <w:instrText xml:space="preserve"> REF _Ref156807687 \r \h </w:instrText>
      </w:r>
      <w:r>
        <w:fldChar w:fldCharType="separate"/>
      </w:r>
      <w:r>
        <w:t>5.4.2.1</w:t>
      </w:r>
      <w:r>
        <w:fldChar w:fldCharType="end"/>
      </w:r>
      <w:r>
        <w:t xml:space="preserve"> about marks used in lieu of text not inscribed; §</w:t>
      </w:r>
      <w:r>
        <w:fldChar w:fldCharType="begin"/>
      </w:r>
      <w:r>
        <w:instrText xml:space="preserve"> REF _Ref183012048 \r \h </w:instrText>
      </w:r>
      <w:r>
        <w:fldChar w:fldCharType="separate"/>
      </w:r>
      <w:r>
        <w:t>5.4.4</w:t>
      </w:r>
      <w:r>
        <w:fldChar w:fldCharType="end"/>
      </w:r>
      <w:r>
        <w:t xml:space="preserve"> about marks for scribal correction)</w:t>
      </w:r>
    </w:p>
    <w:p w14:paraId="5A2A27B3" w14:textId="77777777">
      <w:pPr>
        <w:pStyle w:val="Lista"/>
      </w:pPr>
      <w:r>
        <w:t>as per §</w:t>
      </w:r>
      <w:r>
        <w:fldChar w:fldCharType="begin"/>
      </w:r>
      <w:r>
        <w:instrText xml:space="preserve"> REF _Ref226033790 \r \h </w:instrText>
      </w:r>
      <w:r>
        <w:fldChar w:fldCharType="separate"/>
      </w:r>
      <w:r>
        <w:t>5.1.5</w:t>
      </w:r>
      <w:r>
        <w:fldChar w:fldCharType="end"/>
      </w:r>
      <w:r>
        <w:t xml:space="preserve"> and §</w:t>
      </w:r>
      <w:r>
        <w:fldChar w:fldCharType="begin"/>
      </w:r>
      <w:r>
        <w:instrText xml:space="preserve"> REF _Ref226033797 \r \h </w:instrText>
      </w:r>
      <w:r>
        <w:fldChar w:fldCharType="separate"/>
      </w:r>
      <w:r>
        <w:t>5.2.3</w:t>
      </w:r>
      <w:r>
        <w:fldChar w:fldCharType="end"/>
      </w:r>
      <w:r>
        <w:t>, core glyphs (i.e. phonographic and numeral glyphs) are not symbols in this sense even when they are employed in a symbolic function, and shall therefore be transliterated according to their primary signification and not wrapped in glyph encoding for symbols</w:t>
      </w:r>
    </w:p>
    <w:p w14:paraId="1E41E162" w14:textId="77777777">
      <w:pPr>
        <w:pStyle w:val="Lista2"/>
      </w:pPr>
      <w:r>
        <w:t xml:space="preserve">however, as per </w:t>
      </w:r>
      <w:r>
        <w:rPr>
          <w:lang w:eastAsia="en-US" w:bidi="ar-SA"/>
        </w:rPr>
        <w:t xml:space="preserve">TG §6.2, symbol glyphs whose shape is similar to a core glyph but not identical to that glyph as attested or expected in the given writing system (e.g. the glyph </w:t>
      </w:r>
      <w:r>
        <w:rPr>
          <w:rStyle w:val="Foreign"/>
        </w:rPr>
        <w:t>oṁ</w:t>
      </w:r>
      <w:r>
        <w:t xml:space="preserve"> written in a conspicuously archaic or </w:t>
      </w:r>
      <w:r>
        <w:rPr>
          <w:lang w:eastAsia="en-US" w:bidi="ar-SA"/>
        </w:rPr>
        <w:t>stylised form) shall be treated as peripheral graphemes</w:t>
      </w:r>
    </w:p>
    <w:p w14:paraId="607040E5" w14:textId="77777777">
      <w:pPr>
        <w:pStyle w:val="Cmsor3"/>
      </w:pPr>
      <w:bookmarkStart w:id="409" w:name="_Ref226023506"/>
      <w:bookmarkStart w:id="410" w:name="_Toc243900297"/>
      <w:r>
        <w:lastRenderedPageBreak/>
        <w:t>Classifying symbols by function</w:t>
      </w:r>
      <w:bookmarkEnd w:id="409"/>
      <w:bookmarkEnd w:id="410"/>
    </w:p>
    <w:p w14:paraId="4D76784B" w14:textId="77777777">
      <w:pPr>
        <w:rPr>
          <w:lang w:eastAsia="en-US" w:bidi="ar-SA"/>
        </w:rPr>
      </w:pPr>
      <w:r>
        <w:rPr>
          <w:lang w:eastAsia="en-US" w:bidi="ar-SA"/>
        </w:rPr>
        <w:t xml:space="preserve">For the purposes of transliteration as well as encoding, we categorise peripheral graphemes into four broad functional classes: ideograms, punctuation marks, connectors and abstract symbols. These classes are discussed in TG §5 and only briefly summarised here. We find that because of the vague nature of many symbols a more precise differentiation by function would entail difficulty in defining functions and inconsistency in applying the classification. Moreover, across the writing systems in our scope — and even within a single writing tradition or a single document — any particular glyph may be used in any of these basic functions (or without a clear function). Therefore, even though particular shapes are often associated with particular functions, functional classification must be judged on a case-by-case basis, and the assignment of a grapheme to a particular function never implies any particular shape. </w:t>
      </w:r>
    </w:p>
    <w:p w14:paraId="54F1ACB0" w14:textId="77777777">
      <w:pPr>
        <w:pStyle w:val="Cmsor4"/>
      </w:pPr>
      <w:r>
        <w:t>Ideograms</w:t>
      </w:r>
    </w:p>
    <w:p w14:paraId="567AB4CD" w14:textId="77777777">
      <w:pPr>
        <w:pStyle w:val="Lista"/>
      </w:pPr>
      <w:r>
        <w:t xml:space="preserve">ideograms (TG §5.2) are graphemes </w:t>
      </w:r>
      <w:r>
        <w:rPr>
          <w:lang w:eastAsia="en-US" w:bidi="ar-SA"/>
        </w:rPr>
        <w:t xml:space="preserve">that signify </w:t>
      </w:r>
      <w:r>
        <w:t>words, morphemes or abstract concepts</w:t>
      </w:r>
    </w:p>
    <w:p w14:paraId="3C7706A6" w14:textId="77777777">
      <w:pPr>
        <w:pStyle w:val="Lista"/>
      </w:pPr>
      <w:r>
        <w:t>modern international examples include |+| |%| |$| |€|</w:t>
      </w:r>
    </w:p>
    <w:p w14:paraId="3D46D08B" w14:textId="77777777">
      <w:pPr>
        <w:pStyle w:val="Lista"/>
      </w:pPr>
      <w:r>
        <w:t>examples in Indic writing systems include |</w:t>
      </w:r>
      <w:r>
        <w:rPr>
          <w:rStyle w:val="ForeignDevanagariAlt"/>
          <w:rFonts w:hint="cs"/>
          <w:cs/>
        </w:rPr>
        <w:t>ॐ</w:t>
      </w:r>
      <w:r>
        <w:t xml:space="preserve">| (Devanagari </w:t>
      </w:r>
      <w:r>
        <w:rPr>
          <w:rStyle w:val="Foreign"/>
        </w:rPr>
        <w:t>oṁ</w:t>
      </w:r>
      <w:r>
        <w:t>), |</w:t>
      </w:r>
      <w:r>
        <w:rPr>
          <w:rStyle w:val="ForeignTamilScript"/>
          <w:cs/>
          <w:lang w:bidi="ta-IN"/>
        </w:rPr>
        <w:t>௳</w:t>
      </w:r>
      <w:r>
        <w:t xml:space="preserve">| (Tamil </w:t>
      </w:r>
      <w:r>
        <w:rPr>
          <w:rStyle w:val="Foreign"/>
        </w:rPr>
        <w:t>piḷḷaiyār cuḻi</w:t>
      </w:r>
      <w:r>
        <w:t>)</w:t>
      </w:r>
    </w:p>
    <w:p w14:paraId="60BB2DD9" w14:textId="77777777">
      <w:pPr>
        <w:pStyle w:val="Lista"/>
      </w:pPr>
      <w:r>
        <w:t>numerals are technically also ideograms, but from a practical point of view we treat them as core graphemes (§</w:t>
      </w:r>
      <w:r>
        <w:fldChar w:fldCharType="begin"/>
      </w:r>
      <w:r>
        <w:instrText xml:space="preserve"> REF _Ref226015920 \r \h </w:instrText>
      </w:r>
      <w:r>
        <w:fldChar w:fldCharType="separate"/>
      </w:r>
      <w:r>
        <w:t>5.2</w:t>
      </w:r>
      <w:r>
        <w:fldChar w:fldCharType="end"/>
      </w:r>
      <w:r>
        <w:t>)</w:t>
      </w:r>
    </w:p>
    <w:p w14:paraId="07DAD75F" w14:textId="77777777">
      <w:pPr>
        <w:pStyle w:val="Cmsor4"/>
      </w:pPr>
      <w:r>
        <w:t>Punctuation marks</w:t>
      </w:r>
    </w:p>
    <w:p w14:paraId="7184FC73" w14:textId="77777777">
      <w:pPr>
        <w:pStyle w:val="Lista"/>
      </w:pPr>
      <w:r>
        <w:t>punctuation marks (TG §5.3) are graphic signs employed for segmentation into syntactic or metrical units such as such as sentences, clauses, list items and stanzas or their subdivisions</w:t>
      </w:r>
    </w:p>
    <w:p w14:paraId="15D5B6AD" w14:textId="77777777">
      <w:pPr>
        <w:pStyle w:val="Lista2"/>
      </w:pPr>
      <w:r>
        <w:t>throughout this Guide, the term ‘punctuation mark’ is always used in this specific and restricted sense</w:t>
      </w:r>
    </w:p>
    <w:p w14:paraId="42CDB7BB" w14:textId="77777777">
      <w:pPr>
        <w:pStyle w:val="Lista2"/>
      </w:pPr>
      <w:r>
        <w:t>thus, figural and ornamental signs, as well as “typographic” signs used to mark the end or beginning of an entire text or a major section of text, are generally excluded from this class</w:t>
      </w:r>
    </w:p>
    <w:p w14:paraId="690E5334" w14:textId="77777777">
      <w:pPr>
        <w:pStyle w:val="Lista"/>
      </w:pPr>
      <w:r>
        <w:t>modern international examples include |.| |,| |!|</w:t>
      </w:r>
    </w:p>
    <w:p w14:paraId="659ADCA9" w14:textId="77777777">
      <w:pPr>
        <w:pStyle w:val="Lista"/>
      </w:pPr>
      <w:r>
        <w:t>examples in Indic writing systems include vertical bars, horizontal dashes and their variations</w:t>
      </w:r>
    </w:p>
    <w:p w14:paraId="01103962" w14:textId="77777777">
      <w:pPr>
        <w:pStyle w:val="Cmsor4"/>
      </w:pPr>
      <w:bookmarkStart w:id="411" w:name="_Ref226038881"/>
      <w:r>
        <w:t>Connectors</w:t>
      </w:r>
      <w:bookmarkEnd w:id="411"/>
    </w:p>
    <w:p w14:paraId="66760CFC" w14:textId="77777777">
      <w:pPr>
        <w:pStyle w:val="Lista"/>
      </w:pPr>
      <w:r>
        <w:t>connectors (TG §5.4) are a special set of marks which signify that a spatial interruption in the script is not to be understood as a break in linguistic structure</w:t>
      </w:r>
    </w:p>
    <w:p w14:paraId="59DD1C14" w14:textId="77777777">
      <w:pPr>
        <w:pStyle w:val="Lista2"/>
      </w:pPr>
      <w:r>
        <w:t>connectors include the marks called ‘space fillers’ in previous versions of this Guide, used where a part of the writing surface could not accommodate the text to be written, filling it up with one or more marks in order to preserve the continuity of the writing</w:t>
      </w:r>
    </w:p>
    <w:p w14:paraId="128B0C3A" w14:textId="77777777">
      <w:pPr>
        <w:pStyle w:val="Lista2"/>
      </w:pPr>
      <w:r>
        <w:t>as well as marks used singly at line ends to signify that a word break is not present (like a modern hyphen)</w:t>
      </w:r>
    </w:p>
    <w:p w14:paraId="7B60C231" w14:textId="77777777">
      <w:pPr>
        <w:pStyle w:val="Lista"/>
      </w:pPr>
      <w:r>
        <w:t>conversely, signs used by the scribe as placeholders for characters of text he was unable to provide (for example because they were illegible in the manuscript being copied) are not connectors and shall be encoded as per §</w:t>
      </w:r>
      <w:r>
        <w:fldChar w:fldCharType="begin"/>
      </w:r>
      <w:r>
        <w:instrText xml:space="preserve"> REF _Ref156807687 \r \h </w:instrText>
      </w:r>
      <w:r>
        <w:fldChar w:fldCharType="separate"/>
      </w:r>
      <w:r>
        <w:t>5.4.2.1</w:t>
      </w:r>
      <w:r>
        <w:fldChar w:fldCharType="end"/>
      </w:r>
    </w:p>
    <w:p w14:paraId="4A06C9B0" w14:textId="77777777">
      <w:pPr>
        <w:pStyle w:val="Cmsor4"/>
      </w:pPr>
      <w:bookmarkStart w:id="412" w:name="_Ref231893872"/>
      <w:r>
        <w:t>Abstract symbols</w:t>
      </w:r>
      <w:bookmarkEnd w:id="412"/>
    </w:p>
    <w:p w14:paraId="01743065" w14:textId="77777777">
      <w:pPr>
        <w:pStyle w:val="Lista"/>
      </w:pPr>
      <w:r>
        <w:t>abstract symbols (TG §5.5) are all peripheral graphemes that cannot be confidently assigned to either of the above three classes</w:t>
      </w:r>
    </w:p>
    <w:p w14:paraId="617142CB" w14:textId="77777777">
      <w:pPr>
        <w:pStyle w:val="Lista2"/>
      </w:pPr>
      <w:r>
        <w:t>abstract symbols are also called simply ‘symbols’, but we also use the term ‘symbol’ in a generic sense to refer to all peripheral graphemes</w:t>
      </w:r>
    </w:p>
    <w:p w14:paraId="511C571D" w14:textId="77777777">
      <w:pPr>
        <w:pStyle w:val="Lista"/>
        <w:rPr>
          <w:lang w:eastAsia="en-US" w:bidi="ar-SA"/>
        </w:rPr>
      </w:pPr>
      <w:r>
        <w:rPr>
          <w:lang w:eastAsia="en-US" w:bidi="ar-SA"/>
        </w:rPr>
        <w:t>classifying a grapheme as an abstract symbol means choosing not to assert any particular linguistic function for it, but is not an assertion that it has no function at all</w:t>
      </w:r>
    </w:p>
    <w:p w14:paraId="4746D205" w14:textId="77777777">
      <w:pPr>
        <w:pStyle w:val="Lista2"/>
        <w:rPr>
          <w:lang w:eastAsia="en-US" w:bidi="ar-SA"/>
        </w:rPr>
      </w:pPr>
      <w:r>
        <w:rPr>
          <w:lang w:eastAsia="en-US" w:bidi="ar-SA"/>
        </w:rPr>
        <w:t>thus, all graphemes whose function is ambiguous or uncertain shall be classified as abstract symbols, even if there is a chance that they might qualify for one of the specific classes</w:t>
      </w:r>
    </w:p>
    <w:p w14:paraId="02F3E588" w14:textId="77777777">
      <w:pPr>
        <w:pStyle w:val="Lista2"/>
        <w:rPr>
          <w:lang w:eastAsia="en-US" w:bidi="ar-SA"/>
        </w:rPr>
      </w:pPr>
      <w:r>
        <w:t>encoding an abstract symbol instead of a specific function is not an error and will have little ultimate impact on the quality of our corpus</w:t>
      </w:r>
    </w:p>
    <w:p w14:paraId="61B95278" w14:textId="77777777">
      <w:pPr>
        <w:pStyle w:val="Cmsor3"/>
      </w:pPr>
      <w:bookmarkStart w:id="413" w:name="_Toc243900298"/>
      <w:r>
        <w:lastRenderedPageBreak/>
        <w:t>Transliterating peripheral graphemes</w:t>
      </w:r>
      <w:bookmarkEnd w:id="413"/>
    </w:p>
    <w:p w14:paraId="1D9DAB0D" w14:textId="77777777">
      <w:pPr>
        <w:rPr>
          <w:lang w:eastAsia="en-US" w:bidi="ar-SA"/>
        </w:rPr>
      </w:pPr>
      <w:r>
        <w:rPr>
          <w:lang w:eastAsia="en-US" w:bidi="ar-SA"/>
        </w:rPr>
        <w:t>The placeholders used for peripheral graphemes are a device of transliteration, and are accordingly discussed in TG §5. Here, we summarise only the essentials. We dedicate a default placeholder to each of the broad functional classes introduced in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above. When an arbitrary placeholder (§</w:t>
      </w:r>
      <w:r>
        <w:rPr>
          <w:lang w:eastAsia="en-US" w:bidi="ar-SA"/>
        </w:rPr>
        <w:fldChar w:fldCharType="begin"/>
      </w:r>
      <w:r>
        <w:rPr>
          <w:lang w:eastAsia="en-US" w:bidi="ar-SA"/>
        </w:rPr>
        <w:instrText xml:space="preserve"> REF _Ref225955892 \r \h </w:instrText>
      </w:r>
      <w:r>
        <w:rPr>
          <w:lang w:eastAsia="en-US" w:bidi="ar-SA"/>
        </w:rPr>
      </w:r>
      <w:r>
        <w:rPr>
          <w:lang w:eastAsia="en-US" w:bidi="ar-SA"/>
        </w:rPr>
        <w:fldChar w:fldCharType="separate"/>
      </w:r>
      <w:r>
        <w:rPr>
          <w:lang w:eastAsia="en-US" w:bidi="ar-SA"/>
        </w:rPr>
        <w:t>5.3.3.2</w:t>
      </w:r>
      <w:r>
        <w:rPr>
          <w:lang w:eastAsia="en-US" w:bidi="ar-SA"/>
        </w:rPr>
        <w:fldChar w:fldCharType="end"/>
      </w:r>
      <w:r>
        <w:rPr>
          <w:lang w:eastAsia="en-US" w:bidi="ar-SA"/>
        </w:rPr>
        <w:t>) is not desired, every peripheral grapheme in the source must be transliterated with the default placeholder appropriate to its class.</w:t>
      </w:r>
    </w:p>
    <w:p w14:paraId="44B7D9F4" w14:textId="77777777">
      <w:pPr>
        <w:pStyle w:val="Cmsor4"/>
      </w:pPr>
      <w:bookmarkStart w:id="414" w:name="_Ref226036268"/>
      <w:r>
        <w:t>Default placeholders</w:t>
      </w:r>
      <w:bookmarkEnd w:id="414"/>
    </w:p>
    <w:p w14:paraId="5C314360" w14:textId="77777777">
      <w:pPr>
        <w:pStyle w:val="Lista"/>
      </w:pPr>
      <w:r>
        <w:t>the default placeholders for the classes are as follows</w:t>
      </w:r>
    </w:p>
    <w:p w14:paraId="68F29CA1" w14:textId="77777777">
      <w:pPr>
        <w:pStyle w:val="Lista2"/>
      </w:pPr>
      <w:r>
        <w:t xml:space="preserve">for ideograms: @ </w:t>
      </w:r>
      <w:r>
        <w:rPr>
          <w:noProof/>
        </w:rPr>
        <w:t>(</w:t>
      </w:r>
      <w:r>
        <w:t>at sign)</w:t>
      </w:r>
    </w:p>
    <w:p w14:paraId="3E6FB5C3" w14:textId="77777777">
      <w:pPr>
        <w:pStyle w:val="Lista2"/>
      </w:pPr>
      <w:r>
        <w:t xml:space="preserve">for punctuation marks: . </w:t>
      </w:r>
      <w:r>
        <w:rPr>
          <w:noProof/>
        </w:rPr>
        <w:t>(</w:t>
      </w:r>
      <w:r>
        <w:t>dot, period or full stop)</w:t>
      </w:r>
    </w:p>
    <w:p w14:paraId="5E9CDB8B" w14:textId="77777777">
      <w:pPr>
        <w:pStyle w:val="Lista2"/>
      </w:pPr>
      <w:r>
        <w:t xml:space="preserve">for connectors: § </w:t>
      </w:r>
      <w:r>
        <w:rPr>
          <w:noProof/>
        </w:rPr>
        <w:t>(</w:t>
      </w:r>
      <w:r>
        <w:t>section sign)</w:t>
      </w:r>
    </w:p>
    <w:p w14:paraId="429F5E4E" w14:textId="77777777">
      <w:pPr>
        <w:pStyle w:val="Lista2"/>
      </w:pPr>
      <w:r>
        <w:t xml:space="preserve">for abstract symbols: * </w:t>
      </w:r>
      <w:r>
        <w:rPr>
          <w:noProof/>
        </w:rPr>
        <w:t>(</w:t>
      </w:r>
      <w:r>
        <w:t>asterisk)</w:t>
      </w:r>
    </w:p>
    <w:p w14:paraId="76F1A502" w14:textId="77777777">
      <w:pPr>
        <w:pStyle w:val="Lista"/>
      </w:pPr>
      <w:r>
        <w:rPr>
          <w:lang w:eastAsia="en-US" w:bidi="ar-SA"/>
        </w:rPr>
        <w:t>in XML editions, the default placeholders will usually be combined with glyph encoding (§</w:t>
      </w:r>
      <w:r>
        <w:rPr>
          <w:lang w:eastAsia="en-US" w:bidi="ar-SA"/>
        </w:rPr>
        <w:fldChar w:fldCharType="begin"/>
      </w:r>
      <w:r>
        <w:rPr>
          <w:lang w:eastAsia="en-US" w:bidi="ar-SA"/>
        </w:rPr>
        <w:instrText xml:space="preserve"> REF _Ref226028934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w:t>
      </w:r>
    </w:p>
    <w:p w14:paraId="2F54334A" w14:textId="77777777">
      <w:pPr>
        <w:pStyle w:val="Lista"/>
      </w:pPr>
      <w:r>
        <w:rPr>
          <w:lang w:eastAsia="en-US" w:bidi="ar-SA"/>
        </w:rPr>
        <w:t xml:space="preserve">default placeholders may be used without being wrapped in a </w:t>
      </w:r>
      <w:r>
        <w:rPr>
          <w:rStyle w:val="Code"/>
        </w:rPr>
        <w:t>&lt;g&gt;</w:t>
      </w:r>
      <w:r>
        <w:t xml:space="preserve"> element in the following circumstances:</w:t>
      </w:r>
    </w:p>
    <w:p w14:paraId="4C407792" w14:textId="77777777">
      <w:pPr>
        <w:pStyle w:val="Lista2"/>
      </w:pPr>
      <w:r>
        <w:t>when supplying editorial punctuation for the purpose of semantic segmentation, as per §</w:t>
      </w:r>
      <w:r>
        <w:fldChar w:fldCharType="begin"/>
      </w:r>
      <w:r>
        <w:instrText xml:space="preserve"> REF _Ref229060537 \r \h </w:instrText>
      </w:r>
      <w:r>
        <w:fldChar w:fldCharType="separate"/>
      </w:r>
      <w:r>
        <w:t>7.8.3</w:t>
      </w:r>
      <w:r>
        <w:fldChar w:fldCharType="end"/>
      </w:r>
    </w:p>
    <w:p w14:paraId="60380623" w14:textId="77777777">
      <w:pPr>
        <w:pStyle w:val="Lista2"/>
      </w:pPr>
      <w:r>
        <w:t>when encoding a text from a previous edition, without access to the original or a surrogate, if that edition records the presence of a symbol without describing its appearance</w:t>
      </w:r>
    </w:p>
    <w:p w14:paraId="60504E58" w14:textId="77777777">
      <w:pPr>
        <w:pStyle w:val="Cmsor4"/>
      </w:pPr>
      <w:bookmarkStart w:id="415" w:name="_Ref225955892"/>
      <w:r>
        <w:t>Arbitrary placeholders</w:t>
      </w:r>
      <w:bookmarkEnd w:id="415"/>
    </w:p>
    <w:p w14:paraId="03DA79D0" w14:textId="77777777">
      <w:pPr>
        <w:rPr>
          <w:lang w:eastAsia="en-US" w:bidi="ar-SA"/>
        </w:rPr>
      </w:pPr>
      <w:r>
        <w:rPr>
          <w:lang w:eastAsia="en-US" w:bidi="ar-SA"/>
        </w:rPr>
        <w:t>At the editor’s discretion, arbitrary target graphemes (or strings of target graphemes) may be used for representing any peripheral grapheme in the source. Arbitrary placeholders can be Unicode characters chosen to resemble the source grapheme’s graphetic appearance or to imitate its perceived graphemic function, as well as strings alluding to an emic name of the source grapheme or describing it in etic terms (TG §5.1.2).</w:t>
      </w:r>
    </w:p>
    <w:p w14:paraId="6F7FCCFE" w14:textId="77777777">
      <w:pPr>
        <w:pStyle w:val="Lista"/>
        <w:rPr>
          <w:lang w:eastAsia="en-US" w:bidi="ar-SA"/>
        </w:rPr>
      </w:pPr>
      <w:r>
        <w:rPr>
          <w:lang w:eastAsia="en-US" w:bidi="ar-SA"/>
        </w:rPr>
        <w:t>in XML editions, it is generally preferable to use only the default placeholders and combine them with glyph encoding (§</w:t>
      </w:r>
      <w:r>
        <w:rPr>
          <w:lang w:eastAsia="en-US" w:bidi="ar-SA"/>
        </w:rPr>
        <w:fldChar w:fldCharType="begin"/>
      </w:r>
      <w:r>
        <w:rPr>
          <w:lang w:eastAsia="en-US" w:bidi="ar-SA"/>
        </w:rPr>
        <w:instrText xml:space="preserve"> REF _Ref226016620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w:t>
      </w:r>
    </w:p>
    <w:p w14:paraId="14E82177" w14:textId="77777777">
      <w:pPr>
        <w:pStyle w:val="Lista"/>
        <w:rPr>
          <w:lang w:eastAsia="en-US" w:bidi="ar-SA"/>
        </w:rPr>
      </w:pPr>
      <w:r>
        <w:rPr>
          <w:lang w:eastAsia="en-US" w:bidi="ar-SA"/>
        </w:rPr>
        <w:t>nonetheless, because they can help reduce code clutter, arbitrary placeholders are permitted in XML contexts if they are deemed to be satisfactory representations of the source grapheme</w:t>
      </w:r>
    </w:p>
    <w:p w14:paraId="28588901" w14:textId="77777777">
      <w:pPr>
        <w:pStyle w:val="Lista2"/>
      </w:pPr>
      <w:r>
        <w:rPr>
          <w:lang w:eastAsia="en-US" w:bidi="ar-SA"/>
        </w:rPr>
        <w:t>arbitrary placeholders may be used without glyph encoding provided that they consist of a single character</w:t>
      </w:r>
    </w:p>
    <w:p w14:paraId="678CBCBC" w14:textId="77777777">
      <w:pPr>
        <w:pStyle w:val="Lista2"/>
        <w:rPr>
          <w:lang w:eastAsia="en-US" w:bidi="ar-SA"/>
        </w:rPr>
      </w:pPr>
      <w:r>
        <w:rPr>
          <w:lang w:eastAsia="en-US" w:bidi="ar-SA"/>
        </w:rPr>
        <w:t>multi-character arbitrary placeholders must, however, always be combined with glyph encoding (§</w:t>
      </w:r>
      <w:r>
        <w:rPr>
          <w:lang w:eastAsia="en-US" w:bidi="ar-SA"/>
        </w:rPr>
        <w:fldChar w:fldCharType="begin"/>
      </w:r>
      <w:r>
        <w:rPr>
          <w:lang w:eastAsia="en-US" w:bidi="ar-SA"/>
        </w:rPr>
        <w:instrText xml:space="preserve"> REF _Ref226028934 \r \h </w:instrText>
      </w:r>
      <w:r>
        <w:rPr>
          <w:lang w:eastAsia="en-US" w:bidi="ar-SA"/>
        </w:rPr>
      </w:r>
      <w:r>
        <w:rPr>
          <w:lang w:eastAsia="en-US" w:bidi="ar-SA"/>
        </w:rPr>
        <w:fldChar w:fldCharType="separate"/>
      </w:r>
      <w:r>
        <w:rPr>
          <w:lang w:eastAsia="en-US" w:bidi="ar-SA"/>
        </w:rPr>
        <w:t>5.3.4</w:t>
      </w:r>
      <w:r>
        <w:rPr>
          <w:lang w:eastAsia="en-US" w:bidi="ar-SA"/>
        </w:rPr>
        <w:fldChar w:fldCharType="end"/>
      </w:r>
      <w:r>
        <w:rPr>
          <w:lang w:eastAsia="en-US" w:bidi="ar-SA"/>
        </w:rPr>
        <w:t>) to make it clear that a particular string of target characters corresponds to a single source grapheme</w:t>
      </w:r>
    </w:p>
    <w:p w14:paraId="1D315C2E" w14:textId="77777777">
      <w:pPr>
        <w:pStyle w:val="Lista"/>
        <w:rPr>
          <w:lang w:eastAsia="en-US" w:bidi="ar-SA"/>
        </w:rPr>
      </w:pPr>
      <w:r>
        <w:rPr>
          <w:lang w:eastAsia="en-US" w:bidi="ar-SA"/>
        </w:rPr>
        <w:t>strategies for combining the available transliteration and encoding options are outlined in TG §5.1.3</w:t>
      </w:r>
    </w:p>
    <w:p w14:paraId="09AA0910" w14:textId="77777777">
      <w:pPr>
        <w:pStyle w:val="Lista"/>
        <w:rPr>
          <w:lang w:eastAsia="en-US" w:bidi="ar-SA"/>
        </w:rPr>
      </w:pPr>
      <w:r>
        <w:rPr>
          <w:lang w:eastAsia="en-US" w:bidi="ar-SA"/>
        </w:rPr>
        <w:t>in XML editions, arbitrary placeholders are most likely to be used for basic forms of punctuation marks, as follows</w:t>
      </w:r>
    </w:p>
    <w:p w14:paraId="5B2A4EB4" w14:textId="77777777">
      <w:pPr>
        <w:pStyle w:val="Lista3"/>
        <w:rPr>
          <w:rFonts w:eastAsia="Arial"/>
        </w:rPr>
      </w:pPr>
      <w:r>
        <w:t xml:space="preserve">| </w:t>
      </w:r>
      <w:r>
        <w:rPr>
          <w:noProof/>
        </w:rPr>
        <w:t>(</w:t>
      </w:r>
      <w:r>
        <w:rPr>
          <w:rStyle w:val="Code"/>
        </w:rPr>
        <w:t>U+007C</w:t>
      </w:r>
      <w:r>
        <w:t xml:space="preserve"> Vertical Line) for signs comprised of a single plain vertical bar</w:t>
      </w:r>
    </w:p>
    <w:p w14:paraId="011A2975" w14:textId="77777777">
      <w:pPr>
        <w:pStyle w:val="Lista3"/>
      </w:pPr>
      <w:r>
        <w:t xml:space="preserve">/ </w:t>
      </w:r>
      <w:r>
        <w:rPr>
          <w:noProof/>
        </w:rPr>
        <w:t>(</w:t>
      </w:r>
      <w:r>
        <w:t>slash) for signs comprised of a single vertical bar with a hook, crossbar or ornamental addition</w:t>
      </w:r>
    </w:p>
    <w:p w14:paraId="63B52DB7" w14:textId="77777777">
      <w:pPr>
        <w:pStyle w:val="Lista3"/>
      </w:pPr>
      <w:r>
        <w:t xml:space="preserve">, </w:t>
      </w:r>
      <w:r>
        <w:rPr>
          <w:noProof/>
        </w:rPr>
        <w:t>(</w:t>
      </w:r>
      <w:r>
        <w:t>comma) for short, predominantly vertical and often curved strokes at any height</w:t>
      </w:r>
    </w:p>
    <w:p w14:paraId="38A7B8DF" w14:textId="77777777">
      <w:pPr>
        <w:pStyle w:val="Lista2"/>
        <w:rPr>
          <w:lang w:eastAsia="en-US" w:bidi="ar-SA"/>
        </w:rPr>
      </w:pPr>
      <w:r>
        <w:rPr>
          <w:lang w:eastAsia="en-US" w:bidi="ar-SA"/>
        </w:rPr>
        <w:t>additional recommendations for arbitrary placeholders are available in the TG sections (under §5) discussing the functional classes</w:t>
      </w:r>
    </w:p>
    <w:p w14:paraId="156C1DD4" w14:textId="77777777">
      <w:pPr>
        <w:pStyle w:val="Cmsor3"/>
      </w:pPr>
      <w:bookmarkStart w:id="416" w:name="_Ref225955927"/>
      <w:bookmarkStart w:id="417" w:name="_Ref226016620"/>
      <w:bookmarkStart w:id="418" w:name="_Ref226028934"/>
      <w:bookmarkStart w:id="419" w:name="_Ref226032987"/>
      <w:bookmarkStart w:id="420" w:name="_Toc243900299"/>
      <w:r>
        <w:t>Glyph encoding for peripheral graphemes</w:t>
      </w:r>
      <w:bookmarkEnd w:id="416"/>
      <w:bookmarkEnd w:id="417"/>
      <w:bookmarkEnd w:id="418"/>
      <w:bookmarkEnd w:id="419"/>
      <w:bookmarkEnd w:id="420"/>
    </w:p>
    <w:p w14:paraId="6FC1072F" w14:textId="77777777">
      <w:r>
        <w:t xml:space="preserve">We use the TEI element </w:t>
      </w:r>
      <w:r>
        <w:rPr>
          <w:rStyle w:val="Code"/>
        </w:rPr>
        <w:t>&lt;g&gt;</w:t>
      </w:r>
      <w:r>
        <w:t xml:space="preserve"> </w:t>
      </w:r>
      <w:r>
        <w:rPr>
          <w:noProof/>
        </w:rPr>
        <w:t>(</w:t>
      </w:r>
      <w:r>
        <w:t>for “glyph” or “gaiji”</w:t>
      </w:r>
      <w:r>
        <w:rPr>
          <w:rStyle w:val="Lbjegyzet-hivatkozs"/>
        </w:rPr>
        <w:footnoteReference w:id="22"/>
      </w:r>
      <w:r>
        <w:t>) in the encoding of all glyphs other than phonographic ones and decimal digits. The use of this element indicates that our set of target graphemes provides no direct equivalent to the original glyph, and that the contents of this element represent a single source grapheme.</w:t>
      </w:r>
    </w:p>
    <w:p w14:paraId="5B3D869D" w14:textId="77777777">
      <w:pPr>
        <w:pStyle w:val="Lista"/>
      </w:pPr>
      <w:r>
        <w:lastRenderedPageBreak/>
        <w:t xml:space="preserve">the (default or arbitrary) placeholders that correspond in transliteration to a peripheral grapheme in the source may be wrapped in the element </w:t>
      </w:r>
      <w:r>
        <w:rPr>
          <w:rStyle w:val="Code"/>
        </w:rPr>
        <w:t>&lt;g&gt;</w:t>
      </w:r>
    </w:p>
    <w:p w14:paraId="62622EA4" w14:textId="77777777">
      <w:pPr>
        <w:pStyle w:val="Lista2"/>
      </w:pPr>
      <w:r>
        <w:t>this encoding is mandatory for arbitrary placeholders that consist of more than one character and optional but recommended for all other placeholders</w:t>
      </w:r>
    </w:p>
    <w:p w14:paraId="6BA44236" w14:textId="77777777">
      <w:pPr>
        <w:pStyle w:val="Lista2"/>
      </w:pPr>
      <w:r>
        <w:t xml:space="preserve">the </w:t>
      </w:r>
      <w:r>
        <w:rPr>
          <w:rStyle w:val="Code"/>
        </w:rPr>
        <w:t>&lt;g&gt;</w:t>
      </w:r>
      <w:r>
        <w:t xml:space="preserve"> element for peripheral graphemes can be supplemented with the following attributes</w:t>
      </w:r>
    </w:p>
    <w:p w14:paraId="178CFC65" w14:textId="77777777">
      <w:pPr>
        <w:pStyle w:val="Lista3"/>
      </w:pPr>
      <w:r>
        <w:t xml:space="preserve">optionally or as required, </w:t>
      </w:r>
      <w:r>
        <w:rPr>
          <w:rStyle w:val="Codeattribute"/>
        </w:rPr>
        <w:t>@type</w:t>
      </w:r>
      <w:r>
        <w:t xml:space="preserve"> to assign the grapheme to a functional class as per §</w:t>
      </w:r>
      <w:r>
        <w:fldChar w:fldCharType="begin"/>
      </w:r>
      <w:r>
        <w:instrText xml:space="preserve"> REF _Ref226017652 \r \h </w:instrText>
      </w:r>
      <w:r>
        <w:fldChar w:fldCharType="separate"/>
      </w:r>
      <w:r>
        <w:t>5.3.4.1</w:t>
      </w:r>
      <w:r>
        <w:fldChar w:fldCharType="end"/>
      </w:r>
    </w:p>
    <w:p w14:paraId="16BB5C07" w14:textId="77777777">
      <w:pPr>
        <w:pStyle w:val="Lista3"/>
      </w:pPr>
      <w:r>
        <w:t xml:space="preserve">optionally, </w:t>
      </w:r>
      <w:r>
        <w:rPr>
          <w:rStyle w:val="Codeattribute"/>
        </w:rPr>
        <w:t>@ref</w:t>
      </w:r>
      <w:r>
        <w:t xml:space="preserve"> to associate the grapheme with an item in our authority file for symbols as per §</w:t>
      </w:r>
      <w:r>
        <w:fldChar w:fldCharType="begin"/>
      </w:r>
      <w:r>
        <w:instrText xml:space="preserve"> REF _Ref226036269 \r \h </w:instrText>
      </w:r>
      <w:r>
        <w:fldChar w:fldCharType="separate"/>
      </w:r>
      <w:r>
        <w:t>5.3.4.2</w:t>
      </w:r>
      <w:r>
        <w:fldChar w:fldCharType="end"/>
      </w:r>
      <w:r>
        <w:t xml:space="preserve"> </w:t>
      </w:r>
    </w:p>
    <w:p w14:paraId="2CC627E6" w14:textId="77777777">
      <w:pPr>
        <w:pStyle w:val="Lista"/>
        <w:rPr>
          <w:lang w:eastAsia="en-US" w:bidi="ar-SA"/>
        </w:rPr>
      </w:pPr>
      <w:r>
        <w:t xml:space="preserve">in DHARMA practice, </w:t>
      </w:r>
      <w:r>
        <w:rPr>
          <w:rStyle w:val="Code"/>
        </w:rPr>
        <w:t>&lt;g&gt;</w:t>
      </w:r>
      <w:r>
        <w:t xml:space="preserve"> for symbol encoding shall always contain text (a transliteration placeholder) </w:t>
      </w:r>
    </w:p>
    <w:p w14:paraId="48F5749A" w14:textId="77777777">
      <w:pPr>
        <w:pStyle w:val="Lista2"/>
        <w:rPr>
          <w:lang w:eastAsia="en-US" w:bidi="ar-SA"/>
        </w:rPr>
      </w:pPr>
      <w:r>
        <w:rPr>
          <w:lang w:eastAsia="en-US" w:bidi="ar-SA"/>
        </w:rPr>
        <w:t xml:space="preserve">unlike the earlier versions of this Guide, which endorsed empty </w:t>
      </w:r>
      <w:r>
        <w:rPr>
          <w:rStyle w:val="Code"/>
        </w:rPr>
        <w:t>&lt;g/&gt;</w:t>
      </w:r>
      <w:r>
        <w:t xml:space="preserve"> elements for certain kinds of symbols</w:t>
      </w:r>
    </w:p>
    <w:p w14:paraId="0B870DD1" w14:textId="77777777">
      <w:pPr>
        <w:pStyle w:val="Cmsor4"/>
      </w:pPr>
      <w:bookmarkStart w:id="421" w:name="_Ref226017652"/>
      <w:bookmarkStart w:id="422" w:name="_Ref226031926"/>
      <w:r>
        <w:t xml:space="preserve">Encoding symbol </w:t>
      </w:r>
      <w:bookmarkEnd w:id="421"/>
      <w:r>
        <w:t>function</w:t>
      </w:r>
      <w:bookmarkEnd w:id="422"/>
    </w:p>
    <w:p w14:paraId="5729C48B" w14:textId="77777777">
      <w:pPr>
        <w:rPr>
          <w:lang w:eastAsia="en-US" w:bidi="ar-SA"/>
        </w:rPr>
      </w:pPr>
      <w:r>
        <w:rPr>
          <w:lang w:eastAsia="en-US" w:bidi="ar-SA"/>
        </w:rPr>
        <w:t xml:space="preserve">The attribute </w:t>
      </w:r>
      <w:r>
        <w:rPr>
          <w:rStyle w:val="Codeattribute"/>
        </w:rPr>
        <w:t>@type</w:t>
      </w:r>
      <w:r>
        <w:t xml:space="preserve"> on the </w:t>
      </w:r>
      <w:r>
        <w:rPr>
          <w:rStyle w:val="Code"/>
        </w:rPr>
        <w:t>&lt;g&gt;</w:t>
      </w:r>
      <w:r>
        <w:t xml:space="preserve"> element for peripheral graphemes formally associates the glyph with one of the basic functional classes introduced in §</w:t>
      </w:r>
      <w:r>
        <w:fldChar w:fldCharType="begin"/>
      </w:r>
      <w:r>
        <w:instrText xml:space="preserve"> REF _Ref226023506 \r \h </w:instrText>
      </w:r>
      <w:r>
        <w:fldChar w:fldCharType="separate"/>
      </w:r>
      <w:r>
        <w:t>5.3.2</w:t>
      </w:r>
      <w:r>
        <w:fldChar w:fldCharType="end"/>
      </w:r>
      <w:r>
        <w:t xml:space="preserve">. </w:t>
      </w:r>
      <w:r>
        <w:rPr>
          <w:lang w:eastAsia="en-US" w:bidi="ar-SA"/>
        </w:rPr>
        <w:t>It thus redundantly represents the same information as the choice of default placeholder, but does so in a rigorous machine-readable manner.</w:t>
      </w:r>
    </w:p>
    <w:p w14:paraId="7865FC7B" w14:textId="77777777">
      <w:pPr>
        <w:pStyle w:val="Lista"/>
        <w:rPr>
          <w:lang w:eastAsia="en-US" w:bidi="ar-SA"/>
        </w:rPr>
      </w:pPr>
      <w:r>
        <w:rPr>
          <w:lang w:eastAsia="en-US" w:bidi="ar-SA"/>
        </w:rPr>
        <w:t xml:space="preserve">the available values of </w:t>
      </w:r>
      <w:r>
        <w:rPr>
          <w:rStyle w:val="Codeattribute"/>
        </w:rPr>
        <w:t>@type</w:t>
      </w:r>
      <w:r>
        <w:t xml:space="preserve"> for symbol encoding are as follows</w:t>
      </w:r>
      <w:r>
        <w:rPr>
          <w:rStyle w:val="Lbjegyzet-hivatkozs"/>
        </w:rPr>
        <w:footnoteReference w:id="23"/>
      </w:r>
    </w:p>
    <w:p w14:paraId="7B9401C7" w14:textId="77777777">
      <w:pPr>
        <w:pStyle w:val="Lista2"/>
        <w:rPr>
          <w:lang w:eastAsia="en-US" w:bidi="ar-SA"/>
        </w:rPr>
      </w:pPr>
      <w:r>
        <w:rPr>
          <w:rStyle w:val="Codevalue"/>
        </w:rPr>
        <w:t>"ideogram"</w:t>
      </w:r>
      <w:r>
        <w:t xml:space="preserve"> for ideograms (other than numerals)</w:t>
      </w:r>
    </w:p>
    <w:p w14:paraId="78151C4F" w14:textId="77777777">
      <w:pPr>
        <w:pStyle w:val="Lista2"/>
        <w:rPr>
          <w:lang w:eastAsia="en-US" w:bidi="ar-SA"/>
        </w:rPr>
      </w:pPr>
      <w:r>
        <w:rPr>
          <w:rStyle w:val="Codevalue"/>
        </w:rPr>
        <w:t>"punctuation"</w:t>
      </w:r>
      <w:r>
        <w:t xml:space="preserve"> for punctuation marks</w:t>
      </w:r>
    </w:p>
    <w:p w14:paraId="5CEC0DFD" w14:textId="77777777">
      <w:pPr>
        <w:pStyle w:val="Lista2"/>
        <w:rPr>
          <w:lang w:eastAsia="en-US" w:bidi="ar-SA"/>
        </w:rPr>
      </w:pPr>
      <w:r>
        <w:rPr>
          <w:rStyle w:val="Codevalue"/>
        </w:rPr>
        <w:t>"connector"</w:t>
      </w:r>
      <w:r>
        <w:t xml:space="preserve"> for connectors</w:t>
      </w:r>
    </w:p>
    <w:p w14:paraId="66E19686" w14:textId="77777777">
      <w:pPr>
        <w:pStyle w:val="Lista2"/>
        <w:rPr>
          <w:lang w:eastAsia="en-US" w:bidi="ar-SA"/>
        </w:rPr>
      </w:pPr>
      <w:r>
        <w:rPr>
          <w:rStyle w:val="Codevalue"/>
        </w:rPr>
        <w:t>"symbol"</w:t>
      </w:r>
      <w:r>
        <w:t xml:space="preserve"> for abstract symbols, i.e. anything not explicitly assigned to any of the above classes</w:t>
      </w:r>
    </w:p>
    <w:p w14:paraId="775876EE" w14:textId="77777777">
      <w:pPr>
        <w:pStyle w:val="Lista3"/>
        <w:rPr>
          <w:lang w:eastAsia="en-US" w:bidi="ar-SA"/>
        </w:rPr>
      </w:pPr>
      <w:r>
        <w:rPr>
          <w:lang w:eastAsia="en-US" w:bidi="ar-SA"/>
        </w:rPr>
        <w:t xml:space="preserve">this is the default value of </w:t>
      </w:r>
      <w:r>
        <w:rPr>
          <w:rStyle w:val="Codeattribute"/>
        </w:rPr>
        <w:t>@type</w:t>
      </w:r>
      <w:r>
        <w:t xml:space="preserve">, meaning that if the attribute is not present in the code, the </w:t>
      </w:r>
      <w:r>
        <w:rPr>
          <w:rStyle w:val="Code"/>
        </w:rPr>
        <w:t>&lt;g&gt;</w:t>
      </w:r>
      <w:r>
        <w:t xml:space="preserve"> element will automatically be understood to have this type</w:t>
      </w:r>
    </w:p>
    <w:p w14:paraId="17D78A04" w14:textId="77777777">
      <w:pPr>
        <w:pStyle w:val="Lista3"/>
        <w:rPr>
          <w:lang w:eastAsia="en-US" w:bidi="ar-SA"/>
        </w:rPr>
      </w:pPr>
      <w:r>
        <w:t xml:space="preserve">for this reason, </w:t>
      </w:r>
      <w:r>
        <w:rPr>
          <w:rStyle w:val="Codeattribute"/>
        </w:rPr>
        <w:t>@type</w:t>
      </w:r>
      <w:r>
        <w:t xml:space="preserve"> should always be explicitly encoded in conjunction with default placeholders other than * (i.e. the default placeholders for any of the other three classes), because omitting </w:t>
      </w:r>
      <w:r>
        <w:rPr>
          <w:rStyle w:val="Codeattribute"/>
        </w:rPr>
        <w:t>@type</w:t>
      </w:r>
      <w:r>
        <w:t xml:space="preserve"> would then result in a contradictory classification</w:t>
      </w:r>
    </w:p>
    <w:p w14:paraId="42D6712D" w14:textId="77777777">
      <w:pPr>
        <w:pStyle w:val="Cmsor4"/>
      </w:pPr>
      <w:bookmarkStart w:id="423" w:name="_Ref226036269"/>
      <w:bookmarkStart w:id="424" w:name="_Ref228178759"/>
      <w:bookmarkStart w:id="425" w:name="_Ref43980440"/>
      <w:bookmarkStart w:id="426" w:name="_Ref44577917"/>
      <w:bookmarkStart w:id="427" w:name="_Ref44577928"/>
      <w:bookmarkStart w:id="428" w:name="_Ref44577934"/>
      <w:bookmarkStart w:id="429" w:name="_Ref44577939"/>
      <w:r>
        <w:t>Encoding symbol identification</w:t>
      </w:r>
      <w:bookmarkEnd w:id="423"/>
      <w:r>
        <w:t xml:space="preserve"> through the authority file</w:t>
      </w:r>
      <w:bookmarkEnd w:id="424"/>
    </w:p>
    <w:p w14:paraId="37C0AE41" w14:textId="77777777">
      <w:r>
        <w:rPr>
          <w:lang w:eastAsia="en-US" w:bidi="ar-SA"/>
        </w:rPr>
        <w:t xml:space="preserve">The attribute </w:t>
      </w:r>
      <w:r>
        <w:rPr>
          <w:rStyle w:val="Codeattribute"/>
        </w:rPr>
        <w:t>@ref</w:t>
      </w:r>
      <w:r>
        <w:t xml:space="preserve"> on the </w:t>
      </w:r>
      <w:r>
        <w:rPr>
          <w:rStyle w:val="Code"/>
        </w:rPr>
        <w:t>&lt;g&gt;</w:t>
      </w:r>
      <w:r>
        <w:t xml:space="preserve"> element for peripheral graphemes formally associates the glyph with an entry in our authority file for Glyph Taxonomy.</w:t>
      </w:r>
      <w:r>
        <w:rPr>
          <w:rStyle w:val="Lbjegyzet-hivatkozs"/>
        </w:rPr>
        <w:footnoteReference w:id="24"/>
      </w:r>
      <w:r>
        <w:t xml:space="preserve"> The contents and use of the of the Taxonomy are explained in the authority file itself and are only briefly summarised here.</w:t>
      </w:r>
    </w:p>
    <w:p w14:paraId="75E9C475" w14:textId="77777777">
      <w:pPr>
        <w:pStyle w:val="Normlbehzs"/>
      </w:pPr>
      <w:r>
        <w:t xml:space="preserve">The authority file is a classified list of </w:t>
      </w:r>
      <w:r>
        <w:rPr>
          <w:b/>
          <w:bCs/>
        </w:rPr>
        <w:t>symbol tokens</w:t>
      </w:r>
      <w:r>
        <w:t>, which are short descriptive labels identifying various kinds of symbols. Within the authority file, tokens are divided at the top level into an etic and an emic class. The etic class consists of tokens that describe the graphic appearance of symbols in simple and objective terms. This class is structured hierarchically in the manner of a taxonomy, with a small number of “genus” tokens for basic classes such as vertical bars, horizontal dashes, bullets, etc., and a larger number of “species” and “subspecies” tokens for more or less specific varieties of these classes. The emic class includes tokens that identify a language and specify a source-language term for a particular symbol that has a name in a given writing tradition. The language tags in the emic tokens correspond to the genus names of the etic class, while the symbol terms correspond to species names.</w:t>
      </w:r>
    </w:p>
    <w:p w14:paraId="2422BC55" w14:textId="77777777">
      <w:pPr>
        <w:pStyle w:val="Normlbehzs"/>
      </w:pPr>
      <w:r>
        <w:t>For each token, the authority file includes a “name” and a “description.” Names are either very concise indications of the symbol’s appearance, or terms designating the symbol’s meaning. Descriptions contain more detailed, but still concise, information about the symbol. Entries also optionally include a “mapping,” which is a Unicode character that is in some way similar to and representative of the original symbol. These details are involved in the generation of display in a DHARMA environment (§</w:t>
      </w:r>
      <w:r>
        <w:fldChar w:fldCharType="begin"/>
      </w:r>
      <w:r>
        <w:instrText xml:space="preserve"> REF _Ref228179055 \r \h </w:instrText>
      </w:r>
      <w:r>
        <w:fldChar w:fldCharType="separate"/>
      </w:r>
      <w:r>
        <w:t>5.3.4.3</w:t>
      </w:r>
      <w:r>
        <w:fldChar w:fldCharType="end"/>
      </w:r>
      <w:r>
        <w:t>).</w:t>
      </w:r>
    </w:p>
    <w:p w14:paraId="639FDE38" w14:textId="77777777">
      <w:pPr>
        <w:pStyle w:val="Lista"/>
        <w:rPr>
          <w:lang w:eastAsia="en-US" w:bidi="ar-SA"/>
        </w:rPr>
      </w:pPr>
      <w:r>
        <w:rPr>
          <w:lang w:eastAsia="en-US" w:bidi="ar-SA"/>
        </w:rPr>
        <w:lastRenderedPageBreak/>
        <w:t xml:space="preserve">the value of </w:t>
      </w:r>
      <w:r>
        <w:rPr>
          <w:rStyle w:val="Codeattribute"/>
        </w:rPr>
        <w:t>@ref</w:t>
      </w:r>
      <w:r>
        <w:t xml:space="preserve"> on the </w:t>
      </w:r>
      <w:r>
        <w:rPr>
          <w:rStyle w:val="Code"/>
        </w:rPr>
        <w:t>&lt;g&gt;</w:t>
      </w:r>
      <w:r>
        <w:t xml:space="preserve"> element representing a symbol must begin with the abbreviation </w:t>
      </w:r>
      <w:r>
        <w:rPr>
          <w:rStyle w:val="Codevalue"/>
        </w:rPr>
        <w:t>"sym:"</w:t>
      </w:r>
      <w:r>
        <w:t>, indicating that it refers to our Glyph Taxonomy authority file, followed by a symbol token, e.g.</w:t>
      </w:r>
    </w:p>
    <w:p w14:paraId="071D0647" w14:textId="77777777">
      <w:pPr>
        <w:pStyle w:val="Lista2"/>
        <w:rPr>
          <w:lang w:eastAsia="en-US" w:bidi="ar-SA"/>
        </w:rPr>
      </w:pPr>
      <w:r>
        <w:rPr>
          <w:lang w:eastAsia="en-US" w:bidi="ar-SA"/>
        </w:rPr>
        <w:t xml:space="preserve">with emic tokens, </w:t>
      </w:r>
      <w:r>
        <w:rPr>
          <w:rStyle w:val="Codevalue"/>
        </w:rPr>
        <w:t>"sym:tam-kalancu"</w:t>
      </w:r>
      <w:r>
        <w:t xml:space="preserve"> to refer to the sign called </w:t>
      </w:r>
      <w:r>
        <w:rPr>
          <w:rStyle w:val="Foreign"/>
        </w:rPr>
        <w:t>kaḻañcu</w:t>
      </w:r>
      <w:r>
        <w:t xml:space="preserve"> in the Tamil writing tradition</w:t>
      </w:r>
    </w:p>
    <w:p w14:paraId="7F8695E6" w14:textId="77777777">
      <w:pPr>
        <w:pStyle w:val="Lista2"/>
        <w:rPr>
          <w:lang w:eastAsia="en-US" w:bidi="ar-SA"/>
        </w:rPr>
      </w:pPr>
      <w:r>
        <w:t xml:space="preserve">with etic tokens, </w:t>
      </w:r>
      <w:r>
        <w:rPr>
          <w:rStyle w:val="Codevalue"/>
        </w:rPr>
        <w:t>"sym:bullet-double"</w:t>
      </w:r>
      <w:r>
        <w:t xml:space="preserve"> to refer to a sign in the shape of a double bullet (an entity of the “bullet” genus and within that to the “double” species)</w:t>
      </w:r>
    </w:p>
    <w:p w14:paraId="69319D07" w14:textId="77777777">
      <w:pPr>
        <w:pStyle w:val="Lista"/>
        <w:rPr>
          <w:lang w:eastAsia="en-US" w:bidi="ar-SA"/>
        </w:rPr>
      </w:pPr>
      <w:r>
        <w:rPr>
          <w:lang w:eastAsia="en-US" w:bidi="ar-SA"/>
        </w:rPr>
        <w:t xml:space="preserve">when </w:t>
      </w:r>
      <w:r>
        <w:rPr>
          <w:rStyle w:val="Codeattribute"/>
        </w:rPr>
        <w:t>@ref</w:t>
      </w:r>
      <w:r>
        <w:t xml:space="preserve"> is not present on a symbol encoded with </w:t>
      </w:r>
      <w:r>
        <w:rPr>
          <w:rStyle w:val="Code"/>
        </w:rPr>
        <w:t>&lt;g&gt;</w:t>
      </w:r>
      <w:r>
        <w:t>¸ the symbol will by default be understood to be unclassified, meaning that the encoder has chosen not to associate this peripheral grapheme with the Taxonomy, for example</w:t>
      </w:r>
    </w:p>
    <w:p w14:paraId="2F61F4C7" w14:textId="77777777">
      <w:pPr>
        <w:pStyle w:val="Lista2"/>
        <w:rPr>
          <w:lang w:eastAsia="en-US" w:bidi="ar-SA"/>
        </w:rPr>
      </w:pPr>
      <w:r>
        <w:rPr>
          <w:lang w:eastAsia="en-US" w:bidi="ar-SA"/>
        </w:rPr>
        <w:t>because the symbol is too unclear to assert any shape for it</w:t>
      </w:r>
    </w:p>
    <w:p w14:paraId="5BF84AF6" w14:textId="77777777">
      <w:pPr>
        <w:pStyle w:val="Lista2"/>
        <w:rPr>
          <w:lang w:eastAsia="en-US" w:bidi="ar-SA"/>
        </w:rPr>
      </w:pPr>
      <w:r>
        <w:rPr>
          <w:lang w:eastAsia="en-US" w:bidi="ar-SA"/>
        </w:rPr>
        <w:t>because no visual documentation is available and a previous editor did not describe the symbol</w:t>
      </w:r>
    </w:p>
    <w:p w14:paraId="5F60A2F2" w14:textId="77777777">
      <w:pPr>
        <w:pStyle w:val="Lista2"/>
        <w:rPr>
          <w:lang w:eastAsia="en-US" w:bidi="ar-SA"/>
        </w:rPr>
      </w:pPr>
      <w:r>
        <w:rPr>
          <w:lang w:eastAsia="en-US" w:bidi="ar-SA"/>
        </w:rPr>
        <w:t>because the shape of the symbol is not deemed relevant</w:t>
      </w:r>
    </w:p>
    <w:p w14:paraId="1958071E" w14:textId="77777777">
      <w:pPr>
        <w:pStyle w:val="Cmsor4"/>
      </w:pPr>
      <w:bookmarkStart w:id="430" w:name="_Ref228179055"/>
      <w:r>
        <w:t>Rendering symbols for display</w:t>
      </w:r>
      <w:bookmarkEnd w:id="430"/>
    </w:p>
    <w:p w14:paraId="6115BE46" w14:textId="77777777">
      <w:pPr>
        <w:rPr>
          <w:lang w:eastAsia="en-US" w:bidi="ar-SA"/>
        </w:rPr>
      </w:pPr>
      <w:r>
        <w:rPr>
          <w:lang w:eastAsia="en-US" w:bidi="ar-SA"/>
        </w:rPr>
        <w:t xml:space="preserve">When rendered for display in the DHARMA ecosystem, encoded symbols will appear as described below. Arbitrary placeholders used without a </w:t>
      </w:r>
      <w:r>
        <w:rPr>
          <w:rStyle w:val="Code"/>
        </w:rPr>
        <w:t>&lt;g&gt;</w:t>
      </w:r>
      <w:r>
        <w:t xml:space="preserve"> wrapper will of course be shown as plain text. The examples in §</w:t>
      </w:r>
      <w:r>
        <w:fldChar w:fldCharType="begin"/>
      </w:r>
      <w:r>
        <w:instrText xml:space="preserve"> REF _Ref228180176 \r \h </w:instrText>
      </w:r>
      <w:r>
        <w:fldChar w:fldCharType="separate"/>
      </w:r>
      <w:r>
        <w:t>5.3.4.4</w:t>
      </w:r>
      <w:r>
        <w:fldChar w:fldCharType="end"/>
      </w:r>
      <w:r>
        <w:t xml:space="preserve"> also show the display rendition of encoded symbols.</w:t>
      </w:r>
    </w:p>
    <w:p w14:paraId="1A315BFF" w14:textId="77777777">
      <w:pPr>
        <w:pStyle w:val="Lista"/>
        <w:rPr>
          <w:lang w:eastAsia="en-US" w:bidi="ar-SA"/>
        </w:rPr>
      </w:pPr>
      <w:r>
        <w:rPr>
          <w:lang w:eastAsia="en-US" w:bidi="ar-SA"/>
        </w:rPr>
        <w:t>the actual text representing the symbol will be as follows:</w:t>
      </w:r>
    </w:p>
    <w:p w14:paraId="72A313EF" w14:textId="77777777">
      <w:pPr>
        <w:pStyle w:val="Lista2"/>
        <w:rPr>
          <w:lang w:eastAsia="en-US" w:bidi="ar-SA"/>
        </w:rPr>
      </w:pPr>
      <w:r>
        <w:rPr>
          <w:lang w:eastAsia="en-US" w:bidi="ar-SA"/>
        </w:rPr>
        <w:t>by default, the mapping assigned to the token in the authority file (§</w:t>
      </w:r>
      <w:r>
        <w:rPr>
          <w:lang w:eastAsia="en-US" w:bidi="ar-SA"/>
        </w:rPr>
        <w:fldChar w:fldCharType="begin"/>
      </w:r>
      <w:r>
        <w:rPr>
          <w:lang w:eastAsia="en-US" w:bidi="ar-SA"/>
        </w:rPr>
        <w:instrText xml:space="preserve"> REF _Ref228178759 \r \h </w:instrText>
      </w:r>
      <w:r>
        <w:rPr>
          <w:lang w:eastAsia="en-US" w:bidi="ar-SA"/>
        </w:rPr>
      </w:r>
      <w:r>
        <w:rPr>
          <w:lang w:eastAsia="en-US" w:bidi="ar-SA"/>
        </w:rPr>
        <w:fldChar w:fldCharType="separate"/>
      </w:r>
      <w:r>
        <w:rPr>
          <w:lang w:eastAsia="en-US" w:bidi="ar-SA"/>
        </w:rPr>
        <w:t>5.3.4.2</w:t>
      </w:r>
      <w:r>
        <w:rPr>
          <w:lang w:eastAsia="en-US" w:bidi="ar-SA"/>
        </w:rPr>
        <w:fldChar w:fldCharType="end"/>
      </w:r>
      <w:r>
        <w:rPr>
          <w:lang w:eastAsia="en-US" w:bidi="ar-SA"/>
        </w:rPr>
        <w:t>) will be displayed</w:t>
      </w:r>
    </w:p>
    <w:p w14:paraId="7540B0E8"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 which has the attribute </w:t>
      </w:r>
      <w:r>
        <w:rPr>
          <w:rStyle w:val="Codeattribute"/>
        </w:rPr>
        <w:t>@ref</w:t>
      </w:r>
      <w:r>
        <w:t>, which points to a valid token in the authority file, which has a “mapping”</w:t>
      </w:r>
    </w:p>
    <w:p w14:paraId="4DCFA280" w14:textId="77777777">
      <w:pPr>
        <w:pStyle w:val="Lista3"/>
        <w:rPr>
          <w:lang w:eastAsia="en-US" w:bidi="ar-SA"/>
        </w:rPr>
      </w:pPr>
      <w:r>
        <w:t>by design, mapping is included in the authority file only for a limited range of symbols that can be satisfactorily mapped to reasonably similar-looking digital characters with reasonably broad font support</w:t>
      </w:r>
    </w:p>
    <w:p w14:paraId="3199E9D5" w14:textId="77777777">
      <w:pPr>
        <w:pStyle w:val="Lista2"/>
        <w:rPr>
          <w:lang w:eastAsia="en-US" w:bidi="ar-SA"/>
        </w:rPr>
      </w:pPr>
      <w:r>
        <w:rPr>
          <w:lang w:eastAsia="en-US" w:bidi="ar-SA"/>
        </w:rPr>
        <w:t>if no mapping is available for a symbol, then the name assigned to the token in the authority file (§</w:t>
      </w:r>
      <w:r>
        <w:rPr>
          <w:lang w:eastAsia="en-US" w:bidi="ar-SA"/>
        </w:rPr>
        <w:fldChar w:fldCharType="begin"/>
      </w:r>
      <w:r>
        <w:rPr>
          <w:lang w:eastAsia="en-US" w:bidi="ar-SA"/>
        </w:rPr>
        <w:instrText xml:space="preserve"> REF _Ref228178759 \r \h </w:instrText>
      </w:r>
      <w:r>
        <w:rPr>
          <w:lang w:eastAsia="en-US" w:bidi="ar-SA"/>
        </w:rPr>
      </w:r>
      <w:r>
        <w:rPr>
          <w:lang w:eastAsia="en-US" w:bidi="ar-SA"/>
        </w:rPr>
        <w:fldChar w:fldCharType="separate"/>
      </w:r>
      <w:r>
        <w:rPr>
          <w:lang w:eastAsia="en-US" w:bidi="ar-SA"/>
        </w:rPr>
        <w:t>5.3.4.2</w:t>
      </w:r>
      <w:r>
        <w:rPr>
          <w:lang w:eastAsia="en-US" w:bidi="ar-SA"/>
        </w:rPr>
        <w:fldChar w:fldCharType="end"/>
      </w:r>
      <w:r>
        <w:rPr>
          <w:lang w:eastAsia="en-US" w:bidi="ar-SA"/>
        </w:rPr>
        <w:t>) will be displayed</w:t>
      </w:r>
    </w:p>
    <w:p w14:paraId="78AC6857"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 which has the attribute </w:t>
      </w:r>
      <w:r>
        <w:rPr>
          <w:rStyle w:val="Codeattribute"/>
        </w:rPr>
        <w:t>@ref</w:t>
      </w:r>
      <w:r>
        <w:t>, which points to a valid token in the authority file</w:t>
      </w:r>
    </w:p>
    <w:p w14:paraId="092BDB41" w14:textId="77777777">
      <w:pPr>
        <w:pStyle w:val="Lista3"/>
        <w:rPr>
          <w:lang w:eastAsia="en-US" w:bidi="ar-SA"/>
        </w:rPr>
      </w:pPr>
      <w:r>
        <w:t>all tokens in the authority file have a name</w:t>
      </w:r>
    </w:p>
    <w:p w14:paraId="7286F3A6" w14:textId="77777777">
      <w:pPr>
        <w:pStyle w:val="Lista3"/>
        <w:rPr>
          <w:lang w:eastAsia="en-US" w:bidi="ar-SA"/>
        </w:rPr>
      </w:pPr>
      <w:r>
        <w:t>the objective of this display is to indicate the precise type of the symbol to the end user when no mapping has been assigned to a token</w:t>
      </w:r>
    </w:p>
    <w:p w14:paraId="3E3E197F" w14:textId="77777777">
      <w:pPr>
        <w:pStyle w:val="Lista2"/>
        <w:rPr>
          <w:lang w:eastAsia="en-US" w:bidi="ar-SA"/>
        </w:rPr>
      </w:pPr>
      <w:r>
        <w:rPr>
          <w:lang w:eastAsia="en-US" w:bidi="ar-SA"/>
        </w:rPr>
        <w:t xml:space="preserve">if neither a mapping nor a name are available, then the content of the </w:t>
      </w:r>
      <w:r>
        <w:rPr>
          <w:rStyle w:val="Code"/>
        </w:rPr>
        <w:t>&lt;g&gt;</w:t>
      </w:r>
      <w:r>
        <w:t xml:space="preserve"> element will be displayed</w:t>
      </w:r>
    </w:p>
    <w:p w14:paraId="6F64F014" w14:textId="77777777">
      <w:pPr>
        <w:pStyle w:val="Lista3"/>
        <w:rPr>
          <w:lang w:eastAsia="en-US" w:bidi="ar-SA"/>
        </w:rPr>
      </w:pPr>
      <w:r>
        <w:rPr>
          <w:lang w:eastAsia="en-US" w:bidi="ar-SA"/>
        </w:rPr>
        <w:t xml:space="preserve">this is possible whenever the symbol is encoded with a </w:t>
      </w:r>
      <w:r>
        <w:rPr>
          <w:rStyle w:val="Code"/>
        </w:rPr>
        <w:t>&lt;g&gt;</w:t>
      </w:r>
      <w:r>
        <w:t xml:space="preserve"> element</w:t>
      </w:r>
    </w:p>
    <w:p w14:paraId="0E5B3265" w14:textId="77777777">
      <w:pPr>
        <w:pStyle w:val="Lista3"/>
        <w:rPr>
          <w:lang w:eastAsia="en-US" w:bidi="ar-SA"/>
        </w:rPr>
      </w:pPr>
      <w:r>
        <w:t>the objective of this display is primarily to show an arbitrary placeholder (§</w:t>
      </w:r>
      <w:r>
        <w:fldChar w:fldCharType="begin"/>
      </w:r>
      <w:r>
        <w:instrText xml:space="preserve"> REF _Ref225955892 \r \h </w:instrText>
      </w:r>
      <w:r>
        <w:fldChar w:fldCharType="separate"/>
      </w:r>
      <w:r>
        <w:t>5.3.3.2</w:t>
      </w:r>
      <w:r>
        <w:fldChar w:fldCharType="end"/>
      </w:r>
      <w:r>
        <w:t>) used in transliteration, but it is also a fallback display option for default placeholders</w:t>
      </w:r>
      <w:r>
        <w:rPr>
          <w:lang w:eastAsia="en-US" w:bidi="ar-SA"/>
        </w:rPr>
        <w:t xml:space="preserve"> encoded with </w:t>
      </w:r>
      <w:r>
        <w:rPr>
          <w:rStyle w:val="Code"/>
        </w:rPr>
        <w:t>&lt;g&gt;</w:t>
      </w:r>
      <w:r>
        <w:t xml:space="preserve"> but not associated with a valid token (because </w:t>
      </w:r>
      <w:r>
        <w:rPr>
          <w:rStyle w:val="Codeattribute"/>
        </w:rPr>
        <w:t>@ref</w:t>
      </w:r>
      <w:r>
        <w:t xml:space="preserve"> was not added or its value is not a valid token)</w:t>
      </w:r>
    </w:p>
    <w:p w14:paraId="5BA8FB5F" w14:textId="77777777">
      <w:pPr>
        <w:pStyle w:val="Lista"/>
        <w:rPr>
          <w:lang w:eastAsia="en-US" w:bidi="ar-SA"/>
        </w:rPr>
      </w:pPr>
      <w:r>
        <w:rPr>
          <w:lang w:eastAsia="en-US" w:bidi="ar-SA"/>
        </w:rPr>
        <w:t>the above text will be highlighted with a different font colour (purple)</w:t>
      </w:r>
    </w:p>
    <w:p w14:paraId="7CC04B91" w14:textId="77777777">
      <w:pPr>
        <w:pStyle w:val="Lista2"/>
        <w:rPr>
          <w:lang w:eastAsia="en-US" w:bidi="ar-SA"/>
        </w:rPr>
      </w:pPr>
      <w:r>
        <w:rPr>
          <w:lang w:eastAsia="en-US" w:bidi="ar-SA"/>
        </w:rPr>
        <w:t>when the text displayed is the name assigned to a token, then this will also be surrounded with angle brackets and a cartouche, to disambiguate the name from text present in the source and to allow retaining this disambiguation when the rendered text is copied and pasted into another working environment</w:t>
      </w:r>
    </w:p>
    <w:p w14:paraId="781FF4A1" w14:textId="77777777">
      <w:pPr>
        <w:pStyle w:val="Lista"/>
        <w:rPr>
          <w:lang w:eastAsia="en-US" w:bidi="ar-SA"/>
        </w:rPr>
      </w:pPr>
      <w:r>
        <w:rPr>
          <w:lang w:eastAsia="en-US" w:bidi="ar-SA"/>
        </w:rPr>
        <w:t>when the user moves their mouse over the display rendition of an encoded symbol, the following additional information will be shown</w:t>
      </w:r>
    </w:p>
    <w:p w14:paraId="7CF8C789" w14:textId="77777777">
      <w:pPr>
        <w:pStyle w:val="Lista2"/>
        <w:rPr>
          <w:lang w:eastAsia="en-US" w:bidi="ar-SA"/>
        </w:rPr>
      </w:pPr>
      <w:r>
        <w:rPr>
          <w:lang w:eastAsia="en-US" w:bidi="ar-SA"/>
        </w:rPr>
        <w:t>the functional class of the symbol (§</w:t>
      </w:r>
      <w:r>
        <w:rPr>
          <w:lang w:eastAsia="en-US" w:bidi="ar-SA"/>
        </w:rPr>
        <w:fldChar w:fldCharType="begin"/>
      </w:r>
      <w:r>
        <w:rPr>
          <w:lang w:eastAsia="en-US" w:bidi="ar-SA"/>
        </w:rPr>
        <w:instrText xml:space="preserve"> REF _Ref226023506 \r \h </w:instrText>
      </w:r>
      <w:r>
        <w:rPr>
          <w:lang w:eastAsia="en-US" w:bidi="ar-SA"/>
        </w:rPr>
      </w:r>
      <w:r>
        <w:rPr>
          <w:lang w:eastAsia="en-US" w:bidi="ar-SA"/>
        </w:rPr>
        <w:fldChar w:fldCharType="separate"/>
      </w:r>
      <w:r>
        <w:rPr>
          <w:lang w:eastAsia="en-US" w:bidi="ar-SA"/>
        </w:rPr>
        <w:t>5.3.2</w:t>
      </w:r>
      <w:r>
        <w:rPr>
          <w:lang w:eastAsia="en-US" w:bidi="ar-SA"/>
        </w:rPr>
        <w:fldChar w:fldCharType="end"/>
      </w:r>
      <w:r>
        <w:rPr>
          <w:lang w:eastAsia="en-US" w:bidi="ar-SA"/>
        </w:rPr>
        <w:t xml:space="preserve">) if encoded with </w:t>
      </w:r>
      <w:r>
        <w:rPr>
          <w:rStyle w:val="Codeattribute"/>
        </w:rPr>
        <w:t>@type</w:t>
      </w:r>
    </w:p>
    <w:p w14:paraId="6F0BC721" w14:textId="77777777">
      <w:pPr>
        <w:pStyle w:val="Lista2"/>
        <w:rPr>
          <w:lang w:eastAsia="en-US" w:bidi="ar-SA"/>
        </w:rPr>
      </w:pPr>
      <w:r>
        <w:t xml:space="preserve">the name of the symbol if a valid token is encoded with </w:t>
      </w:r>
      <w:r>
        <w:rPr>
          <w:rStyle w:val="Codeattribute"/>
        </w:rPr>
        <w:t>@ref</w:t>
      </w:r>
    </w:p>
    <w:p w14:paraId="31E340A3" w14:textId="77777777">
      <w:pPr>
        <w:pStyle w:val="Lista2"/>
        <w:rPr>
          <w:lang w:eastAsia="en-US" w:bidi="ar-SA"/>
        </w:rPr>
      </w:pPr>
      <w:r>
        <w:t xml:space="preserve">the description of the symbol if a valid token is encoded with </w:t>
      </w:r>
      <w:r>
        <w:rPr>
          <w:rStyle w:val="Codeattribute"/>
        </w:rPr>
        <w:t>@ref</w:t>
      </w:r>
    </w:p>
    <w:p w14:paraId="76338C98" w14:textId="77777777">
      <w:pPr>
        <w:pStyle w:val="Cmsor4"/>
      </w:pPr>
      <w:bookmarkStart w:id="431" w:name="_Ref228180176"/>
      <w:r>
        <w:t>Examples of symbol encoding</w:t>
      </w:r>
      <w:bookmarkEnd w:id="431"/>
    </w:p>
    <w:p w14:paraId="18CB88C7" w14:textId="331C6AD7">
      <w:bookmarkStart w:id="432" w:name="_ocw59j4fd9ai" w:colFirst="0" w:colLast="0"/>
      <w:bookmarkStart w:id="433" w:name="_n0tb9t590fso" w:colFirst="0" w:colLast="0"/>
      <w:bookmarkEnd w:id="425"/>
      <w:bookmarkEnd w:id="426"/>
      <w:bookmarkEnd w:id="427"/>
      <w:bookmarkEnd w:id="428"/>
      <w:bookmarkEnd w:id="429"/>
      <w:bookmarkEnd w:id="432"/>
      <w:bookmarkEnd w:id="433"/>
      <w:r>
        <w:t>The Exhibits in this section provide examples of symbols transliterated with default placeholders and encoded for function and identification.</w:t>
      </w:r>
    </w:p>
    <w:tbl>
      <w:tblPr>
        <w:tblStyle w:val="CodeSampleTable"/>
        <w:tblW w:w="5000" w:type="pct"/>
        <w:tblLook w:val="04A0" w:firstRow="1" w:lastRow="0" w:firstColumn="1" w:lastColumn="0" w:noHBand="0" w:noVBand="1"/>
      </w:tblPr>
      <w:tblGrid>
        <w:gridCol w:w="9628"/>
      </w:tblGrid>
      <w:tr w14:paraId="7EFA746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34AFDE1" w14:textId="77777777">
            <w:pPr>
              <w:pStyle w:val="Kpalrs"/>
              <w:keepLines/>
            </w:pPr>
            <w:r>
              <w:lastRenderedPageBreak/>
              <w:t xml:space="preserve">Exhibit </w:t>
            </w:r>
            <w:fldSimple w:instr=" STYLEREF 2 \s ">
              <w:r>
                <w:rPr>
                  <w:noProof/>
                </w:rPr>
                <w:t>5.3</w:t>
              </w:r>
            </w:fldSimple>
            <w:r>
              <w:t>.</w:t>
            </w:r>
            <w:fldSimple w:instr=" SEQ Exhibit \* ALPHABETIC \s 2 ">
              <w:r>
                <w:rPr>
                  <w:noProof/>
                </w:rPr>
                <w:t>B</w:t>
              </w:r>
            </w:fldSimple>
            <w:r>
              <w:t>: encoding ideograms</w:t>
            </w:r>
          </w:p>
        </w:tc>
      </w:tr>
      <w:tr w14:paraId="7ADC240A" w14:textId="77777777">
        <w:tc>
          <w:tcPr>
            <w:tcW w:w="5000" w:type="pct"/>
            <w:vAlign w:val="center"/>
          </w:tcPr>
          <w:p w14:paraId="69519C0A" w14:textId="77777777">
            <w:pPr>
              <w:pStyle w:val="Image"/>
              <w:keepLines/>
              <w:rPr>
                <w:rStyle w:val="Code"/>
              </w:rPr>
            </w:pPr>
            <w:r>
              <w:drawing>
                <wp:inline distT="0" distB="0" distL="0" distR="0" wp14:anchorId="1820A573" wp14:editId="3777E5CC">
                  <wp:extent cx="968400" cy="720000"/>
                  <wp:effectExtent l="0" t="0" r="3175" b="4445"/>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68400" cy="720000"/>
                          </a:xfrm>
                          <a:prstGeom prst="rect">
                            <a:avLst/>
                          </a:prstGeom>
                          <a:noFill/>
                          <a:ln>
                            <a:noFill/>
                          </a:ln>
                        </pic:spPr>
                      </pic:pic>
                    </a:graphicData>
                  </a:graphic>
                </wp:inline>
              </w:drawing>
            </w:r>
          </w:p>
        </w:tc>
      </w:tr>
      <w:tr w14:paraId="6F1EF16A" w14:textId="77777777">
        <w:tc>
          <w:tcPr>
            <w:tcW w:w="5000" w:type="pct"/>
          </w:tcPr>
          <w:p w14:paraId="6A5F8FDD" w14:textId="77777777">
            <w:pPr>
              <w:pStyle w:val="CodeParagraph"/>
              <w:keepNext/>
              <w:keepLines/>
            </w:pPr>
            <w:r>
              <w:rPr>
                <w:rStyle w:val="Code"/>
              </w:rPr>
              <w:t xml:space="preserve">&lt;g </w:t>
            </w:r>
            <w:r>
              <w:rPr>
                <w:rStyle w:val="Codeattribute"/>
              </w:rPr>
              <w:t>type=</w:t>
            </w:r>
            <w:r>
              <w:rPr>
                <w:rStyle w:val="Codevalue"/>
              </w:rPr>
              <w:t xml:space="preserve">"ideogram" </w:t>
            </w:r>
            <w:r>
              <w:rPr>
                <w:rStyle w:val="Codeattribute"/>
              </w:rPr>
              <w:t>ref=</w:t>
            </w:r>
            <w:r>
              <w:rPr>
                <w:rStyle w:val="Codevalue"/>
              </w:rPr>
              <w:t>"sym:tam-varusam"</w:t>
            </w:r>
            <w:r>
              <w:rPr>
                <w:rStyle w:val="Code"/>
              </w:rPr>
              <w:t>&gt;</w:t>
            </w:r>
            <w:r>
              <w:rPr>
                <w:rStyle w:val="Codetext"/>
              </w:rPr>
              <w:t>@</w:t>
            </w:r>
            <w:r>
              <w:rPr>
                <w:rStyle w:val="Code"/>
              </w:rPr>
              <w:t>&lt;/g&gt;</w:t>
            </w:r>
          </w:p>
        </w:tc>
      </w:tr>
      <w:tr w14:paraId="24AC87F7" w14:textId="77777777">
        <w:tc>
          <w:tcPr>
            <w:tcW w:w="5000" w:type="pct"/>
          </w:tcPr>
          <w:p w14:paraId="11207170" w14:textId="77777777">
            <w:pPr>
              <w:pStyle w:val="TableNote"/>
            </w:pPr>
            <w:r>
              <w:t xml:space="preserve">this will appear in display as </w:t>
            </w:r>
            <w:r>
              <w:rPr>
                <w:rStyle w:val="ForeignTamilScript"/>
                <w:cs/>
                <w:lang w:bidi="ta-IN"/>
              </w:rPr>
              <w:t>௵</w:t>
            </w:r>
            <w:r>
              <w:t xml:space="preserve"> (based on the mapping in the authority file)</w:t>
            </w:r>
          </w:p>
        </w:tc>
      </w:tr>
    </w:tbl>
    <w:p w14:paraId="09E8E401" w14:textId="77777777"/>
    <w:tbl>
      <w:tblPr>
        <w:tblStyle w:val="CodeSampleTable"/>
        <w:tblW w:w="5000" w:type="pct"/>
        <w:tblLook w:val="04A0" w:firstRow="1" w:lastRow="0" w:firstColumn="1" w:lastColumn="0" w:noHBand="0" w:noVBand="1"/>
      </w:tblPr>
      <w:tblGrid>
        <w:gridCol w:w="9628"/>
      </w:tblGrid>
      <w:tr w14:paraId="298DB62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67FA29A" w14:textId="77777777">
            <w:pPr>
              <w:pStyle w:val="Kpalrs"/>
              <w:keepLines/>
            </w:pPr>
            <w:bookmarkStart w:id="434" w:name="_zhzv8lagn4n3" w:colFirst="0" w:colLast="0"/>
            <w:bookmarkStart w:id="435" w:name="_Ref182577267"/>
            <w:bookmarkStart w:id="436" w:name="_Ref43985052"/>
            <w:bookmarkEnd w:id="434"/>
            <w:r>
              <w:t xml:space="preserve">Exhibit </w:t>
            </w:r>
            <w:fldSimple w:instr=" STYLEREF 2 \s ">
              <w:r>
                <w:rPr>
                  <w:noProof/>
                </w:rPr>
                <w:t>5.3</w:t>
              </w:r>
            </w:fldSimple>
            <w:r>
              <w:t>.</w:t>
            </w:r>
            <w:fldSimple w:instr=" SEQ Exhibit \* ALPHABETIC \s 2 ">
              <w:r>
                <w:rPr>
                  <w:noProof/>
                </w:rPr>
                <w:t>C</w:t>
              </w:r>
            </w:fldSimple>
            <w:bookmarkEnd w:id="435"/>
            <w:r>
              <w:t>: encoding punctuation marks</w:t>
            </w:r>
          </w:p>
        </w:tc>
      </w:tr>
      <w:tr w14:paraId="63F99A62" w14:textId="77777777">
        <w:tc>
          <w:tcPr>
            <w:tcW w:w="5000" w:type="pct"/>
            <w:vAlign w:val="center"/>
          </w:tcPr>
          <w:p w14:paraId="3C92BA15" w14:textId="77777777">
            <w:pPr>
              <w:pStyle w:val="Image"/>
              <w:keepLines/>
              <w:rPr>
                <w:rStyle w:val="Code"/>
              </w:rPr>
            </w:pPr>
            <w:r>
              <w:drawing>
                <wp:inline distT="0" distB="0" distL="0" distR="0" wp14:anchorId="0DB7A5B8" wp14:editId="595D38D1">
                  <wp:extent cx="6114415" cy="621030"/>
                  <wp:effectExtent l="0" t="0" r="635" b="7620"/>
                  <wp:docPr id="422498252"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114415" cy="621030"/>
                          </a:xfrm>
                          <a:prstGeom prst="rect">
                            <a:avLst/>
                          </a:prstGeom>
                          <a:noFill/>
                          <a:ln>
                            <a:noFill/>
                          </a:ln>
                        </pic:spPr>
                      </pic:pic>
                    </a:graphicData>
                  </a:graphic>
                </wp:inline>
              </w:drawing>
            </w:r>
          </w:p>
        </w:tc>
      </w:tr>
      <w:tr w14:paraId="38709515" w14:textId="77777777">
        <w:tc>
          <w:tcPr>
            <w:tcW w:w="5000" w:type="pct"/>
          </w:tcPr>
          <w:p w14:paraId="79A48ADF" w14:textId="77777777">
            <w:pPr>
              <w:pStyle w:val="CodeParagraph"/>
              <w:keepNext/>
              <w:keepLines/>
            </w:pPr>
            <w:r>
              <w:rPr>
                <w:rStyle w:val="Codetext"/>
              </w:rPr>
              <w:t>deśam apālayaT</w:t>
            </w:r>
            <w:r>
              <w:rPr>
                <w:rStyle w:val="Code"/>
              </w:rPr>
              <w:t xml:space="preserve">&lt;g </w:t>
            </w:r>
            <w:r>
              <w:rPr>
                <w:rStyle w:val="Codeattribute"/>
              </w:rPr>
              <w:t>type=</w:t>
            </w:r>
            <w:r>
              <w:rPr>
                <w:rStyle w:val="Codevalue"/>
              </w:rPr>
              <w:t xml:space="preserve">"punctuation" </w:t>
            </w:r>
            <w:r>
              <w:rPr>
                <w:rStyle w:val="Codeattribute"/>
              </w:rPr>
              <w:t>ref=</w:t>
            </w:r>
            <w:r>
              <w:rPr>
                <w:rStyle w:val="Codevalue"/>
              </w:rPr>
              <w:t>"sym:doubleBar-serifed"</w:t>
            </w:r>
            <w:r>
              <w:rPr>
                <w:rStyle w:val="Code"/>
              </w:rPr>
              <w:t>&gt;</w:t>
            </w:r>
            <w:r>
              <w:rPr>
                <w:rStyle w:val="Codetext"/>
              </w:rPr>
              <w:t>.</w:t>
            </w:r>
            <w:r>
              <w:rPr>
                <w:rStyle w:val="Code"/>
              </w:rPr>
              <w:t>&lt;/g&gt;</w:t>
            </w:r>
            <w:r>
              <w:rPr>
                <w:rStyle w:val="Codetext"/>
              </w:rPr>
              <w:t xml:space="preserve"> tat-putro jayasiṁhas trayastriṁśataṁ</w:t>
            </w:r>
            <w:r>
              <w:rPr>
                <w:rStyle w:val="Code"/>
              </w:rPr>
              <w:t xml:space="preserve">&lt;g </w:t>
            </w:r>
            <w:r>
              <w:rPr>
                <w:rStyle w:val="Codeattribute"/>
              </w:rPr>
              <w:t>type=</w:t>
            </w:r>
            <w:r>
              <w:rPr>
                <w:rStyle w:val="Codevalue"/>
              </w:rPr>
              <w:t xml:space="preserve">"punctuation" </w:t>
            </w:r>
            <w:r>
              <w:rPr>
                <w:rStyle w:val="Codeattribute"/>
              </w:rPr>
              <w:t>ref=</w:t>
            </w:r>
            <w:r>
              <w:rPr>
                <w:rStyle w:val="Codevalue"/>
              </w:rPr>
              <w:t>"sym:bar-serifed"</w:t>
            </w:r>
            <w:r>
              <w:rPr>
                <w:rStyle w:val="Code"/>
              </w:rPr>
              <w:t>&gt;</w:t>
            </w:r>
            <w:r>
              <w:rPr>
                <w:rStyle w:val="Codetext"/>
              </w:rPr>
              <w:t>.</w:t>
            </w:r>
            <w:r>
              <w:rPr>
                <w:rStyle w:val="Code"/>
              </w:rPr>
              <w:t>&lt;/g&gt;</w:t>
            </w:r>
          </w:p>
        </w:tc>
      </w:tr>
      <w:bookmarkEnd w:id="436"/>
      <w:tr w14:paraId="23333CCA" w14:textId="77777777">
        <w:tc>
          <w:tcPr>
            <w:tcW w:w="5000" w:type="pct"/>
          </w:tcPr>
          <w:p w14:paraId="52141B13" w14:textId="77777777">
            <w:pPr>
              <w:pStyle w:val="TableNote"/>
            </w:pPr>
            <w:r>
              <w:t xml:space="preserve">these will appear in display as </w:t>
            </w:r>
            <w:r>
              <w:rPr>
                <w:rStyle w:val="Foreign"/>
              </w:rPr>
              <w:t>apālayaT</w:t>
            </w:r>
            <w:r>
              <w:rPr>
                <w:rStyle w:val="Foreign"/>
                <w:rFonts w:ascii="Cambria Math" w:hAnsi="Cambria Math" w:cs="Cambria Math"/>
              </w:rPr>
              <w:t>∥</w:t>
            </w:r>
            <w:r>
              <w:t xml:space="preserve"> and </w:t>
            </w:r>
            <w:r>
              <w:rPr>
                <w:rStyle w:val="Foreign"/>
              </w:rPr>
              <w:t>trayastriṁśataṁ|</w:t>
            </w:r>
            <w:r>
              <w:t xml:space="preserve"> (based on the mapping in the authority file)</w:t>
            </w:r>
          </w:p>
          <w:p w14:paraId="685F7693" w14:textId="77777777">
            <w:pPr>
              <w:pStyle w:val="TableNote"/>
              <w:rPr>
                <w:rFonts w:ascii="Consolas" w:hAnsi="Consolas" w:cs="Consolas"/>
                <w:noProof/>
                <w:color w:val="002060"/>
                <w:shd w:val="clear" w:color="auto" w:fill="F2F2F2" w:themeFill="background1" w:themeFillShade="F2"/>
              </w:rPr>
            </w:pPr>
            <w:r>
              <w:t>if a rough representation of the shape is sufficient, the arbitrary placeholders || and | may be used</w:t>
            </w:r>
          </w:p>
          <w:p w14:paraId="3154DAF7" w14:textId="77777777">
            <w:pPr>
              <w:pStyle w:val="TableNote"/>
              <w:rPr>
                <w:rFonts w:ascii="Consolas" w:hAnsi="Consolas" w:cs="Consolas"/>
                <w:noProof/>
                <w:color w:val="002060"/>
                <w:shd w:val="clear" w:color="auto" w:fill="F2F2F2" w:themeFill="background1" w:themeFillShade="F2"/>
              </w:rPr>
            </w:pPr>
            <w:r>
              <w:t>encoding is not required for |, but mandatory for ||, which consists of two characters</w:t>
            </w:r>
          </w:p>
          <w:p w14:paraId="1F610F59" w14:textId="77777777">
            <w:pPr>
              <w:pStyle w:val="TableNote"/>
              <w:ind w:left="709"/>
              <w:rPr>
                <w:rFonts w:ascii="Consolas" w:hAnsi="Consolas" w:cs="Consolas"/>
                <w:noProof/>
                <w:color w:val="002060"/>
                <w:shd w:val="clear" w:color="auto" w:fill="F2F2F2" w:themeFill="background1" w:themeFillShade="F2"/>
              </w:rPr>
            </w:pPr>
            <w:r>
              <w:rPr>
                <w:rStyle w:val="Code"/>
              </w:rPr>
              <w:t xml:space="preserve">&lt;g </w:t>
            </w:r>
            <w:r>
              <w:rPr>
                <w:rStyle w:val="Codeattribute"/>
              </w:rPr>
              <w:t>type=</w:t>
            </w:r>
            <w:r>
              <w:rPr>
                <w:rStyle w:val="Codevalue"/>
              </w:rPr>
              <w:t xml:space="preserve">"punctuation" </w:t>
            </w:r>
            <w:r>
              <w:rPr>
                <w:rStyle w:val="Codeattribute"/>
              </w:rPr>
              <w:t>ref=</w:t>
            </w:r>
            <w:r>
              <w:rPr>
                <w:rStyle w:val="Codevalue"/>
              </w:rPr>
              <w:t>"sym:doubleBar-serifed"</w:t>
            </w:r>
            <w:r>
              <w:rPr>
                <w:rStyle w:val="Code"/>
              </w:rPr>
              <w:t>&gt;</w:t>
            </w:r>
            <w:r>
              <w:rPr>
                <w:rStyle w:val="Codetext"/>
              </w:rPr>
              <w:t>||</w:t>
            </w:r>
            <w:r>
              <w:rPr>
                <w:rStyle w:val="Code"/>
              </w:rPr>
              <w:t>&lt;/g&gt;</w:t>
            </w:r>
            <w:r>
              <w:t xml:space="preserve"> for full identification (displayed as </w:t>
            </w:r>
            <w:r>
              <w:rPr>
                <w:rFonts w:ascii="Cambria Math" w:hAnsi="Cambria Math" w:cs="Cambria Math"/>
              </w:rPr>
              <w:t>∥</w:t>
            </w:r>
            <w:r>
              <w:t>, not as ||, as the mapping in the authority file overrides the content)</w:t>
            </w:r>
          </w:p>
          <w:p w14:paraId="69968619" w14:textId="77777777">
            <w:pPr>
              <w:pStyle w:val="TableNote"/>
              <w:ind w:left="709"/>
              <w:rPr>
                <w:rFonts w:ascii="Consolas" w:hAnsi="Consolas" w:cs="Consolas"/>
                <w:noProof/>
                <w:color w:val="002060"/>
                <w:shd w:val="clear" w:color="auto" w:fill="F2F2F2" w:themeFill="background1" w:themeFillShade="F2"/>
              </w:rPr>
            </w:pPr>
            <w:r>
              <w:rPr>
                <w:rStyle w:val="Code"/>
              </w:rPr>
              <w:t xml:space="preserve">&lt;g </w:t>
            </w:r>
            <w:r>
              <w:rPr>
                <w:rStyle w:val="Codeattribute"/>
              </w:rPr>
              <w:t>type=</w:t>
            </w:r>
            <w:r>
              <w:rPr>
                <w:rStyle w:val="Codevalue"/>
              </w:rPr>
              <w:t>"punctuation"</w:t>
            </w:r>
            <w:r>
              <w:rPr>
                <w:rStyle w:val="Code"/>
              </w:rPr>
              <w:t>&gt;</w:t>
            </w:r>
            <w:r>
              <w:rPr>
                <w:rStyle w:val="Codetext"/>
              </w:rPr>
              <w:t>||</w:t>
            </w:r>
            <w:r>
              <w:rPr>
                <w:rStyle w:val="Code"/>
              </w:rPr>
              <w:t>&lt;/g&gt;</w:t>
            </w:r>
            <w:r>
              <w:t xml:space="preserve"> to clarify only the function (displayed as ||, the content of the </w:t>
            </w:r>
            <w:r>
              <w:rPr>
                <w:rStyle w:val="Code"/>
              </w:rPr>
              <w:t>&lt;g&gt;</w:t>
            </w:r>
            <w:r>
              <w:t xml:space="preserve"> element, because there is no reference to the authority file)</w:t>
            </w:r>
          </w:p>
          <w:p w14:paraId="4EA352D6" w14:textId="77777777">
            <w:pPr>
              <w:pStyle w:val="TableNote"/>
              <w:ind w:left="709"/>
              <w:rPr>
                <w:rFonts w:ascii="Consolas" w:hAnsi="Consolas" w:cs="Consolas"/>
                <w:noProof/>
                <w:color w:val="002060"/>
                <w:shd w:val="clear" w:color="auto" w:fill="F2F2F2" w:themeFill="background1" w:themeFillShade="F2"/>
              </w:rPr>
            </w:pPr>
            <w:r>
              <w:rPr>
                <w:rStyle w:val="Code"/>
              </w:rPr>
              <w:t>&lt;g&gt;</w:t>
            </w:r>
            <w:r>
              <w:rPr>
                <w:rStyle w:val="Codetext"/>
              </w:rPr>
              <w:t>||</w:t>
            </w:r>
            <w:r>
              <w:rPr>
                <w:rStyle w:val="Code"/>
              </w:rPr>
              <w:t>&lt;/g&gt;</w:t>
            </w:r>
            <w:r>
              <w:t xml:space="preserve"> as a minimal representation  (displayed as || because there is no reference to the authority file)</w:t>
            </w:r>
          </w:p>
          <w:p w14:paraId="6AADA8D7" w14:textId="77777777">
            <w:pPr>
              <w:pStyle w:val="TableNote"/>
              <w:ind w:left="709"/>
              <w:rPr>
                <w:rStyle w:val="Code"/>
              </w:rPr>
            </w:pPr>
            <w:r>
              <w:t xml:space="preserve">alternatively, </w:t>
            </w:r>
            <w:bookmarkStart w:id="437" w:name="_Hlk226031260"/>
            <w:r>
              <w:t>‖ (</w:t>
            </w:r>
            <w:r>
              <w:rPr>
                <w:rStyle w:val="Code"/>
              </w:rPr>
              <w:t>U+2016</w:t>
            </w:r>
            <w:r>
              <w:t xml:space="preserve"> Double Vertical Line)</w:t>
            </w:r>
            <w:bookmarkEnd w:id="437"/>
            <w:r>
              <w:t>, a single Unicode character, may be used without encoding</w:t>
            </w:r>
          </w:p>
        </w:tc>
      </w:tr>
    </w:tbl>
    <w:p w14:paraId="7FAFCE72" w14:textId="77777777"/>
    <w:tbl>
      <w:tblPr>
        <w:tblStyle w:val="CodeSampleTable"/>
        <w:tblW w:w="5000" w:type="pct"/>
        <w:tblLook w:val="04A0" w:firstRow="1" w:lastRow="0" w:firstColumn="1" w:lastColumn="0" w:noHBand="0" w:noVBand="1"/>
      </w:tblPr>
      <w:tblGrid>
        <w:gridCol w:w="9628"/>
      </w:tblGrid>
      <w:tr w14:paraId="2A857BC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68FED0B" w14:textId="77777777">
            <w:pPr>
              <w:pStyle w:val="Kpalrs"/>
              <w:keepLines/>
            </w:pPr>
            <w:bookmarkStart w:id="438" w:name="_Ref182576762"/>
            <w:bookmarkStart w:id="439" w:name="_Ref182579118"/>
            <w:r>
              <w:t xml:space="preserve">Exhibit </w:t>
            </w:r>
            <w:fldSimple w:instr=" STYLEREF 2 \s ">
              <w:r>
                <w:rPr>
                  <w:noProof/>
                </w:rPr>
                <w:t>5.3</w:t>
              </w:r>
            </w:fldSimple>
            <w:r>
              <w:t>.</w:t>
            </w:r>
            <w:fldSimple w:instr=" SEQ Exhibit \* ALPHABETIC \s 2 ">
              <w:r>
                <w:rPr>
                  <w:noProof/>
                </w:rPr>
                <w:t>D</w:t>
              </w:r>
            </w:fldSimple>
            <w:bookmarkEnd w:id="438"/>
            <w:r>
              <w:t xml:space="preserve">: encoding </w:t>
            </w:r>
            <w:bookmarkEnd w:id="439"/>
            <w:r>
              <w:t>connectors</w:t>
            </w:r>
          </w:p>
        </w:tc>
      </w:tr>
      <w:tr w14:paraId="6D810D51" w14:textId="77777777">
        <w:tc>
          <w:tcPr>
            <w:tcW w:w="5000" w:type="pct"/>
            <w:vAlign w:val="center"/>
          </w:tcPr>
          <w:p w14:paraId="5DE9CD97" w14:textId="77777777">
            <w:pPr>
              <w:pStyle w:val="Image"/>
              <w:keepLines/>
              <w:rPr>
                <w:rStyle w:val="Code"/>
              </w:rPr>
            </w:pPr>
            <w:r>
              <w:drawing>
                <wp:inline distT="114300" distB="114300" distL="114300" distR="114300" wp14:anchorId="685993DF" wp14:editId="4F8ACC12">
                  <wp:extent cx="2000567" cy="489935"/>
                  <wp:effectExtent l="0" t="0" r="0" b="0"/>
                  <wp:docPr id="2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2000567" cy="489935"/>
                          </a:xfrm>
                          <a:prstGeom prst="rect">
                            <a:avLst/>
                          </a:prstGeom>
                          <a:ln/>
                        </pic:spPr>
                      </pic:pic>
                    </a:graphicData>
                  </a:graphic>
                </wp:inline>
              </w:drawing>
            </w:r>
          </w:p>
        </w:tc>
      </w:tr>
      <w:tr w14:paraId="21DDC43E" w14:textId="77777777">
        <w:tc>
          <w:tcPr>
            <w:tcW w:w="5000" w:type="pct"/>
          </w:tcPr>
          <w:p w14:paraId="0AE8D91C" w14:textId="77777777">
            <w:pPr>
              <w:pStyle w:val="CodeParagraph"/>
              <w:keepNext/>
              <w:keepLines/>
            </w:pPr>
            <w:r>
              <w:rPr>
                <w:rStyle w:val="Codetext"/>
              </w:rPr>
              <w:t>karuhun di:rghăyūrăro</w:t>
            </w:r>
            <w:r>
              <w:rPr>
                <w:rStyle w:val="Code"/>
              </w:rPr>
              <w:t xml:space="preserve">&lt;g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"sym:bar-curly"</w:t>
            </w:r>
            <w:r>
              <w:rPr>
                <w:rStyle w:val="Code"/>
              </w:rPr>
              <w:t>&gt;</w:t>
            </w:r>
            <w:r>
              <w:rPr>
                <w:rStyle w:val="Codetext"/>
              </w:rPr>
              <w:t>§</w:t>
            </w:r>
            <w:r>
              <w:rPr>
                <w:rStyle w:val="Code"/>
              </w:rPr>
              <w:t>&lt;/g&gt;</w:t>
            </w:r>
          </w:p>
        </w:tc>
      </w:tr>
      <w:tr w14:paraId="7F6E6D38" w14:textId="77777777">
        <w:tc>
          <w:tcPr>
            <w:tcW w:w="5000" w:type="pct"/>
          </w:tcPr>
          <w:p w14:paraId="53BE336C" w14:textId="77777777">
            <w:pPr>
              <w:pStyle w:val="TableNote"/>
              <w:numPr>
                <w:ilvl w:val="0"/>
                <w:numId w:val="0"/>
              </w:numPr>
              <w:ind w:left="360" w:hanging="360"/>
              <w:rPr>
                <w:rFonts w:ascii="Consolas" w:hAnsi="Consolas" w:cs="Consolas"/>
                <w:noProof/>
                <w:color w:val="002060"/>
                <w:shd w:val="clear" w:color="auto" w:fill="F2F2F2" w:themeFill="background1" w:themeFillShade="F2"/>
              </w:rPr>
            </w:pPr>
            <w:bookmarkStart w:id="440" w:name="_ds0gogy82fug" w:colFirst="0" w:colLast="0"/>
            <w:bookmarkEnd w:id="440"/>
            <w:r>
              <w:t>alternatives:</w:t>
            </w:r>
          </w:p>
          <w:p w14:paraId="42C79937" w14:textId="77777777">
            <w:pPr>
              <w:pStyle w:val="TableNote"/>
            </w:pPr>
            <w:r>
              <w:t>§ as a minimal representation without encoding</w:t>
            </w:r>
          </w:p>
          <w:p w14:paraId="7E4DAACB" w14:textId="77777777">
            <w:pPr>
              <w:pStyle w:val="TableNote"/>
            </w:pPr>
            <w:r>
              <w:t>¦ (</w:t>
            </w:r>
            <w:r>
              <w:rPr>
                <w:rStyle w:val="Code"/>
              </w:rPr>
              <w:t>U+00A6</w:t>
            </w:r>
            <w:r>
              <w:t xml:space="preserve"> Broken Bar) as an arbitrary placeholder without encoding</w:t>
            </w:r>
          </w:p>
          <w:p w14:paraId="049E2975" w14:textId="77777777">
            <w:pPr>
              <w:pStyle w:val="TableNote"/>
              <w:rPr>
                <w:rStyle w:val="Code"/>
              </w:rPr>
            </w:pPr>
            <w:r>
              <w:rPr>
                <w:rStyle w:val="Code"/>
              </w:rPr>
              <w:t xml:space="preserve">&lt;g </w:t>
            </w:r>
            <w:r>
              <w:rPr>
                <w:rStyle w:val="Codeattribute"/>
              </w:rPr>
              <w:t>type</w:t>
            </w:r>
            <w:r>
              <w:rPr>
                <w:rStyle w:val="Code"/>
              </w:rPr>
              <w:t>=</w:t>
            </w:r>
            <w:r>
              <w:rPr>
                <w:rStyle w:val="Codevalue"/>
              </w:rPr>
              <w:t>"connector"</w:t>
            </w:r>
            <w:r>
              <w:rPr>
                <w:rStyle w:val="Code"/>
              </w:rPr>
              <w:t>&gt;</w:t>
            </w:r>
            <w:r>
              <w:rPr>
                <w:rStyle w:val="Codetext"/>
              </w:rPr>
              <w:t>§</w:t>
            </w:r>
            <w:r>
              <w:rPr>
                <w:rStyle w:val="Code"/>
              </w:rPr>
              <w:t>&lt;/g&gt;</w:t>
            </w:r>
            <w:r>
              <w:t xml:space="preserve"> to make no assertion regarding shape (displayed as the content § because there is no </w:t>
            </w:r>
            <w:r>
              <w:rPr>
                <w:rStyle w:val="Codeattribute"/>
              </w:rPr>
              <w:t>@ref</w:t>
            </w:r>
            <w:r>
              <w:t>)</w:t>
            </w:r>
          </w:p>
          <w:p w14:paraId="42A91CC9" w14:textId="77777777">
            <w:pPr>
              <w:pStyle w:val="TableNote"/>
              <w:rPr>
                <w:rFonts w:ascii="Consolas" w:hAnsi="Consolas" w:cs="Consolas"/>
                <w:noProof/>
                <w:color w:val="002060"/>
                <w:shd w:val="clear" w:color="auto" w:fill="F2F2F2" w:themeFill="background1" w:themeFillShade="F2"/>
              </w:rPr>
            </w:pPr>
            <w:r>
              <w:rPr>
                <w:rStyle w:val="Code"/>
              </w:rPr>
              <w:t xml:space="preserve">&lt;g </w:t>
            </w:r>
            <w:r>
              <w:rPr>
                <w:rStyle w:val="Codeattribute"/>
              </w:rPr>
              <w:t>ref</w:t>
            </w:r>
            <w:r>
              <w:rPr>
                <w:rStyle w:val="Code"/>
              </w:rPr>
              <w:t>=</w:t>
            </w:r>
            <w:r>
              <w:rPr>
                <w:rStyle w:val="Codevalue"/>
              </w:rPr>
              <w:t>"sym:bar-curly"</w:t>
            </w:r>
            <w:r>
              <w:rPr>
                <w:rStyle w:val="Code"/>
              </w:rPr>
              <w:t>&gt;</w:t>
            </w:r>
            <w:r>
              <w:rPr>
                <w:rStyle w:val="Codetext"/>
              </w:rPr>
              <w:t>¦</w:t>
            </w:r>
            <w:r>
              <w:rPr>
                <w:rStyle w:val="Code"/>
              </w:rPr>
              <w:t>&lt;/g&gt;</w:t>
            </w:r>
            <w:r>
              <w:t xml:space="preserve"> or </w:t>
            </w:r>
            <w:r>
              <w:rPr>
                <w:rStyle w:val="Code"/>
              </w:rPr>
              <w:t xml:space="preserve">&lt;g </w:t>
            </w:r>
            <w:r>
              <w:rPr>
                <w:rStyle w:val="Codeattribute"/>
              </w:rPr>
              <w:t>ref</w:t>
            </w:r>
            <w:r>
              <w:rPr>
                <w:rStyle w:val="Code"/>
              </w:rPr>
              <w:t>=</w:t>
            </w:r>
            <w:r>
              <w:rPr>
                <w:rStyle w:val="Codevalue"/>
              </w:rPr>
              <w:t>"sym:bar-curly"</w:t>
            </w:r>
            <w:r>
              <w:rPr>
                <w:rStyle w:val="Code"/>
              </w:rPr>
              <w:t>&gt;</w:t>
            </w:r>
            <w:r>
              <w:rPr>
                <w:rStyle w:val="Codetext"/>
              </w:rPr>
              <w:t>*</w:t>
            </w:r>
            <w:r>
              <w:rPr>
                <w:rStyle w:val="Code"/>
              </w:rPr>
              <w:t>&lt;/g&gt;</w:t>
            </w:r>
            <w:r>
              <w:t xml:space="preserve"> to make no assertion regarding function</w:t>
            </w:r>
          </w:p>
          <w:p w14:paraId="6CC21618" w14:textId="77777777">
            <w:pPr>
              <w:pStyle w:val="TableNote"/>
              <w:ind w:left="709"/>
            </w:pPr>
            <w:r>
              <w:t>both of these will be displayed as | (the mapping assigned to the token in the authority file overriding the content)</w:t>
            </w:r>
          </w:p>
          <w:p w14:paraId="6CD69712" w14:textId="77777777">
            <w:pPr>
              <w:pStyle w:val="TableNote"/>
              <w:ind w:left="709"/>
              <w:rPr>
                <w:rStyle w:val="Code"/>
              </w:rPr>
            </w:pPr>
            <w:r>
              <w:t xml:space="preserve">if the default placeholder § is wrapped in </w:t>
            </w:r>
            <w:r>
              <w:rPr>
                <w:rStyle w:val="Code"/>
              </w:rPr>
              <w:t>&lt;g&gt;</w:t>
            </w:r>
            <w:r>
              <w:t xml:space="preserve">, then </w:t>
            </w:r>
            <w:r>
              <w:rPr>
                <w:rStyle w:val="Codeattribute"/>
              </w:rPr>
              <w:t>@type</w:t>
            </w:r>
            <w:r>
              <w:t xml:space="preserve"> must also be present (§</w:t>
            </w:r>
            <w:r>
              <w:fldChar w:fldCharType="begin"/>
            </w:r>
            <w:r>
              <w:instrText xml:space="preserve"> REF _Ref226031926 \r \h </w:instrText>
            </w:r>
            <w:r>
              <w:fldChar w:fldCharType="separate"/>
            </w:r>
            <w:r>
              <w:t>5.3.4.1</w:t>
            </w:r>
            <w:r>
              <w:fldChar w:fldCharType="end"/>
            </w:r>
            <w:r>
              <w:t xml:space="preserve">), while arbitrary placeholders may be wrapped in </w:t>
            </w:r>
            <w:r>
              <w:rPr>
                <w:rStyle w:val="Code"/>
              </w:rPr>
              <w:t>&lt;g&gt;</w:t>
            </w:r>
            <w:r>
              <w:t xml:space="preserve"> without </w:t>
            </w:r>
            <w:r>
              <w:rPr>
                <w:rStyle w:val="Codeattribute"/>
              </w:rPr>
              <w:t>@type</w:t>
            </w:r>
          </w:p>
        </w:tc>
      </w:tr>
    </w:tbl>
    <w:p w14:paraId="4A60FBE6" w14:textId="77777777"/>
    <w:tbl>
      <w:tblPr>
        <w:tblStyle w:val="CodeSampleTable"/>
        <w:tblW w:w="5000" w:type="pct"/>
        <w:tblLook w:val="04A0" w:firstRow="1" w:lastRow="0" w:firstColumn="1" w:lastColumn="0" w:noHBand="0" w:noVBand="1"/>
      </w:tblPr>
      <w:tblGrid>
        <w:gridCol w:w="9628"/>
      </w:tblGrid>
      <w:tr w14:paraId="4495C21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5AC7875" w14:textId="77777777">
            <w:pPr>
              <w:pStyle w:val="Kpalrs"/>
              <w:keepLines/>
            </w:pPr>
            <w:bookmarkStart w:id="441" w:name="_szxkvje7z9d2" w:colFirst="0" w:colLast="0"/>
            <w:bookmarkStart w:id="442" w:name="_Ref182577960"/>
            <w:bookmarkStart w:id="443" w:name="_Ref44577965"/>
            <w:bookmarkEnd w:id="441"/>
            <w:r>
              <w:lastRenderedPageBreak/>
              <w:t xml:space="preserve">Exhibit </w:t>
            </w:r>
            <w:fldSimple w:instr=" STYLEREF 2 \s ">
              <w:r>
                <w:rPr>
                  <w:noProof/>
                </w:rPr>
                <w:t>5.3</w:t>
              </w:r>
            </w:fldSimple>
            <w:r>
              <w:t>.</w:t>
            </w:r>
            <w:fldSimple w:instr=" SEQ Exhibit \* ALPHABETIC \s 2 ">
              <w:r>
                <w:rPr>
                  <w:noProof/>
                </w:rPr>
                <w:t>E</w:t>
              </w:r>
            </w:fldSimple>
            <w:bookmarkEnd w:id="442"/>
            <w:r>
              <w:t>: encoding abstract symbols</w:t>
            </w:r>
          </w:p>
        </w:tc>
      </w:tr>
      <w:tr w14:paraId="68807014" w14:textId="77777777">
        <w:tc>
          <w:tcPr>
            <w:tcW w:w="5000" w:type="pct"/>
            <w:vAlign w:val="center"/>
          </w:tcPr>
          <w:p w14:paraId="404314C4" w14:textId="77777777">
            <w:pPr>
              <w:pStyle w:val="Image"/>
              <w:keepLines/>
              <w:rPr>
                <w:rStyle w:val="Code"/>
              </w:rPr>
            </w:pPr>
            <w:r>
              <w:rPr>
                <w:rStyle w:val="Code"/>
              </w:rPr>
              <w:drawing>
                <wp:inline distT="0" distB="0" distL="0" distR="0" wp14:anchorId="1AC3A442" wp14:editId="5E814A06">
                  <wp:extent cx="1018800" cy="579600"/>
                  <wp:effectExtent l="0" t="0" r="0" b="0"/>
                  <wp:docPr id="403080985"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18800" cy="579600"/>
                          </a:xfrm>
                          <a:prstGeom prst="rect">
                            <a:avLst/>
                          </a:prstGeom>
                          <a:noFill/>
                          <a:ln>
                            <a:noFill/>
                          </a:ln>
                        </pic:spPr>
                      </pic:pic>
                    </a:graphicData>
                  </a:graphic>
                </wp:inline>
              </w:drawing>
            </w:r>
          </w:p>
        </w:tc>
      </w:tr>
      <w:tr w14:paraId="3BA74A6D" w14:textId="77777777">
        <w:tc>
          <w:tcPr>
            <w:tcW w:w="5000" w:type="pct"/>
          </w:tcPr>
          <w:p w14:paraId="2258970B" w14:textId="77777777">
            <w:pPr>
              <w:pStyle w:val="CodeParagraph"/>
              <w:keepNext/>
              <w:keepLines/>
              <w:rPr>
                <w:rStyle w:val="Codetext"/>
              </w:rPr>
            </w:pPr>
            <w:r>
              <w:rPr>
                <w:rStyle w:val="Code"/>
              </w:rPr>
              <w:t>&lt;g</w:t>
            </w:r>
            <w:r>
              <w:rPr>
                <w:rStyle w:val="Codeattribute"/>
              </w:rPr>
              <w:t xml:space="preserve"> ref</w:t>
            </w:r>
            <w:r>
              <w:rPr>
                <w:rStyle w:val="Code"/>
              </w:rPr>
              <w:t>=</w:t>
            </w:r>
            <w:r>
              <w:rPr>
                <w:rStyle w:val="Codevalue"/>
              </w:rPr>
              <w:t>"sym:floret-complex"</w:t>
            </w:r>
            <w:r>
              <w:rPr>
                <w:rStyle w:val="Code"/>
              </w:rPr>
              <w:t>&gt;</w:t>
            </w:r>
            <w:r>
              <w:rPr>
                <w:rStyle w:val="Codetext"/>
              </w:rPr>
              <w:t>*</w:t>
            </w:r>
            <w:r>
              <w:rPr>
                <w:rStyle w:val="Code"/>
              </w:rPr>
              <w:t xml:space="preserve">&lt;/g&gt; </w:t>
            </w:r>
            <w:r>
              <w:rPr>
                <w:rStyle w:val="Codetext"/>
              </w:rPr>
              <w:t>svasti</w:t>
            </w:r>
          </w:p>
        </w:tc>
      </w:tr>
      <w:tr w14:paraId="21F8F89D" w14:textId="77777777">
        <w:tc>
          <w:tcPr>
            <w:tcW w:w="5000" w:type="pct"/>
          </w:tcPr>
          <w:p w14:paraId="1BDF11BD" w14:textId="77777777">
            <w:pPr>
              <w:pStyle w:val="TableNote"/>
              <w:rPr>
                <w:rFonts w:ascii="Consolas" w:hAnsi="Consolas" w:cs="Consolas"/>
                <w:noProof/>
                <w:color w:val="002060"/>
                <w:shd w:val="clear" w:color="auto" w:fill="F2F2F2" w:themeFill="background1" w:themeFillShade="F2"/>
              </w:rPr>
            </w:pPr>
            <w:r>
              <w:rPr>
                <w:rStyle w:val="Codeattribute"/>
              </w:rPr>
              <w:t>type</w:t>
            </w:r>
            <w:r>
              <w:rPr>
                <w:rStyle w:val="Code"/>
              </w:rPr>
              <w:t>=</w:t>
            </w:r>
            <w:r>
              <w:rPr>
                <w:rStyle w:val="Codevalue"/>
              </w:rPr>
              <w:t>"symbol"</w:t>
            </w:r>
            <w:r>
              <w:t xml:space="preserve"> could be added, but is not necessary because this is the default value</w:t>
            </w:r>
          </w:p>
          <w:p w14:paraId="57B846D7" w14:textId="77777777">
            <w:pPr>
              <w:pStyle w:val="TableNote"/>
            </w:pPr>
            <w:r>
              <w:t xml:space="preserve">the display will be </w:t>
            </w:r>
            <w:r>
              <w:rPr>
                <w:rFonts w:ascii="Segoe UI Symbol" w:hAnsi="Segoe UI Symbol" w:cs="Segoe UI Symbol"/>
              </w:rPr>
              <w:t>⁜</w:t>
            </w:r>
            <w:r>
              <w:t xml:space="preserve"> (the mapping assigned to the token in the authority file)</w:t>
            </w:r>
          </w:p>
          <w:p w14:paraId="53829560" w14:textId="77777777">
            <w:pPr>
              <w:pStyle w:val="TableNote"/>
              <w:rPr>
                <w:rFonts w:ascii="Consolas" w:hAnsi="Consolas" w:cs="Consolas"/>
                <w:noProof/>
                <w:color w:val="002060"/>
                <w:shd w:val="clear" w:color="auto" w:fill="F2F2F2" w:themeFill="background1" w:themeFillShade="F2"/>
              </w:rPr>
            </w:pPr>
            <w:r>
              <w:t xml:space="preserve">alternatively, an arbitrary placeholder such as </w:t>
            </w:r>
            <w:r>
              <w:rPr>
                <w:rStyle w:val="ForeignDingbat"/>
              </w:rPr>
              <w:t>✤</w:t>
            </w:r>
            <w:r>
              <w:rPr>
                <w:lang w:eastAsia="en-US" w:bidi="ar-SA"/>
              </w:rPr>
              <w:t xml:space="preserve"> </w:t>
            </w:r>
            <w:r>
              <w:t xml:space="preserve">might be used, with or without a </w:t>
            </w:r>
            <w:r>
              <w:rPr>
                <w:rStyle w:val="Code"/>
              </w:rPr>
              <w:t>&lt;g&gt;</w:t>
            </w:r>
            <w:r>
              <w:t xml:space="preserve"> wrapper and with or without </w:t>
            </w:r>
            <w:r>
              <w:rPr>
                <w:rStyle w:val="Codeattribute"/>
              </w:rPr>
              <w:t>@ref</w:t>
            </w:r>
          </w:p>
          <w:p w14:paraId="53A95399" w14:textId="77777777">
            <w:pPr>
              <w:pStyle w:val="TableNote"/>
              <w:ind w:left="709"/>
            </w:pPr>
            <w:r>
              <w:t xml:space="preserve">if </w:t>
            </w:r>
            <w:r>
              <w:rPr>
                <w:rStyle w:val="Codeattribute"/>
              </w:rPr>
              <w:t>@ref</w:t>
            </w:r>
            <w:r>
              <w:t xml:space="preserve"> is not present, then the arbitrary placeholder will be displayed</w:t>
            </w:r>
          </w:p>
        </w:tc>
      </w:tr>
    </w:tbl>
    <w:p w14:paraId="67666551" w14:textId="77777777">
      <w:pPr>
        <w:pStyle w:val="Cmsor3"/>
      </w:pPr>
      <w:bookmarkStart w:id="444" w:name="_1jfnyljo6f10" w:colFirst="0" w:colLast="0"/>
      <w:bookmarkStart w:id="445" w:name="_Toc243900300"/>
      <w:bookmarkStart w:id="446" w:name="_Ref182551676"/>
      <w:bookmarkStart w:id="447" w:name="_Ref43989284"/>
      <w:bookmarkStart w:id="448" w:name="_Ref183075544"/>
      <w:bookmarkEnd w:id="443"/>
      <w:bookmarkEnd w:id="444"/>
      <w:r>
        <w:t>Multiple peripheral graphemes</w:t>
      </w:r>
      <w:bookmarkEnd w:id="445"/>
    </w:p>
    <w:p w14:paraId="5E49BCCD" w14:textId="77777777">
      <w:pPr>
        <w:pStyle w:val="Lista"/>
      </w:pPr>
      <w:r>
        <w:t xml:space="preserve">groups of peripheral graphemes appearing together, whether identical or different, shall normally be encoded with separate </w:t>
      </w:r>
      <w:r>
        <w:rPr>
          <w:rStyle w:val="Code"/>
        </w:rPr>
        <w:t>&lt;g&gt;</w:t>
      </w:r>
      <w:r>
        <w:t xml:space="preserve"> wrappers</w:t>
      </w:r>
    </w:p>
    <w:p w14:paraId="4DDCDF49" w14:textId="77777777">
      <w:pPr>
        <w:pStyle w:val="Lista2"/>
      </w:pPr>
      <w:r>
        <w:t xml:space="preserve">clusters of symbols that are frequently used together in a given writing tradition can, however, be treated as single glyphs and, accordingly, wrapped in just one </w:t>
      </w:r>
      <w:r>
        <w:rPr>
          <w:rStyle w:val="Code"/>
        </w:rPr>
        <w:t>&lt;g&gt;</w:t>
      </w:r>
      <w:r>
        <w:t xml:space="preserve"> element</w:t>
      </w:r>
    </w:p>
    <w:p w14:paraId="2D6ED30E" w14:textId="77777777">
      <w:pPr>
        <w:pStyle w:val="Lista3"/>
      </w:pPr>
      <w:r>
        <w:t>this applies in particular to the double vertical bars which are quite ubiquitous in the Indic writing system</w:t>
      </w:r>
    </w:p>
    <w:p w14:paraId="0FA38A45" w14:textId="77777777">
      <w:pPr>
        <w:pStyle w:val="Lista3"/>
      </w:pPr>
      <w:r>
        <w:t>but can also apply to more elaborate combinations when these belong to an established convention, such as the Balinese punctuation marks in TG §5.3.1</w:t>
      </w:r>
    </w:p>
    <w:p w14:paraId="0FFC25CD" w14:textId="77777777">
      <w:pPr>
        <w:pStyle w:val="Lista"/>
      </w:pPr>
      <w:r>
        <w:t>series of more than two identical glyphs (e.g. three vertical bars) are best treated as combinations of singles, unless some of them are clearly doubles (as indicated by spacing or by additional strokes joining the pairs)</w:t>
      </w:r>
    </w:p>
    <w:p w14:paraId="5742EDCE" w14:textId="77777777">
      <w:pPr>
        <w:pStyle w:val="Lista"/>
      </w:pPr>
      <w:r>
        <w:t xml:space="preserve">the requirement of individual wrapping applies likewise to connectors (for which earlier versions of this Guide prescribed a single wrapper) </w:t>
      </w:r>
    </w:p>
    <w:p w14:paraId="3AA38011" w14:textId="2EB0E109">
      <w:pPr>
        <w:pStyle w:val="Lista2"/>
      </w:pPr>
      <w:r>
        <w:t xml:space="preserve">this increases code clutter for iterated connectors, as illustrated in </w:t>
      </w:r>
      <w:r>
        <w:fldChar w:fldCharType="begin"/>
      </w:r>
      <w:r>
        <w:instrText xml:space="preserve"> REF _Ref182576763 \h </w:instrText>
      </w:r>
      <w:r>
        <w:fldChar w:fldCharType="separate"/>
      </w:r>
      <w:r>
        <w:t xml:space="preserve">Exhibit </w:t>
      </w:r>
      <w:r>
        <w:rPr>
          <w:noProof/>
        </w:rPr>
        <w:t>5.3</w:t>
      </w:r>
      <w:r>
        <w:t>.</w:t>
      </w:r>
      <w:r>
        <w:rPr>
          <w:noProof/>
        </w:rPr>
        <w:t>F</w:t>
      </w:r>
      <w:r>
        <w:fldChar w:fldCharType="end"/>
      </w:r>
      <w:r>
        <w:t>, but is desirable in order to ensure consistency in the encoding</w:t>
      </w:r>
    </w:p>
    <w:tbl>
      <w:tblPr>
        <w:tblStyle w:val="CodeSampleTable"/>
        <w:tblW w:w="5000" w:type="pct"/>
        <w:tblLook w:val="04A0" w:firstRow="1" w:lastRow="0" w:firstColumn="1" w:lastColumn="0" w:noHBand="0" w:noVBand="1"/>
      </w:tblPr>
      <w:tblGrid>
        <w:gridCol w:w="9628"/>
      </w:tblGrid>
      <w:tr w14:paraId="780DC01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D74E1F8" w14:textId="77777777">
            <w:pPr>
              <w:pStyle w:val="Kpalrs"/>
            </w:pPr>
            <w:bookmarkStart w:id="449" w:name="_Ref182576763"/>
            <w:r>
              <w:t xml:space="preserve">Exhibit </w:t>
            </w:r>
            <w:fldSimple w:instr=" STYLEREF 2 \s ">
              <w:r>
                <w:rPr>
                  <w:noProof/>
                </w:rPr>
                <w:t>5.3</w:t>
              </w:r>
            </w:fldSimple>
            <w:r>
              <w:t>.</w:t>
            </w:r>
            <w:fldSimple w:instr=" SEQ Exhibit \* ALPHABETIC \s 2 ">
              <w:r>
                <w:rPr>
                  <w:noProof/>
                </w:rPr>
                <w:t>F</w:t>
              </w:r>
            </w:fldSimple>
            <w:bookmarkEnd w:id="449"/>
            <w:r>
              <w:t>: encoding multiple connectors</w:t>
            </w:r>
          </w:p>
        </w:tc>
      </w:tr>
      <w:tr w14:paraId="205BEECE" w14:textId="77777777">
        <w:tc>
          <w:tcPr>
            <w:tcW w:w="5000" w:type="pct"/>
            <w:vAlign w:val="center"/>
          </w:tcPr>
          <w:p w14:paraId="428FC3EB" w14:textId="77777777">
            <w:pPr>
              <w:pStyle w:val="Image"/>
              <w:rPr>
                <w:rStyle w:val="Code"/>
              </w:rPr>
            </w:pPr>
            <w:r>
              <w:drawing>
                <wp:inline distT="114300" distB="114300" distL="114300" distR="114300" wp14:anchorId="21019E0D" wp14:editId="56191257">
                  <wp:extent cx="3810000" cy="523875"/>
                  <wp:effectExtent l="0" t="0" r="0" b="0"/>
                  <wp:docPr id="3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6"/>
                          <a:srcRect/>
                          <a:stretch>
                            <a:fillRect/>
                          </a:stretch>
                        </pic:blipFill>
                        <pic:spPr>
                          <a:xfrm>
                            <a:off x="0" y="0"/>
                            <a:ext cx="3810000" cy="523875"/>
                          </a:xfrm>
                          <a:prstGeom prst="rect">
                            <a:avLst/>
                          </a:prstGeom>
                          <a:ln/>
                        </pic:spPr>
                      </pic:pic>
                    </a:graphicData>
                  </a:graphic>
                </wp:inline>
              </w:drawing>
            </w:r>
          </w:p>
        </w:tc>
      </w:tr>
      <w:tr w14:paraId="4EEC23A6" w14:textId="77777777">
        <w:tc>
          <w:tcPr>
            <w:tcW w:w="5000" w:type="pct"/>
          </w:tcPr>
          <w:p w14:paraId="01E525EA" w14:textId="77777777">
            <w:pPr>
              <w:pStyle w:val="CodeParagraph"/>
            </w:pPr>
            <w:r>
              <w:rPr>
                <w:rStyle w:val="Codetext"/>
              </w:rPr>
              <w:t>kr̥tavān imām·</w:t>
            </w:r>
            <w:r>
              <w:rPr>
                <w:rStyle w:val="Code"/>
              </w:rPr>
              <w:t xml:space="preserve"> &lt;g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 xml:space="preserve">&lt;/g&gt;&lt;g </w:t>
            </w:r>
            <w:r>
              <w:rPr>
                <w:rStyle w:val="Codeattribute"/>
              </w:rPr>
              <w:t>type</w:t>
            </w:r>
            <w:r>
              <w:rPr>
                <w:rStyle w:val="Code"/>
              </w:rPr>
              <w:t>=</w:t>
            </w:r>
            <w:r>
              <w:rPr>
                <w:rStyle w:val="Codevalue"/>
              </w:rPr>
              <w:t xml:space="preserve">"connector" </w:t>
            </w:r>
            <w:r>
              <w:rPr>
                <w:rStyle w:val="Codeattribute"/>
              </w:rPr>
              <w:t>ref</w:t>
            </w:r>
            <w:r>
              <w:rPr>
                <w:rStyle w:val="Code"/>
              </w:rPr>
              <w:t>=</w:t>
            </w:r>
            <w:r>
              <w:rPr>
                <w:rStyle w:val="Codevalue"/>
              </w:rPr>
              <w:t>"sym:flourish-taperOut-bars"</w:t>
            </w:r>
            <w:r>
              <w:rPr>
                <w:rStyle w:val="Code"/>
              </w:rPr>
              <w:t>&gt;</w:t>
            </w:r>
            <w:r>
              <w:rPr>
                <w:rStyle w:val="Codetext"/>
              </w:rPr>
              <w:t>§</w:t>
            </w:r>
            <w:r>
              <w:rPr>
                <w:rStyle w:val="Code"/>
              </w:rPr>
              <w:t>&lt;/g&gt;</w:t>
            </w:r>
          </w:p>
        </w:tc>
      </w:tr>
    </w:tbl>
    <w:p w14:paraId="7ED4BC41" w14:textId="77777777">
      <w:pPr>
        <w:pStyle w:val="Cmsor3"/>
      </w:pPr>
      <w:bookmarkStart w:id="450" w:name="_Ref227836867"/>
      <w:bookmarkStart w:id="451" w:name="_Toc243900301"/>
      <w:r>
        <w:t>Peripheral graphemes and their context</w:t>
      </w:r>
      <w:bookmarkEnd w:id="450"/>
      <w:bookmarkEnd w:id="451"/>
    </w:p>
    <w:p w14:paraId="42470F10" w14:textId="77777777">
      <w:pPr>
        <w:pStyle w:val="Lista"/>
      </w:pPr>
      <w:r>
        <w:t xml:space="preserve">use spaces around transliterated symbols as instructed in TG §7.3.4.4, i.e. essentially: </w:t>
      </w:r>
    </w:p>
    <w:p w14:paraId="3B199F9F" w14:textId="77777777">
      <w:pPr>
        <w:pStyle w:val="Lista2"/>
      </w:pPr>
      <w:r>
        <w:t>add spaces to separate the transliterated (and, if applicable, encoded) representation of any and all peripheral graphemes from any and all adjacent graphemes, except:</w:t>
      </w:r>
    </w:p>
    <w:p w14:paraId="610D6330" w14:textId="77777777">
      <w:pPr>
        <w:pStyle w:val="Lista3"/>
      </w:pPr>
      <w:r>
        <w:t>punctuation marks shall not be separated with a space from preceding text</w:t>
      </w:r>
    </w:p>
    <w:p w14:paraId="59A30CC4" w14:textId="77777777">
      <w:pPr>
        <w:pStyle w:val="Lista3"/>
      </w:pPr>
      <w:r>
        <w:t>groups of symbols appearing together may be spaced or not, at your discretion</w:t>
      </w:r>
    </w:p>
    <w:p w14:paraId="5F2D9D5C" w14:textId="77777777">
      <w:pPr>
        <w:pStyle w:val="Lista3"/>
      </w:pPr>
      <w:r>
        <w:t xml:space="preserve">use no spaces around a peripheral grapheme that interrupts a word, as in </w:t>
      </w:r>
      <w:r>
        <w:fldChar w:fldCharType="begin"/>
      </w:r>
      <w:r>
        <w:instrText xml:space="preserve"> REF _Ref182576762 \h </w:instrText>
      </w:r>
      <w:r>
        <w:fldChar w:fldCharType="separate"/>
      </w:r>
      <w:r>
        <w:t xml:space="preserve">Exhibit </w:t>
      </w:r>
      <w:r>
        <w:rPr>
          <w:noProof/>
        </w:rPr>
        <w:t>5.3</w:t>
      </w:r>
      <w:r>
        <w:t>.</w:t>
      </w:r>
      <w:r>
        <w:rPr>
          <w:noProof/>
        </w:rPr>
        <w:t>D</w:t>
      </w:r>
      <w:r>
        <w:fldChar w:fldCharType="end"/>
      </w:r>
    </w:p>
    <w:p w14:paraId="73FAAA4F" w14:textId="77777777">
      <w:pPr>
        <w:pStyle w:val="Lista"/>
      </w:pPr>
      <w:r>
        <w:t>if a peripheral grapheme appears at the boundary of two block-level containers for intrinsic structure (§</w:t>
      </w:r>
      <w:r>
        <w:fldChar w:fldCharType="begin"/>
      </w:r>
      <w:r>
        <w:instrText xml:space="preserve"> REF _Ref43978632 \r \h </w:instrText>
      </w:r>
      <w:r>
        <w:fldChar w:fldCharType="separate"/>
      </w:r>
      <w:r>
        <w:t>3</w:t>
      </w:r>
      <w:r>
        <w:fldChar w:fldCharType="end"/>
      </w:r>
      <w:r>
        <w:t>), allocate it to one of the containers depending on your judgement of its semantic function</w:t>
      </w:r>
    </w:p>
    <w:p w14:paraId="72649B5F" w14:textId="77777777">
      <w:pPr>
        <w:pStyle w:val="Lista2"/>
      </w:pPr>
      <w:r>
        <w:t>when in doubt, e.g. because a generic symbol marks the transition from one passage to another without being semantically associated with either, allocate it to the end of the earlier containing block</w:t>
      </w:r>
    </w:p>
    <w:p w14:paraId="18A98353" w14:textId="77777777">
      <w:pPr>
        <w:pStyle w:val="Lista"/>
      </w:pPr>
      <w:r>
        <w:t xml:space="preserve">as a special case, peripheral graphemes, especially punctuation marks, may be written at an </w:t>
      </w:r>
      <w:r>
        <w:rPr>
          <w:rStyle w:val="Foreign"/>
        </w:rPr>
        <w:t>akṣara</w:t>
      </w:r>
      <w:r>
        <w:t xml:space="preserve"> boundary next to, but not coincident with, a word boundary (which would fall within the </w:t>
      </w:r>
      <w:r>
        <w:rPr>
          <w:rStyle w:val="Foreign"/>
        </w:rPr>
        <w:t>akṣara</w:t>
      </w:r>
      <w:r>
        <w:t>)</w:t>
      </w:r>
    </w:p>
    <w:p w14:paraId="3A1FCBB6" w14:textId="77777777">
      <w:pPr>
        <w:pStyle w:val="Lista2"/>
      </w:pPr>
      <w:r>
        <w:t>such symbols must always be represented in the transliterated text at their actual location (and thus without editorial spacing)</w:t>
      </w:r>
    </w:p>
    <w:p w14:paraId="70D6E6AC" w14:textId="77777777">
      <w:pPr>
        <w:pStyle w:val="Lista2"/>
      </w:pPr>
      <w:r>
        <w:lastRenderedPageBreak/>
        <w:t>however, it is recommended that you flag this as non-standard usage and optionally also normalise the text (§</w:t>
      </w:r>
      <w:r>
        <w:fldChar w:fldCharType="begin"/>
      </w:r>
      <w:r>
        <w:instrText xml:space="preserve"> REF _Ref43978565 \r \h </w:instrText>
      </w:r>
      <w:r>
        <w:fldChar w:fldCharType="separate"/>
      </w:r>
      <w:r>
        <w:t>7</w:t>
      </w:r>
      <w:r>
        <w:fldChar w:fldCharType="end"/>
      </w:r>
      <w:r>
        <w:t xml:space="preserve">) by restoring the symbol at the word boundary and changing the sandhi and editorial spacing as applicable, as in </w:t>
      </w:r>
      <w:r>
        <w:fldChar w:fldCharType="begin"/>
      </w:r>
      <w:r>
        <w:instrText xml:space="preserve"> REF _Ref182562508 \h </w:instrText>
      </w:r>
      <w:r>
        <w:fldChar w:fldCharType="separate"/>
      </w:r>
      <w:r>
        <w:t xml:space="preserve">Exhibit </w:t>
      </w:r>
      <w:r>
        <w:rPr>
          <w:noProof/>
        </w:rPr>
        <w:t>5.3</w:t>
      </w:r>
      <w:r>
        <w:t>.</w:t>
      </w:r>
      <w:r>
        <w:rPr>
          <w:noProof/>
        </w:rPr>
        <w:t>G</w:t>
      </w:r>
      <w:r>
        <w:fldChar w:fldCharType="end"/>
      </w:r>
    </w:p>
    <w:p w14:paraId="1144170E" w14:textId="2E48152F">
      <w:pPr>
        <w:pStyle w:val="Lista2"/>
      </w:pPr>
      <w:r>
        <w:t>when this happens at the end of a container element such as a verse line, encode the container boundary at its logical place (§</w:t>
      </w:r>
      <w:r>
        <w:fldChar w:fldCharType="begin"/>
      </w:r>
      <w:r>
        <w:instrText xml:space="preserve"> REF _Ref225328264 \r \h </w:instrText>
      </w:r>
      <w:r>
        <w:fldChar w:fldCharType="separate"/>
      </w:r>
      <w:r>
        <w:t>3.2.4.1</w:t>
      </w:r>
      <w:r>
        <w:fldChar w:fldCharType="end"/>
      </w:r>
      <w:r>
        <w:t xml:space="preserve">), disregarding the </w:t>
      </w:r>
      <w:r>
        <w:rPr>
          <w:rStyle w:val="Foreign"/>
        </w:rPr>
        <w:t>akṣara</w:t>
      </w:r>
      <w:r>
        <w:t xml:space="preserve"> boundary and the symbol</w:t>
      </w:r>
    </w:p>
    <w:tbl>
      <w:tblPr>
        <w:tblStyle w:val="FigureTable"/>
        <w:tblW w:w="5000" w:type="pct"/>
        <w:tblLook w:val="04A0" w:firstRow="1" w:lastRow="0" w:firstColumn="1" w:lastColumn="0" w:noHBand="0" w:noVBand="1"/>
      </w:tblPr>
      <w:tblGrid>
        <w:gridCol w:w="9628"/>
      </w:tblGrid>
      <w:tr w14:paraId="1D94D87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C352336" w14:textId="77777777">
            <w:pPr>
              <w:pStyle w:val="Kpalrs"/>
              <w:keepLines/>
            </w:pPr>
            <w:bookmarkStart w:id="452" w:name="_Ref182562508"/>
            <w:r>
              <w:t xml:space="preserve">Exhibit </w:t>
            </w:r>
            <w:fldSimple w:instr=" STYLEREF 2 \s ">
              <w:r>
                <w:rPr>
                  <w:noProof/>
                </w:rPr>
                <w:t>5.3</w:t>
              </w:r>
            </w:fldSimple>
            <w:r>
              <w:t>.</w:t>
            </w:r>
            <w:fldSimple w:instr=" SEQ Exhibit \* ALPHABETIC \s 2 ">
              <w:r>
                <w:rPr>
                  <w:noProof/>
                </w:rPr>
                <w:t>G</w:t>
              </w:r>
            </w:fldSimple>
            <w:bookmarkEnd w:id="452"/>
            <w:r>
              <w:t xml:space="preserve">: punctuation placed at </w:t>
            </w:r>
            <w:r>
              <w:rPr>
                <w:rStyle w:val="Foreign"/>
              </w:rPr>
              <w:t>akṣara</w:t>
            </w:r>
            <w:r>
              <w:t xml:space="preserve"> boundary rather than word boundary</w:t>
            </w:r>
          </w:p>
        </w:tc>
      </w:tr>
      <w:tr w14:paraId="668555A6" w14:textId="77777777">
        <w:tc>
          <w:tcPr>
            <w:tcW w:w="5000" w:type="pct"/>
          </w:tcPr>
          <w:p w14:paraId="7241EF46" w14:textId="77777777">
            <w:pPr>
              <w:pStyle w:val="Image"/>
              <w:keepLines/>
              <w:widowControl/>
              <w:rPr>
                <w:rStyle w:val="Code"/>
              </w:rPr>
            </w:pPr>
            <w:r>
              <w:drawing>
                <wp:inline distT="0" distB="0" distL="0" distR="0" wp14:anchorId="1AE18799" wp14:editId="591BB2F3">
                  <wp:extent cx="6120765" cy="1009650"/>
                  <wp:effectExtent l="0" t="0" r="0" b="0"/>
                  <wp:docPr id="58615828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6120765" cy="1009650"/>
                          </a:xfrm>
                          <a:prstGeom prst="rect">
                            <a:avLst/>
                          </a:prstGeom>
                          <a:noFill/>
                          <a:ln>
                            <a:noFill/>
                          </a:ln>
                        </pic:spPr>
                      </pic:pic>
                    </a:graphicData>
                  </a:graphic>
                </wp:inline>
              </w:drawing>
            </w:r>
          </w:p>
        </w:tc>
      </w:tr>
      <w:tr w14:paraId="44D23022" w14:textId="77777777">
        <w:tc>
          <w:tcPr>
            <w:tcW w:w="5000" w:type="pct"/>
          </w:tcPr>
          <w:p w14:paraId="2433C003" w14:textId="77777777">
            <w:pPr>
              <w:pStyle w:val="TableNote"/>
              <w:keepNext/>
              <w:keepLines/>
              <w:rPr>
                <w:rStyle w:val="Codetext"/>
              </w:rPr>
            </w:pPr>
            <w:r>
              <w:t xml:space="preserve">flagged: </w:t>
            </w:r>
            <w:r>
              <w:rPr>
                <w:rStyle w:val="Codetext"/>
              </w:rPr>
              <w:t xml:space="preserve">...yuvarājaḫ </w:t>
            </w:r>
            <w:bookmarkStart w:id="453" w:name="_Hlk227836756"/>
            <w:r>
              <w:rPr>
                <w:rStyle w:val="Codetext"/>
              </w:rPr>
              <w:t>paṁcaviṁśati</w:t>
            </w:r>
            <w:r>
              <w:rPr>
                <w:rStyle w:val="Code"/>
              </w:rPr>
              <w:t>&lt;orig&gt;</w:t>
            </w:r>
            <w:r>
              <w:rPr>
                <w:rStyle w:val="Codetext"/>
              </w:rPr>
              <w:t>|n</w:t>
            </w:r>
            <w:r>
              <w:rPr>
                <w:rStyle w:val="Code"/>
              </w:rPr>
              <w:t>&lt;/orig&gt;</w:t>
            </w:r>
            <w:r>
              <w:rPr>
                <w:rStyle w:val="Codetext"/>
              </w:rPr>
              <w:t>tat-putro</w:t>
            </w:r>
            <w:bookmarkEnd w:id="453"/>
            <w:r>
              <w:rPr>
                <w:rStyle w:val="Codetext"/>
              </w:rPr>
              <w:t>...</w:t>
            </w:r>
          </w:p>
          <w:p w14:paraId="7059EC7B" w14:textId="77777777">
            <w:pPr>
              <w:pStyle w:val="TableNote"/>
              <w:keepNext/>
              <w:keepLines/>
              <w:rPr>
                <w:rStyle w:val="Code"/>
              </w:rPr>
            </w:pPr>
            <w:r>
              <w:t xml:space="preserve">normalised: </w:t>
            </w:r>
            <w:r>
              <w:rPr>
                <w:rStyle w:val="Codetext"/>
              </w:rPr>
              <w:t>...yuvarājaḫ paṁcaviṁśati</w:t>
            </w:r>
            <w:r>
              <w:rPr>
                <w:rStyle w:val="Code"/>
              </w:rPr>
              <w:t>&lt;choice&gt;&lt;orig&gt;</w:t>
            </w:r>
            <w:r>
              <w:rPr>
                <w:rStyle w:val="Codetext"/>
              </w:rPr>
              <w:t>|n</w:t>
            </w:r>
            <w:r>
              <w:rPr>
                <w:rStyle w:val="Code"/>
              </w:rPr>
              <w:t>&lt;/orig&gt;&lt;reg&gt;</w:t>
            </w:r>
            <w:r>
              <w:rPr>
                <w:rStyle w:val="Codetext"/>
              </w:rPr>
              <w:t xml:space="preserve">M| </w:t>
            </w:r>
            <w:r>
              <w:rPr>
                <w:rStyle w:val="Code"/>
              </w:rPr>
              <w:t>&lt;/reg&gt;&lt;/choice&gt;</w:t>
            </w:r>
            <w:r>
              <w:rPr>
                <w:rStyle w:val="Codetext"/>
              </w:rPr>
              <w:t>tat-putro...</w:t>
            </w:r>
          </w:p>
        </w:tc>
      </w:tr>
      <w:tr w14:paraId="3206C21F" w14:textId="77777777">
        <w:tc>
          <w:tcPr>
            <w:tcW w:w="5000" w:type="pct"/>
          </w:tcPr>
          <w:p w14:paraId="4E8D4F29" w14:textId="77777777">
            <w:pPr>
              <w:pStyle w:val="TableNote"/>
            </w:pPr>
            <w:r>
              <w:t xml:space="preserve">the punctuation mark belonging at the end of the word </w:t>
            </w:r>
            <w:r>
              <w:rPr>
                <w:rStyle w:val="Foreign"/>
              </w:rPr>
              <w:t>paṁcaviṁśatim</w:t>
            </w:r>
            <w:r>
              <w:t xml:space="preserve"> is written after </w:t>
            </w:r>
            <w:r>
              <w:rPr>
                <w:rStyle w:val="Foreign"/>
              </w:rPr>
              <w:t>ti</w:t>
            </w:r>
            <w:r>
              <w:t>, because the end of this word has been inscribed as a homorganic nasal forming a conjunct with the beginning of the next word</w:t>
            </w:r>
          </w:p>
          <w:p w14:paraId="1E22A453" w14:textId="77777777">
            <w:pPr>
              <w:pStyle w:val="TableNote"/>
            </w:pPr>
            <w:r>
              <w:t>the arbitrary placeholder | used in the illustration could of course be supplemented with encoding or replaced with a default placeholder plus encoding</w:t>
            </w:r>
          </w:p>
        </w:tc>
      </w:tr>
    </w:tbl>
    <w:p w14:paraId="4851DB0E" w14:textId="77777777">
      <w:pPr>
        <w:pStyle w:val="Cmsor2"/>
      </w:pPr>
      <w:bookmarkStart w:id="454" w:name="_Toc243900302"/>
      <w:bookmarkEnd w:id="446"/>
      <w:r>
        <w:t>Space</w:t>
      </w:r>
      <w:bookmarkEnd w:id="447"/>
      <w:r>
        <w:t xml:space="preserve"> left blank in the original</w:t>
      </w:r>
      <w:bookmarkEnd w:id="448"/>
      <w:bookmarkEnd w:id="454"/>
    </w:p>
    <w:p w14:paraId="074D7FFB" w14:textId="77777777">
      <w:r>
        <w:t xml:space="preserve">As discussed in TG §5.6, all spaces in our transliterated texts will be considered editorial. Consequently, </w:t>
      </w:r>
      <w:r>
        <w:rPr>
          <w:lang w:eastAsia="en-US" w:bidi="ar-SA"/>
        </w:rPr>
        <w:t>s</w:t>
      </w:r>
      <w:r>
        <w:t xml:space="preserve">paces present in the source and deemed significant must always be represented in transliterated texts. The _ (underscore) character is a dedicated placeholder for significant space in DHARMA transliteration. In XML editions, this must normally be replaced by (not wrapped in) the empty element </w:t>
      </w:r>
      <w:r>
        <w:rPr>
          <w:rStyle w:val="Code"/>
        </w:rPr>
        <w:t>&lt;space/&gt;</w:t>
      </w:r>
      <w:r>
        <w:t>. This encoding, unlike the transliteration placeholder, allows us to record the nature (§</w:t>
      </w:r>
      <w:r>
        <w:fldChar w:fldCharType="begin"/>
      </w:r>
      <w:r>
        <w:instrText xml:space="preserve"> REF _Ref227833893 \r \h </w:instrText>
      </w:r>
      <w:r>
        <w:fldChar w:fldCharType="separate"/>
      </w:r>
      <w:r>
        <w:t>5.4.2</w:t>
      </w:r>
      <w:r>
        <w:fldChar w:fldCharType="end"/>
      </w:r>
      <w:r>
        <w:t>) and size (§</w:t>
      </w:r>
      <w:r>
        <w:fldChar w:fldCharType="begin"/>
      </w:r>
      <w:r>
        <w:instrText xml:space="preserve"> REF _Ref183008428 \r \h </w:instrText>
      </w:r>
      <w:r>
        <w:fldChar w:fldCharType="separate"/>
      </w:r>
      <w:r>
        <w:t>5.4.2.4</w:t>
      </w:r>
      <w:r>
        <w:fldChar w:fldCharType="end"/>
      </w:r>
      <w:r>
        <w:t>) of each space in attributes of that element. Small spaces used for semantic segmentation (§</w:t>
      </w:r>
      <w:r>
        <w:fldChar w:fldCharType="begin"/>
      </w:r>
      <w:r>
        <w:instrText xml:space="preserve"> REF _Ref183011891 \r \h </w:instrText>
      </w:r>
      <w:r>
        <w:fldChar w:fldCharType="separate"/>
      </w:r>
      <w:r>
        <w:t>5.4.1</w:t>
      </w:r>
      <w:r>
        <w:fldChar w:fldCharType="end"/>
      </w:r>
      <w:r>
        <w:t xml:space="preserve">) do not require these details and may be represented either by means of </w:t>
      </w:r>
      <w:r>
        <w:rPr>
          <w:rStyle w:val="Code"/>
        </w:rPr>
        <w:t>&lt;space/&gt;</w:t>
      </w:r>
      <w:r>
        <w:t xml:space="preserve"> without attributes or by means of the underscore, but the former is preferable in an XML context.</w:t>
      </w:r>
    </w:p>
    <w:p w14:paraId="43337622" w14:textId="77777777">
      <w:pPr>
        <w:pStyle w:val="Cmsor3"/>
      </w:pPr>
      <w:bookmarkStart w:id="455" w:name="_g16v5ug6dm4p" w:colFirst="0" w:colLast="0"/>
      <w:bookmarkStart w:id="456" w:name="_Ref183011891"/>
      <w:bookmarkStart w:id="457" w:name="_Toc243900303"/>
      <w:bookmarkStart w:id="458" w:name="_Ref43987645"/>
      <w:bookmarkStart w:id="459" w:name="_Ref134026679"/>
      <w:bookmarkEnd w:id="455"/>
      <w:r>
        <w:t>Space for semantic segmentation</w:t>
      </w:r>
      <w:bookmarkEnd w:id="456"/>
      <w:bookmarkEnd w:id="457"/>
    </w:p>
    <w:p w14:paraId="2847C7CD" w14:textId="77777777">
      <w:r>
        <w:t>This subsection is about spaces employed within lines with the presumed purpose of separating semantic units. Regular TEI practice</w:t>
      </w:r>
      <w:r>
        <w:rPr>
          <w:rStyle w:val="Lbjegyzet-hivatkozs"/>
        </w:rPr>
        <w:footnoteReference w:id="25"/>
      </w:r>
      <w:r>
        <w:t xml:space="preserve"> is not to use </w:t>
      </w:r>
      <w:r>
        <w:rPr>
          <w:rStyle w:val="Code"/>
        </w:rPr>
        <w:t>&lt;space/&gt;</w:t>
      </w:r>
      <w:r>
        <w:t xml:space="preserve"> for interword spaces, but since our texts normally use </w:t>
      </w:r>
      <w:r>
        <w:rPr>
          <w:rStyle w:val="Foreign"/>
        </w:rPr>
        <w:t>scriptio continua</w:t>
      </w:r>
      <w:r>
        <w:t xml:space="preserve"> (i.e. they do not space words), we generally consider them to be significant spaces when they do occur and encode them accordingly. Guidelines for when interword spaces are, or are not, to be recognised as significant are given in §</w:t>
      </w:r>
      <w:r>
        <w:fldChar w:fldCharType="begin"/>
      </w:r>
      <w:r>
        <w:instrText xml:space="preserve"> REF _Ref227833891 \r \h </w:instrText>
      </w:r>
      <w:r>
        <w:fldChar w:fldCharType="separate"/>
      </w:r>
      <w:r>
        <w:t>5.4.1.1</w:t>
      </w:r>
      <w:r>
        <w:fldChar w:fldCharType="end"/>
      </w:r>
      <w:r>
        <w:t xml:space="preserve"> below, while the special case of spacing metrical units is discussed in §</w:t>
      </w:r>
      <w:r>
        <w:fldChar w:fldCharType="begin"/>
      </w:r>
      <w:r>
        <w:instrText xml:space="preserve"> REF _Ref227833892 \r \h </w:instrText>
      </w:r>
      <w:r>
        <w:fldChar w:fldCharType="separate"/>
      </w:r>
      <w:r>
        <w:t>5.4.1.2</w:t>
      </w:r>
      <w:r>
        <w:fldChar w:fldCharType="end"/>
      </w:r>
      <w:r>
        <w:t>.</w:t>
      </w:r>
    </w:p>
    <w:p w14:paraId="64C8C7F5" w14:textId="77777777">
      <w:pPr>
        <w:pStyle w:val="Lista"/>
      </w:pPr>
      <w:r>
        <w:t>for our purposes, spaces are deemed to serve semantic segmentation when they appear</w:t>
      </w:r>
    </w:p>
    <w:p w14:paraId="05ABDC99" w14:textId="77777777">
      <w:pPr>
        <w:pStyle w:val="Lista2"/>
      </w:pPr>
      <w:r>
        <w:t>between words</w:t>
      </w:r>
    </w:p>
    <w:p w14:paraId="2D3A7DD9" w14:textId="77777777">
      <w:pPr>
        <w:pStyle w:val="Lista2"/>
      </w:pPr>
      <w:r>
        <w:t>after stanzas or verse lines</w:t>
      </w:r>
    </w:p>
    <w:p w14:paraId="37FAC460" w14:textId="77777777">
      <w:pPr>
        <w:pStyle w:val="Lista3"/>
      </w:pPr>
      <w:r>
        <w:t>spaces at the same horizontal position in multiple lines, dividing the text into visually separate columns, may instead be encoded as gridlike partitions as per §</w:t>
      </w:r>
      <w:r>
        <w:fldChar w:fldCharType="begin"/>
      </w:r>
      <w:r>
        <w:instrText xml:space="preserve"> REF _Ref43984651 \r \h </w:instrText>
      </w:r>
      <w:r>
        <w:fldChar w:fldCharType="separate"/>
      </w:r>
      <w:r>
        <w:t>4.6</w:t>
      </w:r>
      <w:r>
        <w:fldChar w:fldCharType="end"/>
      </w:r>
    </w:p>
    <w:p w14:paraId="2A4C68D9" w14:textId="77777777">
      <w:pPr>
        <w:pStyle w:val="Lista2"/>
      </w:pPr>
      <w:r>
        <w:t>at a transition from verse to prose or vice versa</w:t>
      </w:r>
    </w:p>
    <w:p w14:paraId="505F1BBB" w14:textId="77777777">
      <w:pPr>
        <w:pStyle w:val="Lista2"/>
      </w:pPr>
      <w:r>
        <w:t>at points where the topic changes markedly, for instance</w:t>
      </w:r>
    </w:p>
    <w:p w14:paraId="6BB7B909" w14:textId="77777777">
      <w:pPr>
        <w:pStyle w:val="Lista3"/>
      </w:pPr>
      <w:r>
        <w:t>after an initial salutation or auspicious phrase</w:t>
      </w:r>
    </w:p>
    <w:p w14:paraId="024281E3" w14:textId="77777777">
      <w:pPr>
        <w:pStyle w:val="Lista3"/>
      </w:pPr>
      <w:r>
        <w:t>before a colophon</w:t>
      </w:r>
    </w:p>
    <w:p w14:paraId="4C7D9F6E" w14:textId="77777777">
      <w:pPr>
        <w:pStyle w:val="Lista"/>
      </w:pPr>
      <w:r>
        <w:lastRenderedPageBreak/>
        <w:t xml:space="preserve">space employed for semantic segmentation shall normally be encoded using the </w:t>
      </w:r>
      <w:r>
        <w:rPr>
          <w:rStyle w:val="Code"/>
        </w:rPr>
        <w:t>&lt;space/&gt;</w:t>
      </w:r>
      <w:r>
        <w:t xml:space="preserve"> element</w:t>
      </w:r>
    </w:p>
    <w:p w14:paraId="0A5A211F" w14:textId="77777777">
      <w:pPr>
        <w:pStyle w:val="Lista2"/>
      </w:pPr>
      <w:r>
        <w:t xml:space="preserve">without </w:t>
      </w:r>
      <w:r>
        <w:rPr>
          <w:rStyle w:val="Codeattribute"/>
        </w:rPr>
        <w:t>@type</w:t>
      </w:r>
      <w:r>
        <w:t>, i.e. semantic spacing is understood in our convention to be the default type of space</w:t>
      </w:r>
    </w:p>
    <w:p w14:paraId="3EB56ACB" w14:textId="77777777">
      <w:pPr>
        <w:pStyle w:val="Lista2"/>
      </w:pPr>
      <w:r>
        <w:t>without size encoding, because semantic spacing is usually normal-sized</w:t>
      </w:r>
    </w:p>
    <w:p w14:paraId="50CEC0FE" w14:textId="77777777">
      <w:pPr>
        <w:pStyle w:val="Lista2"/>
      </w:pPr>
      <w:r>
        <w:t>however, for conspicuously large semantic spaces (exceeding two average character widths),</w:t>
      </w:r>
      <w:r>
        <w:rPr>
          <w:noProof/>
        </w:rPr>
        <w:t xml:space="preserve"> </w:t>
      </w:r>
      <w:r>
        <w:t>size must be encoded as per §</w:t>
      </w:r>
      <w:r>
        <w:fldChar w:fldCharType="begin"/>
      </w:r>
      <w:r>
        <w:instrText xml:space="preserve"> REF _Ref183008428 \r \h </w:instrText>
      </w:r>
      <w:r>
        <w:fldChar w:fldCharType="separate"/>
      </w:r>
      <w:r>
        <w:t>5.4.2.4</w:t>
      </w:r>
      <w:r>
        <w:fldChar w:fldCharType="end"/>
      </w:r>
    </w:p>
    <w:p w14:paraId="26CEA28C" w14:textId="77777777">
      <w:pPr>
        <w:pStyle w:val="Cmsor4"/>
      </w:pPr>
      <w:bookmarkStart w:id="460" w:name="_Ref227833891"/>
      <w:bookmarkStart w:id="461" w:name="_Ref183008079"/>
      <w:bookmarkStart w:id="462" w:name="_Ref183006525"/>
      <w:r>
        <w:t>When is interword spacing significant?</w:t>
      </w:r>
      <w:bookmarkEnd w:id="460"/>
    </w:p>
    <w:p w14:paraId="603E9944" w14:textId="77777777">
      <w:pPr>
        <w:pStyle w:val="Lista"/>
      </w:pPr>
      <w:r>
        <w:t>spaces smaller than the width of one average character may be ignored at your discretion</w:t>
      </w:r>
    </w:p>
    <w:p w14:paraId="5C8ABFAF" w14:textId="77777777">
      <w:pPr>
        <w:pStyle w:val="Lista"/>
      </w:pPr>
      <w:r>
        <w:t xml:space="preserve">it is generally </w:t>
      </w:r>
      <w:r>
        <w:rPr>
          <w:b/>
          <w:bCs/>
        </w:rPr>
        <w:t>preferable not to encode semantic spaces</w:t>
      </w:r>
      <w:r>
        <w:t xml:space="preserve"> in the following cases:</w:t>
      </w:r>
    </w:p>
    <w:p w14:paraId="51E891B0" w14:textId="77777777">
      <w:pPr>
        <w:pStyle w:val="Lista2"/>
      </w:pPr>
      <w:r>
        <w:t>when small spaces appear without an obvious semantic function, such as</w:t>
      </w:r>
    </w:p>
    <w:p w14:paraId="6229E31A" w14:textId="77777777">
      <w:pPr>
        <w:pStyle w:val="Lista3"/>
      </w:pPr>
      <w:r>
        <w:t>space between adjacent glyphs within a word</w:t>
      </w:r>
    </w:p>
    <w:p w14:paraId="7BFA584C" w14:textId="77777777">
      <w:pPr>
        <w:pStyle w:val="Lista3"/>
      </w:pPr>
      <w:r>
        <w:t>interword spaces that are no larger than spaces occurring between glyphs within a word</w:t>
      </w:r>
    </w:p>
    <w:p w14:paraId="4E1A657A" w14:textId="77777777">
      <w:pPr>
        <w:pStyle w:val="Lista3"/>
      </w:pPr>
      <w:r>
        <w:t>however, segments written in conspicuously widely spaced glyphs may be marked up as per §</w:t>
      </w:r>
      <w:r>
        <w:fldChar w:fldCharType="begin"/>
      </w:r>
      <w:r>
        <w:instrText xml:space="preserve"> REF _Ref43987586 \w \h  \* MERGEFORMAT </w:instrText>
      </w:r>
      <w:r>
        <w:fldChar w:fldCharType="separate"/>
      </w:r>
      <w:r>
        <w:t>8.3</w:t>
      </w:r>
      <w:r>
        <w:fldChar w:fldCharType="end"/>
      </w:r>
    </w:p>
    <w:p w14:paraId="65B3DB8D" w14:textId="77777777">
      <w:pPr>
        <w:pStyle w:val="Lista2"/>
      </w:pPr>
      <w:r>
        <w:t>when small spaces appear between phonographic and other graphemes, such as</w:t>
      </w:r>
    </w:p>
    <w:p w14:paraId="3FFA8F15" w14:textId="77777777">
      <w:pPr>
        <w:pStyle w:val="Lista3"/>
      </w:pPr>
      <w:r>
        <w:t>before and/or after numeral signs</w:t>
      </w:r>
    </w:p>
    <w:p w14:paraId="0A4FF0D3" w14:textId="77777777">
      <w:pPr>
        <w:pStyle w:val="Lista3"/>
      </w:pPr>
      <w:r>
        <w:t>before and/or after punctuation marks and other symbols</w:t>
      </w:r>
    </w:p>
    <w:p w14:paraId="37D67A1D" w14:textId="77777777">
      <w:pPr>
        <w:pStyle w:val="Lista2"/>
      </w:pPr>
      <w:r>
        <w:t>when interword spaces appear consistently throughout an inscription</w:t>
      </w:r>
    </w:p>
    <w:p w14:paraId="3A176B80" w14:textId="77777777">
      <w:pPr>
        <w:pStyle w:val="Lista3"/>
      </w:pPr>
      <w:r>
        <w:t xml:space="preserve">this feature of an inscription (i.e. the fact that it does not use </w:t>
      </w:r>
      <w:r>
        <w:rPr>
          <w:rStyle w:val="Foreign"/>
        </w:rPr>
        <w:t>scriptio continua</w:t>
      </w:r>
      <w:r>
        <w:t>) may be mentioned in the metadata or commentary rather than being encoded at every instance</w:t>
      </w:r>
    </w:p>
    <w:p w14:paraId="2F83D37C" w14:textId="77777777">
      <w:pPr>
        <w:pStyle w:val="Lista2"/>
      </w:pPr>
      <w:r>
        <w:t xml:space="preserve">it is generally </w:t>
      </w:r>
      <w:r>
        <w:rPr>
          <w:b/>
          <w:bCs/>
        </w:rPr>
        <w:t>preferable to encode semantic spaces</w:t>
      </w:r>
      <w:r>
        <w:t xml:space="preserve"> in the following cases, even if they are smaller than one typical character width:</w:t>
      </w:r>
    </w:p>
    <w:p w14:paraId="6F55088C" w14:textId="77777777">
      <w:pPr>
        <w:pStyle w:val="Lista3"/>
      </w:pPr>
      <w:r>
        <w:t>when interword spaces are used inconsistently in an inscription</w:t>
      </w:r>
    </w:p>
    <w:p w14:paraId="2C35CE29" w14:textId="77777777">
      <w:pPr>
        <w:pStyle w:val="Lista3"/>
      </w:pPr>
      <w:r>
        <w:t>when a particular space appears in lieu of punctuation at the end of a semantic unit (e.g. stanza, verse line or a topic in prose)</w:t>
      </w:r>
    </w:p>
    <w:p w14:paraId="2732B291" w14:textId="77777777">
      <w:pPr>
        <w:pStyle w:val="Cmsor4"/>
      </w:pPr>
      <w:bookmarkStart w:id="463" w:name="_Ref227833892"/>
      <w:r>
        <w:t>Spacing on a metrical basis</w:t>
      </w:r>
      <w:bookmarkEnd w:id="463"/>
    </w:p>
    <w:p w14:paraId="5EF93CF1" w14:textId="77777777">
      <w:r>
        <w:t xml:space="preserve">The boundaries of metrical units (stanzas, verse lines, cola) are sometimes indicated in inscriptions with spaces, regardless of whether they coincide with a semantic boundary or not. Metrically based spaces, for instance between stanza quarters, may appear consistently one below the other, in effect dividing the text into two or more quasi-columns. In this special case, illustrated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 you can choose at your discretion to encode gridlike partitions for the quasi-columns as per §</w:t>
      </w:r>
      <w:r>
        <w:fldChar w:fldCharType="begin"/>
      </w:r>
      <w:r>
        <w:instrText xml:space="preserve"> REF _Ref43984651 \r \h </w:instrText>
      </w:r>
      <w:r>
        <w:fldChar w:fldCharType="separate"/>
      </w:r>
      <w:r>
        <w:t>4.6</w:t>
      </w:r>
      <w:r>
        <w:fldChar w:fldCharType="end"/>
      </w:r>
      <w:r>
        <w:t xml:space="preserve">, or simply to encode each space in its place. Both encodings are shown in </w:t>
      </w:r>
      <w:r>
        <w:fldChar w:fldCharType="begin"/>
      </w:r>
      <w:r>
        <w:instrText xml:space="preserve"> REF _Ref44078509 \h </w:instrText>
      </w:r>
      <w:r>
        <w:fldChar w:fldCharType="separate"/>
      </w:r>
      <w:r>
        <w:t xml:space="preserve">Exhibit </w:t>
      </w:r>
      <w:r>
        <w:rPr>
          <w:noProof/>
        </w:rPr>
        <w:t>4.7</w:t>
      </w:r>
      <w:r>
        <w:t>.</w:t>
      </w:r>
      <w:r>
        <w:rPr>
          <w:noProof/>
        </w:rPr>
        <w:t>Q</w:t>
      </w:r>
      <w:r>
        <w:fldChar w:fldCharType="end"/>
      </w:r>
      <w:r>
        <w:t>.</w:t>
      </w:r>
    </w:p>
    <w:p w14:paraId="1AA3C258" w14:textId="77777777">
      <w:pPr>
        <w:pStyle w:val="Normlbehzs"/>
      </w:pPr>
      <w:r>
        <w:t xml:space="preserve">In other cases, typically when the inscribed lines do not coincide with metrical units, the spacing of metrical units does not give rise a layout feature. Instead, the metrical spaces will be staggered line after line as illustrated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xml:space="preserve">, rather than lining up vertically. In this case, the metrical spaces can only be encoded as </w:t>
      </w:r>
      <w:r>
        <w:rPr>
          <w:rStyle w:val="Code"/>
        </w:rPr>
        <w:t>&lt;space/&gt;</w:t>
      </w:r>
      <w:r>
        <w:t xml:space="preserve"> elements; or, when they coincide with the boundaries of encoded containers (as the ends of verse lines in </w:t>
      </w:r>
      <w:r>
        <w:fldChar w:fldCharType="begin"/>
      </w:r>
      <w:r>
        <w:instrText xml:space="preserve"> REF _Ref182995673 \h </w:instrText>
      </w:r>
      <w:r>
        <w:fldChar w:fldCharType="separate"/>
      </w:r>
      <w:r>
        <w:t xml:space="preserve">Exhibit </w:t>
      </w:r>
      <w:r>
        <w:rPr>
          <w:noProof/>
        </w:rPr>
        <w:t>5.4</w:t>
      </w:r>
      <w:r>
        <w:t>.</w:t>
      </w:r>
      <w:r>
        <w:rPr>
          <w:noProof/>
        </w:rPr>
        <w:t>A</w:t>
      </w:r>
      <w:r>
        <w:fldChar w:fldCharType="end"/>
      </w:r>
      <w:r>
        <w:t>), they may be left unencoded at your discretion.</w:t>
      </w:r>
    </w:p>
    <w:tbl>
      <w:tblPr>
        <w:tblStyle w:val="CodeSampleTable"/>
        <w:tblW w:w="5000" w:type="pct"/>
        <w:tblLook w:val="04A0" w:firstRow="1" w:lastRow="0" w:firstColumn="1" w:lastColumn="0" w:noHBand="0" w:noVBand="1"/>
      </w:tblPr>
      <w:tblGrid>
        <w:gridCol w:w="9628"/>
      </w:tblGrid>
      <w:tr w14:paraId="5B6BFFE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6366D0" w14:textId="77777777">
            <w:pPr>
              <w:pStyle w:val="Kpalrs"/>
            </w:pPr>
            <w:bookmarkStart w:id="464" w:name="_Ref182995673"/>
            <w:r>
              <w:t xml:space="preserve">Exhibit </w:t>
            </w:r>
            <w:fldSimple w:instr=" STYLEREF 2 \s ">
              <w:r>
                <w:rPr>
                  <w:noProof/>
                </w:rPr>
                <w:t>5.4</w:t>
              </w:r>
            </w:fldSimple>
            <w:r>
              <w:t>.</w:t>
            </w:r>
            <w:fldSimple w:instr=" SEQ Exhibit \* ALPHABETIC \s 2 ">
              <w:r>
                <w:rPr>
                  <w:noProof/>
                </w:rPr>
                <w:t>A</w:t>
              </w:r>
            </w:fldSimple>
            <w:bookmarkEnd w:id="464"/>
            <w:r>
              <w:t>: spacing between prosodic units</w:t>
            </w:r>
          </w:p>
        </w:tc>
      </w:tr>
      <w:tr w14:paraId="6558482C" w14:textId="77777777">
        <w:tc>
          <w:tcPr>
            <w:tcW w:w="5000" w:type="pct"/>
          </w:tcPr>
          <w:p w14:paraId="5945C9B7" w14:textId="77777777">
            <w:pPr>
              <w:pStyle w:val="Image"/>
            </w:pPr>
            <w:r>
              <w:drawing>
                <wp:inline distT="0" distB="0" distL="0" distR="0" wp14:anchorId="16AD013A" wp14:editId="0614C599">
                  <wp:extent cx="5397500" cy="1515110"/>
                  <wp:effectExtent l="0" t="0" r="0" b="8890"/>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97500" cy="1515110"/>
                          </a:xfrm>
                          <a:prstGeom prst="rect">
                            <a:avLst/>
                          </a:prstGeom>
                          <a:noFill/>
                          <a:ln>
                            <a:noFill/>
                          </a:ln>
                        </pic:spPr>
                      </pic:pic>
                    </a:graphicData>
                  </a:graphic>
                </wp:inline>
              </w:drawing>
            </w:r>
          </w:p>
        </w:tc>
      </w:tr>
      <w:tr w14:paraId="10947526" w14:textId="77777777">
        <w:tc>
          <w:tcPr>
            <w:tcW w:w="5000" w:type="pct"/>
          </w:tcPr>
          <w:p w14:paraId="06D59FE5" w14:textId="77777777">
            <w:pPr>
              <w:pStyle w:val="TableNote"/>
            </w:pPr>
            <w:r>
              <w:t>in this inscription, spaces have been left blank in the text at caesuras and line ends</w:t>
            </w:r>
          </w:p>
          <w:p w14:paraId="4C63DAD9" w14:textId="77777777">
            <w:pPr>
              <w:pStyle w:val="TableNote"/>
            </w:pPr>
            <w:r>
              <w:t xml:space="preserve">however, the spaces do not line up one below the other (as they do in </w:t>
            </w:r>
            <w:r>
              <w:fldChar w:fldCharType="begin"/>
            </w:r>
            <w:r>
              <w:instrText xml:space="preserve"> REF _Ref44078509 \h  \* MERGEFORMAT </w:instrText>
            </w:r>
            <w:r>
              <w:fldChar w:fldCharType="separate"/>
            </w:r>
            <w:r>
              <w:t>Exhibit 4.7.Q</w:t>
            </w:r>
            <w:r>
              <w:fldChar w:fldCharType="end"/>
            </w:r>
            <w:r>
              <w:t>)</w:t>
            </w:r>
          </w:p>
          <w:p w14:paraId="2DCF9BB0" w14:textId="77777777">
            <w:pPr>
              <w:pStyle w:val="TableNote"/>
            </w:pPr>
            <w:r>
              <w:t>therefore, they are to be encoded as semantic spaces (if at all), not as gridlike milestones</w:t>
            </w:r>
          </w:p>
        </w:tc>
      </w:tr>
      <w:tr w14:paraId="16D77CC5" w14:textId="77777777">
        <w:tc>
          <w:tcPr>
            <w:tcW w:w="5000" w:type="pct"/>
          </w:tcPr>
          <w:p w14:paraId="2A5EEDDA" w14:textId="77777777">
            <w:pPr>
              <w:pStyle w:val="CodeParagraph"/>
              <w:rPr>
                <w:rStyle w:val="Code"/>
                <w:color w:val="000000" w:themeColor="text1"/>
              </w:rPr>
            </w:pPr>
            <w:r>
              <w:rPr>
                <w:rStyle w:val="Code"/>
              </w:rPr>
              <w:lastRenderedPageBreak/>
              <w:t xml:space="preserve">&lt;lg </w:t>
            </w:r>
            <w:r>
              <w:rPr>
                <w:rStyle w:val="Codeattribute"/>
              </w:rPr>
              <w:t>n</w:t>
            </w:r>
            <w:r>
              <w:rPr>
                <w:rStyle w:val="Code"/>
              </w:rPr>
              <w:t>=</w:t>
            </w:r>
            <w:r>
              <w:rPr>
                <w:rStyle w:val="Codevalue"/>
              </w:rPr>
              <w:t>"1"</w:t>
            </w:r>
            <w:r>
              <w:rPr>
                <w:rStyle w:val="Code"/>
              </w:rPr>
              <w:t>&gt;</w:t>
            </w:r>
            <w:r>
              <w:rPr>
                <w:rStyle w:val="Codetext"/>
              </w:rPr>
              <w:br/>
              <w:t xml:space="preserve">  </w:t>
            </w:r>
            <w:r>
              <w:rPr>
                <w:rStyle w:val="Code"/>
              </w:rPr>
              <w:t>&lt;l</w:t>
            </w:r>
            <w:r>
              <w:rPr>
                <w:rStyle w:val="Codeattribute"/>
              </w:rPr>
              <w:t xml:space="preserve"> n</w:t>
            </w:r>
            <w:r>
              <w:rPr>
                <w:rStyle w:val="Code"/>
              </w:rPr>
              <w:t>=</w:t>
            </w:r>
            <w:r>
              <w:rPr>
                <w:rStyle w:val="Codevalue"/>
              </w:rPr>
              <w:t>"a"</w:t>
            </w:r>
            <w:r>
              <w:rPr>
                <w:rStyle w:val="Code"/>
              </w:rPr>
              <w:t xml:space="preserve">&gt;&lt;lb </w:t>
            </w:r>
            <w:r>
              <w:rPr>
                <w:rStyle w:val="Codeattribute"/>
              </w:rPr>
              <w:t>n</w:t>
            </w:r>
            <w:r>
              <w:rPr>
                <w:rStyle w:val="Code"/>
              </w:rPr>
              <w:t>=</w:t>
            </w:r>
            <w:r>
              <w:rPr>
                <w:rStyle w:val="Codevalue"/>
              </w:rPr>
              <w:t>"1"</w:t>
            </w:r>
            <w:r>
              <w:rPr>
                <w:rStyle w:val="Code"/>
              </w:rPr>
              <w:t>/&gt;</w:t>
            </w:r>
            <w:r>
              <w:t xml:space="preserve"> </w:t>
            </w:r>
            <w:r>
              <w:rPr>
                <w:rStyle w:val="Codetext"/>
              </w:rPr>
              <w:t xml:space="preserve">Chip the glasses and </w:t>
            </w:r>
            <w:r>
              <w:rPr>
                <w:rStyle w:val="Code"/>
              </w:rPr>
              <w:t>&lt;space/&gt;</w:t>
            </w:r>
            <w:r>
              <w:rPr>
                <w:rStyle w:val="Codetext"/>
              </w:rPr>
              <w:t>crack the plates!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"b"</w:t>
            </w:r>
            <w:r>
              <w:rPr>
                <w:rStyle w:val="Code"/>
              </w:rPr>
              <w:t>&gt;</w:t>
            </w:r>
            <w:r>
              <w:rPr>
                <w:rStyle w:val="Codetext"/>
              </w:rPr>
              <w:t xml:space="preserve">Blunt </w:t>
            </w:r>
            <w:r>
              <w:rPr>
                <w:rStyle w:val="Code"/>
              </w:rPr>
              <w:t xml:space="preserve">&lt;lb </w:t>
            </w:r>
            <w:r>
              <w:rPr>
                <w:rStyle w:val="Codeattribute"/>
              </w:rPr>
              <w:t>n</w:t>
            </w:r>
            <w:r>
              <w:rPr>
                <w:rStyle w:val="Code"/>
              </w:rPr>
              <w:t>=</w:t>
            </w:r>
            <w:r>
              <w:rPr>
                <w:rStyle w:val="Codevalue"/>
              </w:rPr>
              <w:t>"2"</w:t>
            </w:r>
            <w:r>
              <w:rPr>
                <w:rStyle w:val="Code"/>
              </w:rPr>
              <w:t>/&gt;</w:t>
            </w:r>
            <w:r>
              <w:rPr>
                <w:rStyle w:val="Codetext"/>
              </w:rPr>
              <w:t xml:space="preserve">the knives and </w:t>
            </w:r>
            <w:r>
              <w:rPr>
                <w:rStyle w:val="Code"/>
              </w:rPr>
              <w:t>&lt;space/&gt;</w:t>
            </w:r>
            <w:r>
              <w:rPr>
                <w:rStyle w:val="Codetext"/>
              </w:rPr>
              <w:t>bend the forks!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"c"</w:t>
            </w:r>
            <w:r>
              <w:rPr>
                <w:rStyle w:val="Code"/>
              </w:rPr>
              <w:t>&gt;</w:t>
            </w:r>
            <w:r>
              <w:rPr>
                <w:rStyle w:val="Codetext"/>
              </w:rPr>
              <w:t xml:space="preserve">That’s what </w:t>
            </w:r>
            <w:r>
              <w:rPr>
                <w:rStyle w:val="Code"/>
              </w:rPr>
              <w:t xml:space="preserve">&lt;lb </w:t>
            </w:r>
            <w:r>
              <w:rPr>
                <w:rStyle w:val="Codeattribute"/>
              </w:rPr>
              <w:t>n</w:t>
            </w:r>
            <w:r>
              <w:rPr>
                <w:rStyle w:val="Code"/>
              </w:rPr>
              <w:t>=</w:t>
            </w:r>
            <w:r>
              <w:rPr>
                <w:rStyle w:val="Codevalue"/>
              </w:rPr>
              <w:t>"3"</w:t>
            </w:r>
            <w:r>
              <w:rPr>
                <w:rStyle w:val="Code"/>
              </w:rPr>
              <w:t>/&gt;</w:t>
            </w:r>
            <w:r>
              <w:rPr>
                <w:rStyle w:val="Codetext"/>
              </w:rPr>
              <w:t xml:space="preserve">Bilbo </w:t>
            </w:r>
            <w:r>
              <w:rPr>
                <w:rStyle w:val="Code"/>
              </w:rPr>
              <w:t>&lt;space/&gt;</w:t>
            </w:r>
            <w:r>
              <w:rPr>
                <w:rStyle w:val="Codetext"/>
              </w:rPr>
              <w:t xml:space="preserve"> Baggins hates—</w:t>
            </w:r>
            <w:r>
              <w:rPr>
                <w:rStyle w:val="Code"/>
              </w:rPr>
              <w:t>&lt;space/&gt;&lt;/l&gt;</w:t>
            </w:r>
            <w:r>
              <w:rPr>
                <w:rStyle w:val="Codetext"/>
              </w:rPr>
              <w:br/>
              <w:t xml:space="preserve">  </w:t>
            </w:r>
            <w:r>
              <w:rPr>
                <w:rStyle w:val="Code"/>
              </w:rPr>
              <w:t>&lt;l</w:t>
            </w:r>
            <w:r>
              <w:rPr>
                <w:rStyle w:val="Codeattribute"/>
              </w:rPr>
              <w:t xml:space="preserve"> n</w:t>
            </w:r>
            <w:r>
              <w:rPr>
                <w:rStyle w:val="Code"/>
              </w:rPr>
              <w:t>=</w:t>
            </w:r>
            <w:r>
              <w:rPr>
                <w:rStyle w:val="Codevalue"/>
              </w:rPr>
              <w:t>"d"</w:t>
            </w:r>
            <w:r>
              <w:rPr>
                <w:rStyle w:val="Code"/>
              </w:rPr>
              <w:t>&gt;</w:t>
            </w:r>
            <w:r>
              <w:rPr>
                <w:rStyle w:val="Codetext"/>
              </w:rPr>
              <w:t xml:space="preserve">Smash the bottles and </w:t>
            </w:r>
            <w:r>
              <w:rPr>
                <w:rStyle w:val="Code"/>
              </w:rPr>
              <w:t xml:space="preserve">&lt;lb </w:t>
            </w:r>
            <w:r>
              <w:rPr>
                <w:rStyle w:val="Codeattribute"/>
              </w:rPr>
              <w:t>n</w:t>
            </w:r>
            <w:r>
              <w:rPr>
                <w:rStyle w:val="Code"/>
              </w:rPr>
              <w:t>=</w:t>
            </w:r>
            <w:r>
              <w:rPr>
                <w:rStyle w:val="Codevalue"/>
              </w:rPr>
              <w:t>"4"</w:t>
            </w:r>
            <w:r>
              <w:rPr>
                <w:rStyle w:val="Code"/>
              </w:rPr>
              <w:t>/&gt;</w:t>
            </w:r>
            <w:r>
              <w:rPr>
                <w:rStyle w:val="Codetext"/>
              </w:rPr>
              <w:t>burn the corks!</w:t>
            </w:r>
            <w:r>
              <w:rPr>
                <w:rStyle w:val="Code"/>
              </w:rPr>
              <w:t>&lt;/l&gt;</w:t>
            </w:r>
            <w:r>
              <w:rPr>
                <w:rStyle w:val="Codetext"/>
              </w:rPr>
              <w:br/>
            </w:r>
            <w:r>
              <w:rPr>
                <w:rStyle w:val="Code"/>
              </w:rPr>
              <w:t>&lt;/lg&gt;</w:t>
            </w:r>
          </w:p>
        </w:tc>
      </w:tr>
    </w:tbl>
    <w:p w14:paraId="48639F7C" w14:textId="77777777">
      <w:pPr>
        <w:pStyle w:val="Cmsor3"/>
      </w:pPr>
      <w:bookmarkStart w:id="465" w:name="_Ref227833893"/>
      <w:bookmarkStart w:id="466" w:name="_Toc243900304"/>
      <w:r>
        <w:t>Other kinds of space</w:t>
      </w:r>
      <w:bookmarkEnd w:id="461"/>
      <w:bookmarkEnd w:id="465"/>
      <w:bookmarkEnd w:id="466"/>
    </w:p>
    <w:p w14:paraId="30EA3FC0" w14:textId="77777777">
      <w:pPr>
        <w:rPr>
          <w:lang w:eastAsia="en-US" w:bidi="ar-SA"/>
        </w:rPr>
      </w:pPr>
      <w:r>
        <w:rPr>
          <w:lang w:eastAsia="en-US" w:bidi="ar-SA"/>
        </w:rPr>
        <w:t>Spaces left blank in the original document may be considered significant even when they do not serve to indicate semantic or metrical boundaries. This subsection describes the encoding of other kinds of significant space, and discusses the use of space for layout (§</w:t>
      </w:r>
      <w:r>
        <w:rPr>
          <w:lang w:eastAsia="en-US" w:bidi="ar-SA"/>
        </w:rPr>
        <w:fldChar w:fldCharType="begin"/>
      </w:r>
      <w:r>
        <w:rPr>
          <w:lang w:eastAsia="en-US" w:bidi="ar-SA"/>
        </w:rPr>
        <w:instrText xml:space="preserve"> REF _Ref227835279 \r \h </w:instrText>
      </w:r>
      <w:r>
        <w:rPr>
          <w:lang w:eastAsia="en-US" w:bidi="ar-SA"/>
        </w:rPr>
      </w:r>
      <w:r>
        <w:rPr>
          <w:lang w:eastAsia="en-US" w:bidi="ar-SA"/>
        </w:rPr>
        <w:fldChar w:fldCharType="separate"/>
      </w:r>
      <w:r>
        <w:rPr>
          <w:lang w:eastAsia="en-US" w:bidi="ar-SA"/>
        </w:rPr>
        <w:t>5.4.2.4</w:t>
      </w:r>
      <w:r>
        <w:rPr>
          <w:lang w:eastAsia="en-US" w:bidi="ar-SA"/>
        </w:rPr>
        <w:fldChar w:fldCharType="end"/>
      </w:r>
      <w:r>
        <w:rPr>
          <w:lang w:eastAsia="en-US" w:bidi="ar-SA"/>
        </w:rPr>
        <w:t>), which is not to be encoded as space.</w:t>
      </w:r>
    </w:p>
    <w:p w14:paraId="259C6B37" w14:textId="77777777">
      <w:pPr>
        <w:pStyle w:val="Cmsor4"/>
      </w:pPr>
      <w:bookmarkStart w:id="467" w:name="_ezodp8p1jvoq" w:colFirst="0" w:colLast="0"/>
      <w:bookmarkStart w:id="468" w:name="_Ref43987728"/>
      <w:bookmarkStart w:id="469" w:name="_Ref156807687"/>
      <w:bookmarkStart w:id="470" w:name="_Ref156807827"/>
      <w:bookmarkStart w:id="471" w:name="_Ref227847574"/>
      <w:bookmarkEnd w:id="458"/>
      <w:bookmarkEnd w:id="459"/>
      <w:bookmarkEnd w:id="462"/>
      <w:bookmarkEnd w:id="467"/>
      <w:r>
        <w:t xml:space="preserve">Space left blank </w:t>
      </w:r>
      <w:bookmarkEnd w:id="468"/>
      <w:r>
        <w:t xml:space="preserve">for </w:t>
      </w:r>
      <w:bookmarkEnd w:id="469"/>
      <w:bookmarkEnd w:id="470"/>
      <w:r>
        <w:t>missing content</w:t>
      </w:r>
      <w:bookmarkEnd w:id="471"/>
    </w:p>
    <w:p w14:paraId="7CC9D4E0" w14:textId="77777777">
      <w:r>
        <w:t xml:space="preserve">This subsection is about areas that were deliberately left blank when the rest of the inscription was engraved, because the content to be written was not available to the engraver. This usually happens either because certain particulars, such as a name or a date, were to be added later, or because the engraver was unable to interpret a glyph in the archetype he was working from. Such spaces are called </w:t>
      </w:r>
      <w:r>
        <w:rPr>
          <w:rStyle w:val="Foreign"/>
        </w:rPr>
        <w:t>vacat</w:t>
      </w:r>
      <w:r>
        <w:t xml:space="preserve"> in the western scholarly tradition.</w:t>
      </w:r>
    </w:p>
    <w:p w14:paraId="65F8828B" w14:textId="77777777">
      <w:pPr>
        <w:pStyle w:val="Lista"/>
      </w:pPr>
      <w:r>
        <w:t xml:space="preserve">to encode spaces left blank for missing content, use </w:t>
      </w:r>
      <w:r>
        <w:rPr>
          <w:rStyle w:val="Code"/>
        </w:rPr>
        <w:t>&lt;space/&gt;</w:t>
      </w:r>
      <w:r>
        <w:t xml:space="preserve">  with </w:t>
      </w:r>
      <w:r>
        <w:rPr>
          <w:rStyle w:val="Codeattribute"/>
        </w:rPr>
        <w:t>@type=</w:t>
      </w:r>
      <w:r>
        <w:rPr>
          <w:rStyle w:val="Codevalue"/>
        </w:rPr>
        <w:t>"vacat"</w:t>
      </w:r>
      <w:r>
        <w:t xml:space="preserve"> </w:t>
      </w:r>
    </w:p>
    <w:p w14:paraId="09B5015D" w14:textId="77777777">
      <w:pPr>
        <w:pStyle w:val="Lista2"/>
      </w:pPr>
      <w:r>
        <w:t>encoding the size of such spaces (§</w:t>
      </w:r>
      <w:r>
        <w:fldChar w:fldCharType="begin"/>
      </w:r>
      <w:r>
        <w:instrText xml:space="preserve"> REF _Ref183008428 \r \h </w:instrText>
      </w:r>
      <w:r>
        <w:fldChar w:fldCharType="separate"/>
      </w:r>
      <w:r>
        <w:t>5.4.2.4</w:t>
      </w:r>
      <w:r>
        <w:fldChar w:fldCharType="end"/>
      </w:r>
      <w:r>
        <w:t>) is recommended even if they are normal-sized</w:t>
      </w:r>
    </w:p>
    <w:p w14:paraId="000211B9" w14:textId="77777777">
      <w:pPr>
        <w:pStyle w:val="Lista2"/>
      </w:pPr>
      <w:r>
        <w:t xml:space="preserve">e.g. </w:t>
      </w: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tbl>
      <w:tblPr>
        <w:tblStyle w:val="FigureTable"/>
        <w:tblpPr w:leftFromText="180" w:rightFromText="180" w:vertAnchor="text" w:tblpXSpec="right" w:tblpY="1"/>
        <w:tblW w:w="0" w:type="auto"/>
        <w:tblLook w:val="04A0" w:firstRow="1" w:lastRow="0" w:firstColumn="1" w:lastColumn="0" w:noHBand="0" w:noVBand="1"/>
      </w:tblPr>
      <w:tblGrid>
        <w:gridCol w:w="4246"/>
      </w:tblGrid>
      <w:tr w14:paraId="30AB9902" w14:textId="77777777">
        <w:trPr>
          <w:cnfStyle w:val="100000000000" w:firstRow="1" w:lastRow="0" w:firstColumn="0" w:lastColumn="0" w:oddVBand="0" w:evenVBand="0" w:oddHBand="0" w:evenHBand="0" w:firstRowFirstColumn="0" w:firstRowLastColumn="0" w:lastRowFirstColumn="0" w:lastRowLastColumn="0"/>
        </w:trPr>
        <w:tc>
          <w:tcPr>
            <w:tcW w:w="4246" w:type="dxa"/>
          </w:tcPr>
          <w:p w14:paraId="6A6E9DE0" w14:textId="77777777">
            <w:pPr>
              <w:pStyle w:val="Kpalrs"/>
            </w:pPr>
            <w:bookmarkStart w:id="472" w:name="_Ref226038753"/>
            <w:r>
              <w:t xml:space="preserve">Exhibit </w:t>
            </w:r>
            <w:fldSimple w:instr=" STYLEREF 2 \s ">
              <w:r>
                <w:rPr>
                  <w:noProof/>
                </w:rPr>
                <w:t>5.4</w:t>
              </w:r>
            </w:fldSimple>
            <w:r>
              <w:t>.</w:t>
            </w:r>
            <w:fldSimple w:instr=" SEQ Exhibit \* ALPHABETIC \s 2 ">
              <w:r>
                <w:rPr>
                  <w:noProof/>
                </w:rPr>
                <w:t>B</w:t>
              </w:r>
            </w:fldSimple>
            <w:bookmarkEnd w:id="472"/>
            <w:r>
              <w:t>. space marked for missing content</w:t>
            </w:r>
          </w:p>
        </w:tc>
      </w:tr>
      <w:tr w14:paraId="6C694772" w14:textId="77777777">
        <w:tc>
          <w:tcPr>
            <w:tcW w:w="4246" w:type="dxa"/>
          </w:tcPr>
          <w:p w14:paraId="4219A204" w14:textId="77777777">
            <w:pPr>
              <w:pStyle w:val="Image"/>
            </w:pPr>
            <w:r>
              <w:drawing>
                <wp:inline distT="0" distB="0" distL="0" distR="0" wp14:anchorId="65ED228C" wp14:editId="7AE50A87">
                  <wp:extent cx="2322000" cy="968400"/>
                  <wp:effectExtent l="0" t="0" r="2540" b="3175"/>
                  <wp:docPr id="3933449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322000" cy="968400"/>
                          </a:xfrm>
                          <a:prstGeom prst="rect">
                            <a:avLst/>
                          </a:prstGeom>
                          <a:noFill/>
                          <a:ln>
                            <a:noFill/>
                          </a:ln>
                        </pic:spPr>
                      </pic:pic>
                    </a:graphicData>
                  </a:graphic>
                </wp:inline>
              </w:drawing>
            </w:r>
          </w:p>
        </w:tc>
      </w:tr>
      <w:tr w14:paraId="3B13584A" w14:textId="77777777">
        <w:tc>
          <w:tcPr>
            <w:tcW w:w="4246" w:type="dxa"/>
          </w:tcPr>
          <w:p w14:paraId="1DE6D202" w14:textId="77777777">
            <w:pPr>
              <w:pStyle w:val="CodeParagraph"/>
            </w:pP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rend</w:t>
            </w:r>
            <w:r>
              <w:rPr>
                <w:rStyle w:val="Code"/>
              </w:rPr>
              <w:t>=</w:t>
            </w:r>
            <w:r>
              <w:rPr>
                <w:rStyle w:val="Codevalue"/>
              </w:rPr>
              <w:t xml:space="preserve">"mark" </w:t>
            </w:r>
            <w:r>
              <w:rPr>
                <w:rStyle w:val="Codeattribute"/>
              </w:rPr>
              <w:t>quantity</w:t>
            </w:r>
            <w:r>
              <w:rPr>
                <w:rStyle w:val="Code"/>
              </w:rPr>
              <w:t>=</w:t>
            </w:r>
            <w:r>
              <w:rPr>
                <w:rStyle w:val="Codevalue"/>
              </w:rPr>
              <w:t>"9"</w:t>
            </w:r>
            <w:r>
              <w:rPr>
                <w:rStyle w:val="Code"/>
              </w:rPr>
              <w:t xml:space="preserve"> </w:t>
            </w:r>
            <w:r>
              <w:rPr>
                <w:rStyle w:val="Codeattribute"/>
              </w:rPr>
              <w:t>unit</w:t>
            </w:r>
            <w:r>
              <w:rPr>
                <w:rStyle w:val="Code"/>
              </w:rPr>
              <w:t>=</w:t>
            </w:r>
            <w:r>
              <w:rPr>
                <w:rStyle w:val="Codevalue"/>
              </w:rPr>
              <w:t>"character"</w:t>
            </w:r>
            <w:r>
              <w:rPr>
                <w:rStyle w:val="Code"/>
              </w:rPr>
              <w:t>/&gt;</w:t>
            </w:r>
          </w:p>
        </w:tc>
      </w:tr>
    </w:tbl>
    <w:p w14:paraId="702EE63F" w14:textId="77777777">
      <w:pPr>
        <w:pStyle w:val="Lista"/>
      </w:pPr>
      <w:r>
        <w:t xml:space="preserve">if unwritten space is filled with some kind of scribal mark such as dotting, horizontal lines, etc., as in </w:t>
      </w:r>
      <w:r>
        <w:fldChar w:fldCharType="begin"/>
      </w:r>
      <w:r>
        <w:instrText xml:space="preserve"> REF _Ref226038753 \h </w:instrText>
      </w:r>
      <w:r>
        <w:fldChar w:fldCharType="separate"/>
      </w:r>
      <w:r>
        <w:t xml:space="preserve">Exhibit </w:t>
      </w:r>
      <w:r>
        <w:rPr>
          <w:noProof/>
        </w:rPr>
        <w:t>5.4</w:t>
      </w:r>
      <w:r>
        <w:t>.</w:t>
      </w:r>
      <w:r>
        <w:rPr>
          <w:noProof/>
        </w:rPr>
        <w:t>B</w:t>
      </w:r>
      <w:r>
        <w:fldChar w:fldCharType="end"/>
      </w:r>
    </w:p>
    <w:p w14:paraId="5243F725" w14:textId="77777777">
      <w:pPr>
        <w:pStyle w:val="Lista2"/>
      </w:pPr>
      <w:r>
        <w:t xml:space="preserve">add the attribute </w:t>
      </w:r>
      <w:r>
        <w:rPr>
          <w:rStyle w:val="Codeattribute"/>
        </w:rPr>
        <w:t>@rend</w:t>
      </w:r>
      <w:r>
        <w:rPr>
          <w:rStyle w:val="Code"/>
        </w:rPr>
        <w:t>=</w:t>
      </w:r>
      <w:r>
        <w:rPr>
          <w:rStyle w:val="Codevalue"/>
        </w:rPr>
        <w:t>"mark"</w:t>
      </w:r>
      <w:r>
        <w:t xml:space="preserve"> to the space element encoded as above</w:t>
      </w:r>
    </w:p>
    <w:p w14:paraId="146D34D0" w14:textId="77777777">
      <w:pPr>
        <w:pStyle w:val="Lista2"/>
      </w:pPr>
      <w:r>
        <w:t>the appearance of the mark may be described in your annotation</w:t>
      </w:r>
    </w:p>
    <w:p w14:paraId="3C8FD865" w14:textId="77777777">
      <w:pPr>
        <w:pStyle w:val="Lista2"/>
      </w:pPr>
      <w:r>
        <w:t>such scribal marks are to be distinguished from connectors (§</w:t>
      </w:r>
      <w:r>
        <w:fldChar w:fldCharType="begin"/>
      </w:r>
      <w:r>
        <w:instrText xml:space="preserve"> REF _Ref226038881 \r \h </w:instrText>
      </w:r>
      <w:r>
        <w:fldChar w:fldCharType="separate"/>
      </w:r>
      <w:r>
        <w:t>5.3.2.3</w:t>
      </w:r>
      <w:r>
        <w:fldChar w:fldCharType="end"/>
      </w:r>
      <w:r>
        <w:t>), which are used when there is no missing content</w:t>
      </w:r>
    </w:p>
    <w:p w14:paraId="756D6372" w14:textId="77777777">
      <w:pPr>
        <w:pStyle w:val="Lista"/>
      </w:pPr>
      <w:r>
        <w:t>if space was left blank and later partially or completely filled with text, it may be difficult to determine whether, and exactly where, this has happened, as well as to distinguish this from deletion followed by rewriting, which is to be treated as per §</w:t>
      </w:r>
      <w:r>
        <w:fldChar w:fldCharType="begin"/>
      </w:r>
      <w:r>
        <w:instrText xml:space="preserve"> REF _Ref74727538 \r \h </w:instrText>
      </w:r>
      <w:r>
        <w:fldChar w:fldCharType="separate"/>
      </w:r>
      <w:r>
        <w:t>5.5.3</w:t>
      </w:r>
      <w:r>
        <w:fldChar w:fldCharType="end"/>
      </w:r>
    </w:p>
    <w:p w14:paraId="008CF492" w14:textId="77777777">
      <w:pPr>
        <w:pStyle w:val="Lista2"/>
      </w:pPr>
      <w:r>
        <w:t>if any uncertainty is involved, proceed as follows</w:t>
      </w:r>
    </w:p>
    <w:p w14:paraId="3A8F24BC" w14:textId="77777777">
      <w:pPr>
        <w:pStyle w:val="Lista3"/>
      </w:pPr>
      <w:r>
        <w:t>edit the text normally, without any special encoding for vacat</w:t>
      </w:r>
    </w:p>
    <w:p w14:paraId="208113C5" w14:textId="77777777">
      <w:pPr>
        <w:pStyle w:val="Lista3"/>
      </w:pPr>
      <w:r>
        <w:t>if any space remains, encode it normally</w:t>
      </w:r>
    </w:p>
    <w:p w14:paraId="12E038D9" w14:textId="77777777">
      <w:pPr>
        <w:pStyle w:val="Lista4"/>
      </w:pPr>
      <w:r>
        <w:t>as vacat if you are certain of this identification</w:t>
      </w:r>
    </w:p>
    <w:p w14:paraId="3EF18CDD" w14:textId="77777777">
      <w:pPr>
        <w:pStyle w:val="Lista4"/>
      </w:pPr>
      <w:r>
        <w:t>as unclassified (§</w:t>
      </w:r>
      <w:r>
        <w:fldChar w:fldCharType="begin"/>
      </w:r>
      <w:r>
        <w:instrText xml:space="preserve"> REF _Ref63674539 \r \h </w:instrText>
      </w:r>
      <w:r>
        <w:fldChar w:fldCharType="separate"/>
      </w:r>
      <w:r>
        <w:t>5.4.2.3</w:t>
      </w:r>
      <w:r>
        <w:fldChar w:fldCharType="end"/>
      </w:r>
      <w:r>
        <w:t>) if you are not certain</w:t>
      </w:r>
    </w:p>
    <w:p w14:paraId="53B5BE52" w14:textId="77777777">
      <w:pPr>
        <w:pStyle w:val="Lista3"/>
      </w:pPr>
      <w:r>
        <w:t>describe the situation in your annotation</w:t>
      </w:r>
    </w:p>
    <w:p w14:paraId="7E5326ED" w14:textId="77777777">
      <w:pPr>
        <w:pStyle w:val="Lista2"/>
      </w:pPr>
      <w:r>
        <w:t>if you are quite certain that space had been left blank and later filled, and are able to determine its beginning and endpoint precisely,</w:t>
      </w:r>
    </w:p>
    <w:p w14:paraId="57095BD1" w14:textId="77777777">
      <w:pPr>
        <w:pStyle w:val="Lista3"/>
      </w:pPr>
      <w:r>
        <w:t>encode vacat for the entire length of the space originally left blank</w:t>
      </w:r>
    </w:p>
    <w:p w14:paraId="1D14355F" w14:textId="77777777">
      <w:pPr>
        <w:pStyle w:val="Lista3"/>
      </w:pPr>
      <w:r>
        <w:t xml:space="preserve">immediately after the </w:t>
      </w:r>
      <w:r>
        <w:rPr>
          <w:rStyle w:val="Code"/>
        </w:rPr>
        <w:t>&lt;space/&gt;</w:t>
      </w:r>
      <w:r>
        <w:t xml:space="preserve"> element, encode a premodern inline addition </w:t>
      </w:r>
      <w:r>
        <w:rPr>
          <w:noProof/>
        </w:rPr>
        <w:t>(</w:t>
      </w:r>
      <w:r>
        <w:t>§</w:t>
      </w:r>
      <w:r>
        <w:fldChar w:fldCharType="begin"/>
      </w:r>
      <w:r>
        <w:instrText xml:space="preserve"> REF _Ref43978471 \r \h  \* MERGEFORMAT </w:instrText>
      </w:r>
      <w:r>
        <w:fldChar w:fldCharType="separate"/>
      </w:r>
      <w:r>
        <w:t>5.5.2</w:t>
      </w:r>
      <w:r>
        <w:fldChar w:fldCharType="end"/>
      </w:r>
      <w:r>
        <w:t>)</w:t>
      </w:r>
    </w:p>
    <w:p w14:paraId="2B504C30" w14:textId="77777777">
      <w:pPr>
        <w:pStyle w:val="Lista3"/>
      </w:pPr>
      <w:r>
        <w:t>if any blank space remains, include an unclassified space (§</w:t>
      </w:r>
      <w:r>
        <w:fldChar w:fldCharType="begin"/>
      </w:r>
      <w:r>
        <w:instrText xml:space="preserve"> REF _Ref63674539 \r \h </w:instrText>
      </w:r>
      <w:r>
        <w:fldChar w:fldCharType="separate"/>
      </w:r>
      <w:r>
        <w:t>5.4.2.3</w:t>
      </w:r>
      <w:r>
        <w:fldChar w:fldCharType="end"/>
      </w:r>
      <w:r>
        <w:t>) within the encoded premodern addition</w:t>
      </w:r>
    </w:p>
    <w:p w14:paraId="42879CA3" w14:textId="77777777">
      <w:pPr>
        <w:pStyle w:val="Cmsor4"/>
      </w:pPr>
      <w:bookmarkStart w:id="473" w:name="_8rva2rlyx9df" w:colFirst="0" w:colLast="0"/>
      <w:bookmarkStart w:id="474" w:name="_3hdkntv18hp0" w:colFirst="0" w:colLast="0"/>
      <w:bookmarkStart w:id="475" w:name="_Ref43985107"/>
      <w:bookmarkEnd w:id="473"/>
      <w:bookmarkEnd w:id="474"/>
      <w:r>
        <w:t>Space imposed by physical necessity</w:t>
      </w:r>
      <w:bookmarkEnd w:id="475"/>
    </w:p>
    <w:p w14:paraId="6790F2D4" w14:textId="77777777">
      <w:r>
        <w:t>This subsection is about spaces left blank because a physical feature of the support prevented the engraver from writing on a certain area. Encoding such interruptions as significant space is helpful because their presence may be the cause of non-standard sandhi and scribal errors.</w:t>
      </w:r>
    </w:p>
    <w:p w14:paraId="3EC09225" w14:textId="77777777">
      <w:pPr>
        <w:pStyle w:val="Lista"/>
      </w:pPr>
      <w:r>
        <w:lastRenderedPageBreak/>
        <w:t>the encoding of spaces imposed by physical necessity is optional, and may not be possible when working from a printed edition without access to the original or a surrogate</w:t>
      </w:r>
    </w:p>
    <w:p w14:paraId="7CB37B31" w14:textId="77777777">
      <w:pPr>
        <w:pStyle w:val="Lista"/>
      </w:pPr>
      <w:r>
        <w:t>if you do choose to encode any such space in an edition, then do so consistently throughout that particular edition</w:t>
      </w:r>
    </w:p>
    <w:p w14:paraId="0C89FA45" w14:textId="77777777">
      <w:pPr>
        <w:pStyle w:val="Lista2"/>
      </w:pPr>
      <w:r>
        <w:t>consistency does not necessarily mean encoding each and every imposed space; instead, you may opt for one of the following strategies:</w:t>
      </w:r>
    </w:p>
    <w:p w14:paraId="2452D919" w14:textId="77777777">
      <w:pPr>
        <w:pStyle w:val="Lista3"/>
      </w:pPr>
      <w:r>
        <w:t>encoding all imposed spaces of a particular class (of those listed below), but not other classes</w:t>
      </w:r>
    </w:p>
    <w:p w14:paraId="195F581F" w14:textId="77777777">
      <w:pPr>
        <w:pStyle w:val="Lista3"/>
      </w:pPr>
      <w:r>
        <w:t>encoding imposed spaces when they disrupt the text by falling inside a word, but not encoding them when they fall between words</w:t>
      </w:r>
    </w:p>
    <w:p w14:paraId="79C44E09" w14:textId="77777777">
      <w:pPr>
        <w:pStyle w:val="Lista2"/>
      </w:pPr>
      <w:r>
        <w:t>consistency should be complete within an edition, but cannot be realistically expected across our entire corpus or even across the body of texts encoded by a single person</w:t>
      </w:r>
    </w:p>
    <w:p w14:paraId="7AF2B8FC" w14:textId="77777777">
      <w:pPr>
        <w:pStyle w:val="Lista3"/>
      </w:pPr>
      <w:r>
        <w:t>aiming for consistency across your subcorpus is a good idea, but feel free to adopt a different strategy for any text where this seems desirable</w:t>
      </w:r>
    </w:p>
    <w:p w14:paraId="4CAF965B" w14:textId="77777777">
      <w:pPr>
        <w:pStyle w:val="Lista"/>
      </w:pPr>
      <w:r>
        <w:t xml:space="preserve">when encoding spaces imposed by physical necessity, distinguish these from other spaces by adding the attribute </w:t>
      </w:r>
      <w:r>
        <w:rPr>
          <w:rStyle w:val="Codeattribute"/>
        </w:rPr>
        <w:t>@type</w:t>
      </w:r>
      <w:r>
        <w:t xml:space="preserve"> to </w:t>
      </w:r>
      <w:r>
        <w:rPr>
          <w:rStyle w:val="Code"/>
        </w:rPr>
        <w:t>&lt;space/&gt;</w:t>
      </w:r>
      <w:r>
        <w:t>, with a value depending on the nature of the interruption as follows</w:t>
      </w:r>
    </w:p>
    <w:p w14:paraId="0727EFD0" w14:textId="77777777">
      <w:pPr>
        <w:pStyle w:val="Lista2"/>
      </w:pPr>
      <w:r>
        <w:rPr>
          <w:rStyle w:val="Codevalue"/>
        </w:rPr>
        <w:t>"binding-hole"</w:t>
      </w:r>
      <w:r>
        <w:t xml:space="preserve"> for the binding hole in a copper plate or manuscript page</w:t>
      </w:r>
    </w:p>
    <w:p w14:paraId="2227AE5E" w14:textId="77777777">
      <w:pPr>
        <w:pStyle w:val="Lista3"/>
      </w:pPr>
      <w:r>
        <w:t>see also below for additional instructions concerning the encoding of such holes</w:t>
      </w:r>
    </w:p>
    <w:p w14:paraId="675921A4" w14:textId="77777777">
      <w:pPr>
        <w:pStyle w:val="Lista2"/>
      </w:pPr>
      <w:r>
        <w:rPr>
          <w:rStyle w:val="Codevalue"/>
        </w:rPr>
        <w:t>"descender"</w:t>
      </w:r>
      <w:r>
        <w:t xml:space="preserve"> for part of a glyph encroaching from the previous line</w:t>
      </w:r>
    </w:p>
    <w:p w14:paraId="616C7415" w14:textId="77777777">
      <w:pPr>
        <w:pStyle w:val="Lista2"/>
      </w:pPr>
      <w:r>
        <w:rPr>
          <w:rStyle w:val="Codevalue"/>
        </w:rPr>
        <w:t>"ascender"</w:t>
      </w:r>
      <w:r>
        <w:t xml:space="preserve"> for part of a glyph encroaching from the following line</w:t>
      </w:r>
    </w:p>
    <w:tbl>
      <w:tblPr>
        <w:tblStyle w:val="FigureTable"/>
        <w:tblpPr w:leftFromText="180" w:rightFromText="180" w:vertAnchor="text" w:tblpXSpec="right" w:tblpY="1"/>
        <w:tblW w:w="3402" w:type="dxa"/>
        <w:tblLook w:val="04A0" w:firstRow="1" w:lastRow="0" w:firstColumn="1" w:lastColumn="0" w:noHBand="0" w:noVBand="1"/>
      </w:tblPr>
      <w:tblGrid>
        <w:gridCol w:w="3402"/>
      </w:tblGrid>
      <w:tr w14:paraId="6CD575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AE2BDD" w14:textId="77777777">
            <w:pPr>
              <w:pStyle w:val="Kpalrs"/>
            </w:pPr>
            <w:bookmarkStart w:id="476" w:name="_Ref226041197"/>
            <w:r>
              <w:t xml:space="preserve">Exhibit </w:t>
            </w:r>
            <w:fldSimple w:instr=" STYLEREF 2 \s ">
              <w:r>
                <w:rPr>
                  <w:noProof/>
                </w:rPr>
                <w:t>5.4</w:t>
              </w:r>
            </w:fldSimple>
            <w:r>
              <w:t>.</w:t>
            </w:r>
            <w:fldSimple w:instr=" SEQ Exhibit \* ALPHABETIC \s 2 ">
              <w:r>
                <w:rPr>
                  <w:noProof/>
                </w:rPr>
                <w:t>C</w:t>
              </w:r>
            </w:fldSimple>
            <w:bookmarkEnd w:id="476"/>
            <w:r>
              <w:t>. space skipped due to feature</w:t>
            </w:r>
          </w:p>
        </w:tc>
      </w:tr>
      <w:tr w14:paraId="2A94C3BB" w14:textId="77777777">
        <w:tc>
          <w:tcPr>
            <w:tcW w:w="0" w:type="auto"/>
          </w:tcPr>
          <w:p w14:paraId="541451D9" w14:textId="77777777">
            <w:pPr>
              <w:pStyle w:val="Image"/>
            </w:pPr>
            <w:r>
              <w:drawing>
                <wp:inline distT="0" distB="0" distL="0" distR="0" wp14:anchorId="74474E48" wp14:editId="6E9313EB">
                  <wp:extent cx="2081530" cy="1078230"/>
                  <wp:effectExtent l="0" t="0" r="0" b="7620"/>
                  <wp:docPr id="45" name="Kép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81530" cy="1078230"/>
                          </a:xfrm>
                          <a:prstGeom prst="rect">
                            <a:avLst/>
                          </a:prstGeom>
                          <a:noFill/>
                          <a:ln>
                            <a:noFill/>
                          </a:ln>
                        </pic:spPr>
                      </pic:pic>
                    </a:graphicData>
                  </a:graphic>
                </wp:inline>
              </w:drawing>
            </w:r>
          </w:p>
        </w:tc>
      </w:tr>
      <w:tr w14:paraId="47329A83" w14:textId="77777777">
        <w:tc>
          <w:tcPr>
            <w:tcW w:w="0" w:type="auto"/>
          </w:tcPr>
          <w:p w14:paraId="2825A4DE" w14:textId="77777777">
            <w:pPr>
              <w:pStyle w:val="CodeParagraph"/>
            </w:pPr>
            <w:r>
              <w:rPr>
                <w:rStyle w:val="Code"/>
              </w:rPr>
              <w:t xml:space="preserve">&lt;space </w:t>
            </w:r>
            <w:r>
              <w:rPr>
                <w:rStyle w:val="Codeattribute"/>
              </w:rPr>
              <w:t>type</w:t>
            </w:r>
            <w:r>
              <w:rPr>
                <w:rStyle w:val="Code"/>
              </w:rPr>
              <w:t>=</w:t>
            </w:r>
            <w:r>
              <w:rPr>
                <w:rStyle w:val="Codevalue"/>
              </w:rPr>
              <w:t>"feature"</w:t>
            </w:r>
            <w:r>
              <w:rPr>
                <w:rStyle w:val="Code"/>
              </w:rPr>
              <w:t>/&gt;</w:t>
            </w:r>
          </w:p>
        </w:tc>
      </w:tr>
    </w:tbl>
    <w:p w14:paraId="7B5E6077" w14:textId="77777777">
      <w:pPr>
        <w:pStyle w:val="Lista2"/>
      </w:pPr>
      <w:r>
        <w:rPr>
          <w:rStyle w:val="Codevalue"/>
        </w:rPr>
        <w:t>"feature"</w:t>
      </w:r>
      <w:r>
        <w:t xml:space="preserve"> for a deliberately created feature on the surface (such as engraved artwork, high relief, or a seal attached directly to a copper plate, excluding binding holes, ascenders and descenders covered above), as in </w:t>
      </w:r>
      <w:r>
        <w:fldChar w:fldCharType="begin"/>
      </w:r>
      <w:r>
        <w:instrText xml:space="preserve"> REF _Ref226041197 \h </w:instrText>
      </w:r>
      <w:r>
        <w:fldChar w:fldCharType="separate"/>
      </w:r>
      <w:r>
        <w:t xml:space="preserve">Exhibit </w:t>
      </w:r>
      <w:r>
        <w:rPr>
          <w:noProof/>
        </w:rPr>
        <w:t>5.4</w:t>
      </w:r>
      <w:r>
        <w:t>.</w:t>
      </w:r>
      <w:r>
        <w:rPr>
          <w:noProof/>
        </w:rPr>
        <w:t>C</w:t>
      </w:r>
      <w:r>
        <w:fldChar w:fldCharType="end"/>
      </w:r>
    </w:p>
    <w:p w14:paraId="6EA79D01" w14:textId="77777777">
      <w:pPr>
        <w:pStyle w:val="Lista2"/>
      </w:pPr>
      <w:r>
        <w:rPr>
          <w:rStyle w:val="Codevalue"/>
        </w:rPr>
        <w:t>"defect"</w:t>
      </w:r>
      <w:r>
        <w:t xml:space="preserve"> for a blemish of the surface that was not deliberately created (such as a natural crack or pit, or a fault in the creation of the writing surface)</w:t>
      </w:r>
    </w:p>
    <w:p w14:paraId="2F3F1F3C" w14:textId="77777777">
      <w:pPr>
        <w:pStyle w:val="Lista"/>
      </w:pPr>
      <w:r>
        <w:t xml:space="preserve">imposed spaces shall always be encoded without further attributes, i.e. never use </w:t>
      </w:r>
      <w:r>
        <w:rPr>
          <w:rStyle w:val="Codeattribute"/>
        </w:rPr>
        <w:t>@quantity</w:t>
      </w:r>
      <w:r>
        <w:t xml:space="preserve"> and </w:t>
      </w:r>
      <w:r>
        <w:rPr>
          <w:rStyle w:val="Codeattribute"/>
        </w:rPr>
        <w:t>@unit</w:t>
      </w:r>
      <w:r>
        <w:t xml:space="preserve"> to encode their size, because the size of such spaces is determined by factors extraneous to the text</w:t>
      </w:r>
    </w:p>
    <w:p w14:paraId="239DFB9E" w14:textId="77777777">
      <w:pPr>
        <w:pStyle w:val="Lista2"/>
      </w:pPr>
      <w:r>
        <w:t>the location and size of large surface irregularities, whether or not you have encoded them as space elements, may be described in your layout description (briefly), your commentary (when you wish to discuss them at some length), or an apparatus note (to discuss a specific imposed space)</w:t>
      </w:r>
    </w:p>
    <w:p w14:paraId="7ECAA66D" w14:textId="77777777">
      <w:pPr>
        <w:pStyle w:val="Lista"/>
      </w:pPr>
      <w:r>
        <w:t>unlike other encoded spaces, imposed space will frequently occur within a word, in which case you should not surround the element with editorial spaces (§</w:t>
      </w:r>
      <w:r>
        <w:fldChar w:fldCharType="begin"/>
      </w:r>
      <w:r>
        <w:instrText xml:space="preserve"> REF _Ref183011230 \r \h </w:instrText>
      </w:r>
      <w:r>
        <w:fldChar w:fldCharType="separate"/>
      </w:r>
      <w:r>
        <w:t>5.4.4</w:t>
      </w:r>
      <w:r>
        <w:fldChar w:fldCharType="end"/>
      </w:r>
      <w:r>
        <w:t>)</w:t>
      </w:r>
    </w:p>
    <w:p w14:paraId="3F5F8F1F" w14:textId="77777777">
      <w:pPr>
        <w:pStyle w:val="Lista"/>
        <w:rPr>
          <w:rFonts w:ascii="Arial" w:hAnsi="Arial" w:cs="Arial"/>
        </w:rPr>
      </w:pPr>
      <w:r>
        <w:t>when a single surface irregularity affects more than one line in this way, separately encode an imposed space for every affected line</w:t>
      </w:r>
    </w:p>
    <w:p w14:paraId="500264EA" w14:textId="77777777">
      <w:pPr>
        <w:pStyle w:val="Lista2"/>
        <w:rPr>
          <w:rFonts w:ascii="Arial" w:hAnsi="Arial" w:cs="Arial"/>
        </w:rPr>
      </w:pPr>
      <w:r>
        <w:t>we use no explicit encoding for the fact that these interruptions are due to a single irregularity (but this may be mentioned in your annotation)</w:t>
      </w:r>
    </w:p>
    <w:p w14:paraId="06E637E2" w14:textId="77777777">
      <w:pPr>
        <w:pStyle w:val="Lista"/>
      </w:pPr>
      <w:bookmarkStart w:id="477" w:name="_mo8ye4cvqr4s" w:colFirst="0" w:colLast="0"/>
      <w:bookmarkEnd w:id="477"/>
      <w:r>
        <w:t>when encoding binding holes, keep in mind that the occasion for encoding is not the presence of a binding hole, but the fact that such a hole has obliged the engraver to skip horizontally, therefore</w:t>
      </w:r>
    </w:p>
    <w:p w14:paraId="48FA8888" w14:textId="77777777">
      <w:pPr>
        <w:pStyle w:val="Lista2"/>
      </w:pPr>
      <w:r>
        <w:t xml:space="preserve">do not encode a space for a hole that is fully outside a margin line </w:t>
      </w:r>
      <w:r>
        <w:rPr>
          <w:noProof/>
        </w:rPr>
        <w:t>(</w:t>
      </w:r>
      <w:r>
        <w:t xml:space="preserve">in the area surrounding the text field), as in </w:t>
      </w:r>
      <w:r>
        <w:fldChar w:fldCharType="begin"/>
      </w:r>
      <w:r>
        <w:instrText xml:space="preserve"> REF _Ref44063881 \h  \* MERGEFORMAT </w:instrText>
      </w:r>
      <w:r>
        <w:fldChar w:fldCharType="separate"/>
      </w:r>
      <w:r>
        <w:t xml:space="preserve">Exhibit </w:t>
      </w:r>
      <w:r>
        <w:rPr>
          <w:noProof/>
        </w:rPr>
        <w:t>5.4.D</w:t>
      </w:r>
      <w:r>
        <w:fldChar w:fldCharType="end"/>
      </w:r>
      <w:r>
        <w:t>/1</w:t>
      </w:r>
    </w:p>
    <w:p w14:paraId="4E54A26C" w14:textId="77777777">
      <w:pPr>
        <w:pStyle w:val="Lista2"/>
      </w:pPr>
      <w:r>
        <w:t xml:space="preserve">do not encode a space for a hole that lies within the text field, but between lines, as in </w:t>
      </w:r>
      <w:r>
        <w:fldChar w:fldCharType="begin"/>
      </w:r>
      <w:r>
        <w:instrText xml:space="preserve"> REF _Ref44063881 \h  \* MERGEFORMAT </w:instrText>
      </w:r>
      <w:r>
        <w:fldChar w:fldCharType="separate"/>
      </w:r>
      <w:r>
        <w:t xml:space="preserve">Exhibit </w:t>
      </w:r>
      <w:r>
        <w:rPr>
          <w:noProof/>
        </w:rPr>
        <w:t>5.4.D</w:t>
      </w:r>
      <w:r>
        <w:fldChar w:fldCharType="end"/>
      </w:r>
      <w:r>
        <w:t>/2</w:t>
      </w:r>
    </w:p>
    <w:p w14:paraId="1FE7DAFC" w14:textId="77777777">
      <w:pPr>
        <w:pStyle w:val="Lista3"/>
      </w:pPr>
      <w:r>
        <w:t>this applies even if lines above/below the hole bend, or if glyphs in those lines are distorted in order to accommodate the hole</w:t>
      </w:r>
    </w:p>
    <w:p w14:paraId="1CC8AF8B" w14:textId="77777777">
      <w:pPr>
        <w:pStyle w:val="Lista2"/>
      </w:pPr>
      <w:r>
        <w:t xml:space="preserve">optionally encode a space for a hole that is on or within the margin line, causing one or more text lines to begin with an indent, as in </w:t>
      </w:r>
      <w:r>
        <w:fldChar w:fldCharType="begin"/>
      </w:r>
      <w:r>
        <w:instrText xml:space="preserve"> REF _Ref44063881 \h  \* MERGEFORMAT </w:instrText>
      </w:r>
      <w:r>
        <w:fldChar w:fldCharType="separate"/>
      </w:r>
      <w:r>
        <w:t xml:space="preserve">Exhibit </w:t>
      </w:r>
      <w:r>
        <w:rPr>
          <w:noProof/>
        </w:rPr>
        <w:t>5.4.D</w:t>
      </w:r>
      <w:r>
        <w:fldChar w:fldCharType="end"/>
      </w:r>
      <w:r>
        <w:t>/3</w:t>
      </w:r>
    </w:p>
    <w:p w14:paraId="5A033199" w14:textId="77777777">
      <w:pPr>
        <w:pStyle w:val="Lista2"/>
      </w:pPr>
      <w:r>
        <w:t xml:space="preserve">preferably encode a space for a hole that is fully within the text field, interrupting one or more text lines, as in </w:t>
      </w:r>
      <w:r>
        <w:fldChar w:fldCharType="begin"/>
      </w:r>
      <w:r>
        <w:instrText xml:space="preserve"> REF _Ref44063881 \h  \* MERGEFORMAT </w:instrText>
      </w:r>
      <w:r>
        <w:fldChar w:fldCharType="separate"/>
      </w:r>
      <w:r>
        <w:t xml:space="preserve">Exhibit </w:t>
      </w:r>
      <w:r>
        <w:rPr>
          <w:noProof/>
        </w:rPr>
        <w:t>5.4.D</w:t>
      </w:r>
      <w:r>
        <w:fldChar w:fldCharType="end"/>
      </w:r>
      <w:r>
        <w:t>/4</w:t>
      </w:r>
    </w:p>
    <w:p w14:paraId="4792AD13" w14:textId="77777777">
      <w:pPr>
        <w:pStyle w:val="Lista3"/>
      </w:pPr>
      <w:r>
        <w:t xml:space="preserve">this applies to all lines that skip some space around the hole, even if the hole itself does not penetrate into the area where a line’s text could have been inscribed, as in </w:t>
      </w:r>
      <w:r>
        <w:fldChar w:fldCharType="begin"/>
      </w:r>
      <w:r>
        <w:instrText xml:space="preserve"> REF _Ref44063881 \h  \* MERGEFORMAT </w:instrText>
      </w:r>
      <w:r>
        <w:fldChar w:fldCharType="separate"/>
      </w:r>
      <w:r>
        <w:t xml:space="preserve">Exhibit </w:t>
      </w:r>
      <w:r>
        <w:rPr>
          <w:noProof/>
        </w:rPr>
        <w:t>5.4.D</w:t>
      </w:r>
      <w:r>
        <w:fldChar w:fldCharType="end"/>
      </w:r>
      <w:r>
        <w:t>/5</w:t>
      </w:r>
    </w:p>
    <w:tbl>
      <w:tblPr>
        <w:tblStyle w:val="CodeSampleTable"/>
        <w:tblW w:w="5000" w:type="pct"/>
        <w:tblLook w:val="04A0" w:firstRow="1" w:lastRow="0" w:firstColumn="1" w:lastColumn="0" w:noHBand="0" w:noVBand="1"/>
      </w:tblPr>
      <w:tblGrid>
        <w:gridCol w:w="1925"/>
        <w:gridCol w:w="1925"/>
        <w:gridCol w:w="1926"/>
        <w:gridCol w:w="1926"/>
        <w:gridCol w:w="1926"/>
      </w:tblGrid>
      <w:tr w14:paraId="5090E7B3"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5"/>
            <w:tcBorders>
              <w:bottom w:val="single" w:sz="4" w:space="0" w:color="auto"/>
            </w:tcBorders>
          </w:tcPr>
          <w:p w14:paraId="61067A5B" w14:textId="77777777">
            <w:pPr>
              <w:pStyle w:val="Kpalrs"/>
              <w:keepLines/>
            </w:pPr>
            <w:bookmarkStart w:id="478" w:name="_Ref44063881"/>
            <w:bookmarkStart w:id="479" w:name="_Ref44063878"/>
            <w:r>
              <w:lastRenderedPageBreak/>
              <w:t xml:space="preserve">Exhibit </w:t>
            </w:r>
            <w:fldSimple w:instr=" STYLEREF 2 \s ">
              <w:r>
                <w:rPr>
                  <w:noProof/>
                </w:rPr>
                <w:t>5.4</w:t>
              </w:r>
            </w:fldSimple>
            <w:r>
              <w:t>.</w:t>
            </w:r>
            <w:fldSimple w:instr=" SEQ Exhibit \* ALPHABETIC \s 2 ">
              <w:r>
                <w:rPr>
                  <w:noProof/>
                </w:rPr>
                <w:t>D</w:t>
              </w:r>
            </w:fldSimple>
            <w:bookmarkEnd w:id="478"/>
            <w:r>
              <w:t>: positions of a binding hole relative to text</w:t>
            </w:r>
            <w:bookmarkEnd w:id="479"/>
          </w:p>
        </w:tc>
      </w:tr>
      <w:tr w14:paraId="09AAF9BA" w14:textId="77777777">
        <w:tc>
          <w:tcPr>
            <w:tcW w:w="1000" w:type="pct"/>
            <w:tcBorders>
              <w:right w:val="single" w:sz="4" w:space="0" w:color="auto"/>
            </w:tcBorders>
            <w:vAlign w:val="center"/>
          </w:tcPr>
          <w:p w14:paraId="6215946B" w14:textId="77777777">
            <w:pPr>
              <w:pStyle w:val="Tabletext"/>
              <w:keepNext/>
              <w:jc w:val="center"/>
            </w:pPr>
            <w:r>
              <w:t>1</w:t>
            </w:r>
          </w:p>
        </w:tc>
        <w:tc>
          <w:tcPr>
            <w:tcW w:w="1000" w:type="pct"/>
            <w:tcBorders>
              <w:left w:val="single" w:sz="4" w:space="0" w:color="auto"/>
              <w:right w:val="single" w:sz="4" w:space="0" w:color="auto"/>
            </w:tcBorders>
            <w:vAlign w:val="center"/>
          </w:tcPr>
          <w:p w14:paraId="70EBB744" w14:textId="77777777">
            <w:pPr>
              <w:pStyle w:val="Tabletext"/>
              <w:keepNext/>
              <w:jc w:val="center"/>
            </w:pPr>
            <w:r>
              <w:t>2</w:t>
            </w:r>
          </w:p>
        </w:tc>
        <w:tc>
          <w:tcPr>
            <w:tcW w:w="1000" w:type="pct"/>
            <w:tcBorders>
              <w:left w:val="single" w:sz="4" w:space="0" w:color="auto"/>
              <w:right w:val="single" w:sz="4" w:space="0" w:color="auto"/>
            </w:tcBorders>
            <w:vAlign w:val="center"/>
          </w:tcPr>
          <w:p w14:paraId="1DE2A936" w14:textId="77777777">
            <w:pPr>
              <w:pStyle w:val="Tabletext"/>
              <w:keepNext/>
              <w:jc w:val="center"/>
            </w:pPr>
            <w:r>
              <w:t>3</w:t>
            </w:r>
          </w:p>
        </w:tc>
        <w:tc>
          <w:tcPr>
            <w:tcW w:w="1000" w:type="pct"/>
            <w:tcBorders>
              <w:left w:val="single" w:sz="4" w:space="0" w:color="auto"/>
              <w:right w:val="single" w:sz="4" w:space="0" w:color="auto"/>
            </w:tcBorders>
            <w:vAlign w:val="center"/>
          </w:tcPr>
          <w:p w14:paraId="1B8239B0" w14:textId="77777777">
            <w:pPr>
              <w:pStyle w:val="Tabletext"/>
              <w:keepNext/>
              <w:jc w:val="center"/>
            </w:pPr>
            <w:r>
              <w:t>4</w:t>
            </w:r>
          </w:p>
        </w:tc>
        <w:tc>
          <w:tcPr>
            <w:tcW w:w="1000" w:type="pct"/>
            <w:tcBorders>
              <w:left w:val="single" w:sz="4" w:space="0" w:color="auto"/>
            </w:tcBorders>
          </w:tcPr>
          <w:p w14:paraId="6DEBC9D6" w14:textId="77777777">
            <w:pPr>
              <w:pStyle w:val="Tabletext"/>
              <w:keepNext/>
              <w:jc w:val="center"/>
            </w:pPr>
            <w:r>
              <w:t>5</w:t>
            </w:r>
          </w:p>
        </w:tc>
      </w:tr>
      <w:tr w14:paraId="2AB06C8C" w14:textId="77777777">
        <w:tc>
          <w:tcPr>
            <w:tcW w:w="1000" w:type="pct"/>
            <w:tcBorders>
              <w:right w:val="single" w:sz="4" w:space="0" w:color="auto"/>
            </w:tcBorders>
            <w:vAlign w:val="center"/>
          </w:tcPr>
          <w:p w14:paraId="7F3B0618" w14:textId="77777777">
            <w:pPr>
              <w:pStyle w:val="Image"/>
              <w:keepNext w:val="0"/>
            </w:pPr>
            <w:r>
              <w:drawing>
                <wp:inline distT="0" distB="0" distL="0" distR="0" wp14:anchorId="1B7010A4" wp14:editId="353B1734">
                  <wp:extent cx="1170000" cy="990000"/>
                  <wp:effectExtent l="0" t="0" r="0" b="635"/>
                  <wp:docPr id="49" name="Kép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1665C966" w14:textId="77777777">
            <w:pPr>
              <w:pStyle w:val="Image"/>
              <w:keepNext w:val="0"/>
            </w:pPr>
            <w:r>
              <w:drawing>
                <wp:inline distT="0" distB="0" distL="0" distR="0" wp14:anchorId="36F60580" wp14:editId="173DD0A6">
                  <wp:extent cx="1170000" cy="990000"/>
                  <wp:effectExtent l="0" t="0" r="0" b="635"/>
                  <wp:docPr id="51" name="Kép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59EBF923" w14:textId="77777777">
            <w:pPr>
              <w:pStyle w:val="Image"/>
              <w:keepNext w:val="0"/>
            </w:pPr>
            <w:r>
              <w:drawing>
                <wp:inline distT="0" distB="0" distL="0" distR="0" wp14:anchorId="397A3F48" wp14:editId="21DA71DE">
                  <wp:extent cx="1170000" cy="990000"/>
                  <wp:effectExtent l="0" t="0" r="0" b="635"/>
                  <wp:docPr id="53" name="Kép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right w:val="single" w:sz="4" w:space="0" w:color="auto"/>
            </w:tcBorders>
            <w:vAlign w:val="center"/>
          </w:tcPr>
          <w:p w14:paraId="4CC19E90" w14:textId="77777777">
            <w:pPr>
              <w:pStyle w:val="Image"/>
              <w:keepNext w:val="0"/>
            </w:pPr>
            <w:r>
              <w:drawing>
                <wp:inline distT="0" distB="0" distL="0" distR="0" wp14:anchorId="544F1AC7" wp14:editId="79C328EB">
                  <wp:extent cx="1170000" cy="990000"/>
                  <wp:effectExtent l="0" t="0" r="0" b="635"/>
                  <wp:docPr id="54" name="Kép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c>
          <w:tcPr>
            <w:tcW w:w="1000" w:type="pct"/>
            <w:tcBorders>
              <w:left w:val="single" w:sz="4" w:space="0" w:color="auto"/>
            </w:tcBorders>
          </w:tcPr>
          <w:p w14:paraId="3AECD4E7" w14:textId="77777777">
            <w:pPr>
              <w:pStyle w:val="Image"/>
              <w:keepNext w:val="0"/>
            </w:pPr>
            <w:r>
              <w:drawing>
                <wp:inline distT="0" distB="0" distL="0" distR="0" wp14:anchorId="4F05BD66" wp14:editId="2A3FDFFA">
                  <wp:extent cx="1170000" cy="990000"/>
                  <wp:effectExtent l="0" t="0" r="0" b="635"/>
                  <wp:docPr id="56" name="Kép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70000" cy="990000"/>
                          </a:xfrm>
                          <a:prstGeom prst="rect">
                            <a:avLst/>
                          </a:prstGeom>
                          <a:noFill/>
                          <a:ln>
                            <a:noFill/>
                          </a:ln>
                        </pic:spPr>
                      </pic:pic>
                    </a:graphicData>
                  </a:graphic>
                </wp:inline>
              </w:drawing>
            </w:r>
          </w:p>
        </w:tc>
      </w:tr>
    </w:tbl>
    <w:p w14:paraId="53ABFA63" w14:textId="77777777">
      <w:pPr>
        <w:pStyle w:val="Cmsor4"/>
      </w:pPr>
      <w:bookmarkStart w:id="480" w:name="_4ie6uwnthfaw" w:colFirst="0" w:colLast="0"/>
      <w:bookmarkStart w:id="481" w:name="_9qk9995s9cyz" w:colFirst="0" w:colLast="0"/>
      <w:bookmarkStart w:id="482" w:name="_Ref63674539"/>
      <w:bookmarkStart w:id="483" w:name="_Ref43985257"/>
      <w:bookmarkEnd w:id="480"/>
      <w:bookmarkEnd w:id="481"/>
      <w:r>
        <w:t>Unclassified space</w:t>
      </w:r>
      <w:bookmarkEnd w:id="482"/>
    </w:p>
    <w:p w14:paraId="07B19D3B" w14:textId="77777777">
      <w:r>
        <w:t>This subsection concerns spaces which may be deemed significant even though they cannot be assigned to any of the types dealt with above.</w:t>
      </w:r>
    </w:p>
    <w:p w14:paraId="43E99E2D" w14:textId="77777777">
      <w:pPr>
        <w:pStyle w:val="Lista"/>
      </w:pPr>
      <w:r>
        <w:t>spaces may, for instance, be unclassified because</w:t>
      </w:r>
    </w:p>
    <w:p w14:paraId="7465F199" w14:textId="77777777">
      <w:pPr>
        <w:pStyle w:val="Lista2"/>
      </w:pPr>
      <w:r>
        <w:t>working without access to a good surrogate, you cannot decide if any of the classes apply, or</w:t>
      </w:r>
    </w:p>
    <w:p w14:paraId="05F25ED7" w14:textId="77777777">
      <w:pPr>
        <w:pStyle w:val="Lista2"/>
      </w:pPr>
      <w:r>
        <w:t>none of these types correspond closely enough to your hypothesis of why the space is present</w:t>
      </w:r>
    </w:p>
    <w:p w14:paraId="3E2D1315" w14:textId="77777777">
      <w:pPr>
        <w:pStyle w:val="Lista"/>
      </w:pPr>
      <w:r>
        <w:t xml:space="preserve">unclassified spaces shall be encoded using </w:t>
      </w:r>
      <w:r>
        <w:rPr>
          <w:rStyle w:val="Code"/>
        </w:rPr>
        <w:t>&lt;space/&gt;</w:t>
      </w:r>
      <w:r>
        <w:t xml:space="preserve"> with </w:t>
      </w:r>
      <w:r>
        <w:rPr>
          <w:rStyle w:val="Codeattribute"/>
        </w:rPr>
        <w:t>@type</w:t>
      </w:r>
      <w:r>
        <w:rPr>
          <w:rStyle w:val="Code"/>
        </w:rPr>
        <w:t>=</w:t>
      </w:r>
      <w:r>
        <w:rPr>
          <w:rStyle w:val="Codevalue"/>
        </w:rPr>
        <w:t>"unclassified"</w:t>
      </w:r>
    </w:p>
    <w:p w14:paraId="6241D036" w14:textId="77777777">
      <w:pPr>
        <w:pStyle w:val="Lista2"/>
      </w:pPr>
      <w:r>
        <w:t>add no further attributes for normal-sized spaces</w:t>
      </w:r>
    </w:p>
    <w:p w14:paraId="11DDA1AE" w14:textId="77777777">
      <w:pPr>
        <w:pStyle w:val="Lista2"/>
      </w:pPr>
      <w:r>
        <w:t>for larger spaces, encode size as per §</w:t>
      </w:r>
      <w:r>
        <w:fldChar w:fldCharType="begin"/>
      </w:r>
      <w:r>
        <w:instrText xml:space="preserve"> REF _Ref183008428 \r \h </w:instrText>
      </w:r>
      <w:r>
        <w:fldChar w:fldCharType="separate"/>
      </w:r>
      <w:r>
        <w:t>5.4.2.4</w:t>
      </w:r>
      <w:r>
        <w:fldChar w:fldCharType="end"/>
      </w:r>
    </w:p>
    <w:p w14:paraId="7E903F90" w14:textId="77777777">
      <w:pPr>
        <w:pStyle w:val="Cmsor4"/>
      </w:pPr>
      <w:bookmarkStart w:id="484" w:name="_Ref227835279"/>
      <w:bookmarkStart w:id="485" w:name="_Ref183008428"/>
      <w:bookmarkStart w:id="486" w:name="_Ref182216826"/>
      <w:r>
        <w:t>Layout spacing</w:t>
      </w:r>
      <w:bookmarkEnd w:id="484"/>
    </w:p>
    <w:p w14:paraId="7EE36FB8" w14:textId="77777777">
      <w:r>
        <w:t>Space left blank in a document for the sake of visual layout should not, as a rule, be marked up as space. Such features should be mentioned in the annotation, and may be represented through encoding as follows:</w:t>
      </w:r>
    </w:p>
    <w:p w14:paraId="7641E226" w14:textId="77777777">
      <w:pPr>
        <w:pStyle w:val="Lista"/>
      </w:pPr>
      <w:r>
        <w:t xml:space="preserve">for </w:t>
      </w:r>
      <w:r>
        <w:rPr>
          <w:b/>
          <w:bCs/>
        </w:rPr>
        <w:t>inline layout blanks</w:t>
      </w:r>
      <w:r>
        <w:t>: optionally encode specially aligned lines as per §</w:t>
      </w:r>
      <w:r>
        <w:fldChar w:fldCharType="begin"/>
      </w:r>
      <w:r>
        <w:instrText xml:space="preserve"> REF _Ref43987598 \r \h </w:instrText>
      </w:r>
      <w:r>
        <w:fldChar w:fldCharType="separate"/>
      </w:r>
      <w:r>
        <w:t>8.5.1</w:t>
      </w:r>
      <w:r>
        <w:fldChar w:fldCharType="end"/>
      </w:r>
      <w:r>
        <w:t xml:space="preserve"> when spaces appear</w:t>
      </w:r>
    </w:p>
    <w:p w14:paraId="588DB2D4" w14:textId="77777777">
      <w:pPr>
        <w:pStyle w:val="Lista2"/>
      </w:pPr>
      <w:r>
        <w:t>at the end of a line that begins flush with the left margin</w:t>
      </w:r>
    </w:p>
    <w:p w14:paraId="4F1265ED" w14:textId="77777777">
      <w:pPr>
        <w:pStyle w:val="Lista2"/>
      </w:pPr>
      <w:r>
        <w:t>at the beginning of a line that ends flush with the right margin</w:t>
      </w:r>
    </w:p>
    <w:p w14:paraId="0FDD190E" w14:textId="77777777">
      <w:pPr>
        <w:pStyle w:val="Lista2"/>
      </w:pPr>
      <w:r>
        <w:t>at the beginning and end of a line that is centred between the two margins</w:t>
      </w:r>
    </w:p>
    <w:p w14:paraId="3016ED67" w14:textId="77777777">
      <w:pPr>
        <w:pStyle w:val="Lista2"/>
      </w:pPr>
      <w:r>
        <w:t>between words or glyphs throughout a line that is justified to both margins</w:t>
      </w:r>
    </w:p>
    <w:p w14:paraId="7A9E4E8C" w14:textId="77777777">
      <w:pPr>
        <w:pStyle w:val="Lista"/>
      </w:pPr>
      <w:r>
        <w:t xml:space="preserve">for </w:t>
      </w:r>
      <w:r>
        <w:rPr>
          <w:b/>
          <w:bCs/>
        </w:rPr>
        <w:t>blank areas between lines</w:t>
      </w:r>
      <w:r>
        <w:t>: by default encode nothing</w:t>
      </w:r>
    </w:p>
    <w:p w14:paraId="263851AA" w14:textId="77777777">
      <w:pPr>
        <w:pStyle w:val="Lista2"/>
      </w:pPr>
      <w:r>
        <w:t xml:space="preserve">create no </w:t>
      </w:r>
      <w:r>
        <w:rPr>
          <w:rStyle w:val="Code"/>
        </w:rPr>
        <w:t>&lt;lb/&gt;</w:t>
      </w:r>
      <w:r>
        <w:t xml:space="preserve"> elements for empty lines and insert no </w:t>
      </w:r>
      <w:r>
        <w:rPr>
          <w:rStyle w:val="Code"/>
        </w:rPr>
        <w:t>&lt;space/&gt;</w:t>
      </w:r>
      <w:r>
        <w:t xml:space="preserve"> elements to represent them</w:t>
      </w:r>
    </w:p>
    <w:p w14:paraId="59A1A386" w14:textId="77777777">
      <w:pPr>
        <w:pStyle w:val="Lista2"/>
      </w:pPr>
      <w:r>
        <w:t>the regular line spacing and any deviations from it should be described for human readers in the layout description</w:t>
      </w:r>
    </w:p>
    <w:p w14:paraId="290B316F" w14:textId="77777777">
      <w:pPr>
        <w:pStyle w:val="Lista2"/>
      </w:pPr>
      <w:r>
        <w:t>opening passages (incipits) separated by space from the body of an inscription may be given special line numbers as per §</w:t>
      </w:r>
      <w:r>
        <w:fldChar w:fldCharType="begin"/>
      </w:r>
      <w:r>
        <w:instrText xml:space="preserve"> REF _Ref43978135 \r \h </w:instrText>
      </w:r>
      <w:r>
        <w:fldChar w:fldCharType="separate"/>
      </w:r>
      <w:r>
        <w:t>4.7.1.1</w:t>
      </w:r>
      <w:r>
        <w:fldChar w:fldCharType="end"/>
      </w:r>
    </w:p>
    <w:p w14:paraId="2D743C6D" w14:textId="77777777">
      <w:pPr>
        <w:pStyle w:val="Lista"/>
      </w:pPr>
      <w:r>
        <w:t xml:space="preserve">for </w:t>
      </w:r>
      <w:r>
        <w:rPr>
          <w:b/>
          <w:bCs/>
        </w:rPr>
        <w:t>blank pages in copper plates</w:t>
      </w:r>
      <w:r>
        <w:t xml:space="preserve">: encode </w:t>
      </w:r>
      <w:r>
        <w:rPr>
          <w:rStyle w:val="Code"/>
        </w:rPr>
        <w:t>&lt;pb/&gt;</w:t>
      </w:r>
      <w:r>
        <w:t xml:space="preserve"> elements for each page as per §</w:t>
      </w:r>
      <w:r>
        <w:fldChar w:fldCharType="begin"/>
      </w:r>
      <w:r>
        <w:instrText xml:space="preserve"> REF _Ref182318940 \r \h </w:instrText>
      </w:r>
      <w:r>
        <w:fldChar w:fldCharType="separate"/>
      </w:r>
      <w:r>
        <w:t>4.4.2.2</w:t>
      </w:r>
      <w:r>
        <w:fldChar w:fldCharType="end"/>
      </w:r>
      <w:r>
        <w:t xml:space="preserve">, but insert no </w:t>
      </w:r>
      <w:r>
        <w:rPr>
          <w:rStyle w:val="Code"/>
        </w:rPr>
        <w:t>&lt;space/&gt;</w:t>
      </w:r>
      <w:r>
        <w:t xml:space="preserve"> elements to represent their content</w:t>
      </w:r>
    </w:p>
    <w:p w14:paraId="5F3EF7EA" w14:textId="77777777">
      <w:pPr>
        <w:pStyle w:val="Cmsor3"/>
      </w:pPr>
      <w:bookmarkStart w:id="487" w:name="_Toc243900305"/>
      <w:r>
        <w:t>The size of spaces</w:t>
      </w:r>
      <w:bookmarkEnd w:id="485"/>
      <w:bookmarkEnd w:id="487"/>
    </w:p>
    <w:p w14:paraId="0DB9AF71" w14:textId="77777777">
      <w:pPr>
        <w:pStyle w:val="Lista"/>
      </w:pPr>
      <w:r>
        <w:t xml:space="preserve">to encode the size of a space, add both of the following attributes to the </w:t>
      </w:r>
      <w:r>
        <w:rPr>
          <w:rStyle w:val="Code"/>
        </w:rPr>
        <w:t>&lt;space/&gt;</w:t>
      </w:r>
      <w:r>
        <w:t xml:space="preserve"> element</w:t>
      </w:r>
    </w:p>
    <w:p w14:paraId="278C36F4" w14:textId="77777777">
      <w:pPr>
        <w:pStyle w:val="Lista2"/>
      </w:pPr>
      <w:r>
        <w:rPr>
          <w:rStyle w:val="Codeattribute"/>
        </w:rPr>
        <w:t>@quantity</w:t>
      </w:r>
      <w:r>
        <w:t xml:space="preserve">, whose value shall be the width of the space given as the number of characters that could fit into it </w:t>
      </w:r>
      <w:r>
        <w:rPr>
          <w:noProof/>
        </w:rPr>
        <w:t>(</w:t>
      </w:r>
      <w:r>
        <w:t xml:space="preserve">i.e., the number of widths of an average </w:t>
      </w:r>
      <w:r>
        <w:rPr>
          <w:rStyle w:val="Foreign"/>
        </w:rPr>
        <w:t>akṣara</w:t>
      </w:r>
      <w:r>
        <w:t>)</w:t>
      </w:r>
    </w:p>
    <w:p w14:paraId="4924EB42" w14:textId="77777777">
      <w:pPr>
        <w:pStyle w:val="Lista3"/>
      </w:pPr>
      <w:r>
        <w:t>this quantity is always understood to be approximate</w:t>
      </w:r>
    </w:p>
    <w:p w14:paraId="28621ACB" w14:textId="77777777">
      <w:pPr>
        <w:pStyle w:val="Lista2"/>
      </w:pPr>
      <w:r>
        <w:rPr>
          <w:rStyle w:val="Codeattribute"/>
        </w:rPr>
        <w:t>@unit</w:t>
      </w:r>
      <w:r>
        <w:t xml:space="preserve">, with the value </w:t>
      </w:r>
      <w:r>
        <w:rPr>
          <w:rStyle w:val="Codevalue"/>
        </w:rPr>
        <w:t>"character"</w:t>
      </w:r>
    </w:p>
    <w:p w14:paraId="56AAB317" w14:textId="77777777">
      <w:pPr>
        <w:pStyle w:val="Lista3"/>
      </w:pPr>
      <w:r>
        <w:t>our encoding does not use any other units for the size of spaces</w:t>
      </w:r>
    </w:p>
    <w:p w14:paraId="6DA54EEC" w14:textId="77777777">
      <w:pPr>
        <w:pStyle w:val="Lista"/>
      </w:pPr>
      <w:r>
        <w:t xml:space="preserve">when these attributes are not present, </w:t>
      </w:r>
      <w:r>
        <w:rPr>
          <w:rStyle w:val="Code"/>
        </w:rPr>
        <w:t>&lt;space/&gt;</w:t>
      </w:r>
      <w:r>
        <w:t xml:space="preserve"> is by default understood to represent a “normal” space such as that found between two words, which usually has a breadth no larger than two average characters</w:t>
      </w:r>
    </w:p>
    <w:p w14:paraId="79D19E34" w14:textId="77777777">
      <w:pPr>
        <w:pStyle w:val="Lista2"/>
      </w:pPr>
      <w:r>
        <w:t>it is therefore not necessary to explicitly encode the size of normal spaces</w:t>
      </w:r>
    </w:p>
    <w:p w14:paraId="79AF3570" w14:textId="77777777">
      <w:pPr>
        <w:pStyle w:val="Cmsor3"/>
      </w:pPr>
      <w:bookmarkStart w:id="488" w:name="_Ref183011230"/>
      <w:bookmarkStart w:id="489" w:name="_Ref227836913"/>
      <w:bookmarkStart w:id="490" w:name="_Toc243900306"/>
      <w:bookmarkStart w:id="491" w:name="_Ref183012048"/>
      <w:r>
        <w:t xml:space="preserve">Spaces </w:t>
      </w:r>
      <w:bookmarkEnd w:id="488"/>
      <w:r>
        <w:t>and their context</w:t>
      </w:r>
      <w:bookmarkEnd w:id="489"/>
      <w:bookmarkEnd w:id="490"/>
    </w:p>
    <w:p w14:paraId="51A1EFF7" w14:textId="77777777">
      <w:pPr>
        <w:pStyle w:val="Lista"/>
        <w:rPr>
          <w:lang w:eastAsia="en-US" w:bidi="ar-SA"/>
        </w:rPr>
      </w:pPr>
      <w:r>
        <w:t xml:space="preserve">the element </w:t>
      </w:r>
      <w:r>
        <w:rPr>
          <w:rStyle w:val="Code"/>
        </w:rPr>
        <w:t>&lt;space/&gt;</w:t>
      </w:r>
      <w:r>
        <w:t xml:space="preserve"> should normally be separated from surrounding text by editorial spaces in your file, except:</w:t>
      </w:r>
    </w:p>
    <w:p w14:paraId="4C7FAE52" w14:textId="77777777">
      <w:pPr>
        <w:pStyle w:val="Lista2"/>
        <w:rPr>
          <w:lang w:eastAsia="en-US" w:bidi="ar-SA"/>
        </w:rPr>
      </w:pPr>
      <w:r>
        <w:lastRenderedPageBreak/>
        <w:t xml:space="preserve">if a </w:t>
      </w:r>
      <w:r>
        <w:rPr>
          <w:rStyle w:val="Code"/>
        </w:rPr>
        <w:t>&lt;space/&gt;</w:t>
      </w:r>
      <w:r>
        <w:t xml:space="preserve"> occurs within a word of the text, no spaces must be added around the element; see §</w:t>
      </w:r>
      <w:r>
        <w:fldChar w:fldCharType="begin"/>
      </w:r>
      <w:r>
        <w:instrText xml:space="preserve"> REF _Ref43984944 \w \h  \* MERGEFORMAT </w:instrText>
      </w:r>
      <w:r>
        <w:fldChar w:fldCharType="separate"/>
      </w:r>
      <w:r>
        <w:t>7.8.1</w:t>
      </w:r>
      <w:r>
        <w:fldChar w:fldCharType="end"/>
      </w:r>
      <w:r>
        <w:t xml:space="preserve"> for more details.</w:t>
      </w:r>
    </w:p>
    <w:p w14:paraId="594F6697" w14:textId="77777777">
      <w:pPr>
        <w:pStyle w:val="Lista3"/>
        <w:rPr>
          <w:lang w:eastAsia="en-US" w:bidi="ar-SA"/>
        </w:rPr>
      </w:pPr>
      <w:r>
        <w:rPr>
          <w:lang w:eastAsia="en-US" w:bidi="ar-SA"/>
        </w:rPr>
        <w:t>there is no explicit encoding for the fact that a space interrupts a word</w:t>
      </w:r>
    </w:p>
    <w:p w14:paraId="561F90C9" w14:textId="77777777">
      <w:pPr>
        <w:pStyle w:val="Lista2"/>
        <w:rPr>
          <w:lang w:eastAsia="en-US" w:bidi="ar-SA"/>
        </w:rPr>
      </w:pPr>
      <w:r>
        <w:t xml:space="preserve">if a </w:t>
      </w:r>
      <w:r>
        <w:rPr>
          <w:rStyle w:val="Code"/>
        </w:rPr>
        <w:t>&lt;space/&gt;</w:t>
      </w:r>
      <w:r>
        <w:t xml:space="preserve"> occurs at the boundary (beginning or end) of a structural container, do not add a space between the containing element’s tag and the </w:t>
      </w:r>
      <w:r>
        <w:rPr>
          <w:rStyle w:val="Code"/>
        </w:rPr>
        <w:t>&lt;space/&gt;</w:t>
      </w:r>
      <w:r>
        <w:t xml:space="preserve"> element</w:t>
      </w:r>
    </w:p>
    <w:p w14:paraId="1402585F" w14:textId="77777777">
      <w:pPr>
        <w:pStyle w:val="Lista"/>
      </w:pPr>
      <w:r>
        <w:t>if a space appears in lieu of punctuation at the boundary of two block-level containers for intrinsic structure (§</w:t>
      </w:r>
      <w:r>
        <w:fldChar w:fldCharType="begin"/>
      </w:r>
      <w:r>
        <w:instrText xml:space="preserve"> REF _Ref43978632 \r \h </w:instrText>
      </w:r>
      <w:r>
        <w:fldChar w:fldCharType="separate"/>
      </w:r>
      <w:r>
        <w:t>3</w:t>
      </w:r>
      <w:r>
        <w:fldChar w:fldCharType="end"/>
      </w:r>
      <w:r>
        <w:t>), allocate it to the end of the earlier container unless you strongly feel that it belongs to the beginning of the latter container</w:t>
      </w:r>
    </w:p>
    <w:p w14:paraId="3904F6D3" w14:textId="77777777">
      <w:pPr>
        <w:pStyle w:val="Lista"/>
      </w:pPr>
      <w:r>
        <w:t xml:space="preserve">as a special case, spaces may appear at an </w:t>
      </w:r>
      <w:r>
        <w:rPr>
          <w:rStyle w:val="Foreign"/>
        </w:rPr>
        <w:t>akṣara</w:t>
      </w:r>
      <w:r>
        <w:t xml:space="preserve"> boundary next to, but not coincident with, a word boundary (which would fall within the </w:t>
      </w:r>
      <w:r>
        <w:rPr>
          <w:rStyle w:val="Foreign"/>
        </w:rPr>
        <w:t>akṣara</w:t>
      </w:r>
      <w:r>
        <w:t>)</w:t>
      </w:r>
    </w:p>
    <w:p w14:paraId="0E7DCCFB" w14:textId="77777777">
      <w:pPr>
        <w:pStyle w:val="Lista2"/>
      </w:pPr>
      <w:r>
        <w:t>such spaces must always be represented in the transliterated text at their actual location (and thus without editorial spacing)</w:t>
      </w:r>
    </w:p>
    <w:p w14:paraId="0B2D61E0" w14:textId="77777777">
      <w:pPr>
        <w:pStyle w:val="Lista2"/>
      </w:pPr>
      <w:r>
        <w:t>however, it is recommended that you flag this as non-standard usage and optionally also normalise the text (§</w:t>
      </w:r>
      <w:r>
        <w:fldChar w:fldCharType="begin"/>
      </w:r>
      <w:r>
        <w:instrText xml:space="preserve"> REF _Ref43978565 \r \h </w:instrText>
      </w:r>
      <w:r>
        <w:fldChar w:fldCharType="separate"/>
      </w:r>
      <w:r>
        <w:t>7</w:t>
      </w:r>
      <w:r>
        <w:fldChar w:fldCharType="end"/>
      </w:r>
      <w:r>
        <w:t xml:space="preserve">) by restoring the symbol at the word boundary and changing the sandhi and editorial spacing as applicable, as in </w:t>
      </w:r>
      <w:r>
        <w:fldChar w:fldCharType="begin"/>
      </w:r>
      <w:r>
        <w:instrText xml:space="preserve"> REF _Ref227838262 \h </w:instrText>
      </w:r>
      <w:r>
        <w:fldChar w:fldCharType="separate"/>
      </w:r>
      <w:r>
        <w:t xml:space="preserve">Exhibit </w:t>
      </w:r>
      <w:r>
        <w:rPr>
          <w:noProof/>
        </w:rPr>
        <w:t>5.4</w:t>
      </w:r>
      <w:r>
        <w:t>.</w:t>
      </w:r>
      <w:r>
        <w:rPr>
          <w:noProof/>
        </w:rPr>
        <w:t>E</w:t>
      </w:r>
      <w:r>
        <w:fldChar w:fldCharType="end"/>
      </w:r>
    </w:p>
    <w:p w14:paraId="671073B0" w14:textId="77777777">
      <w:pPr>
        <w:pStyle w:val="Lista2"/>
      </w:pPr>
      <w:r>
        <w:t>when this happens at the end of a container element such as a verse line, encode the container boundary at its logical place (§</w:t>
      </w:r>
      <w:r>
        <w:fldChar w:fldCharType="begin"/>
      </w:r>
      <w:r>
        <w:instrText xml:space="preserve"> REF _Ref225328264 \r \h </w:instrText>
      </w:r>
      <w:r>
        <w:fldChar w:fldCharType="separate"/>
      </w:r>
      <w:r>
        <w:t>3.2.4.1</w:t>
      </w:r>
      <w:r>
        <w:fldChar w:fldCharType="end"/>
      </w:r>
      <w:r>
        <w:t xml:space="preserve">), disregarding the </w:t>
      </w:r>
      <w:r>
        <w:rPr>
          <w:rStyle w:val="Foreign"/>
        </w:rPr>
        <w:t>akṣara</w:t>
      </w:r>
      <w:r>
        <w:t xml:space="preserve"> boundary and the symbol</w:t>
      </w:r>
    </w:p>
    <w:tbl>
      <w:tblPr>
        <w:tblStyle w:val="CodeSampleTable"/>
        <w:tblW w:w="5000" w:type="pct"/>
        <w:tblLook w:val="04A0" w:firstRow="1" w:lastRow="0" w:firstColumn="1" w:lastColumn="0" w:noHBand="0" w:noVBand="1"/>
      </w:tblPr>
      <w:tblGrid>
        <w:gridCol w:w="9628"/>
      </w:tblGrid>
      <w:tr w14:paraId="2B5245B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D33124E" w14:textId="77777777">
            <w:pPr>
              <w:pStyle w:val="Kpalrs"/>
            </w:pPr>
            <w:bookmarkStart w:id="492" w:name="_Ref227838262"/>
            <w:r>
              <w:t xml:space="preserve">Exhibit </w:t>
            </w:r>
            <w:fldSimple w:instr=" STYLEREF 2 \s ">
              <w:r>
                <w:rPr>
                  <w:noProof/>
                </w:rPr>
                <w:t>5.4</w:t>
              </w:r>
            </w:fldSimple>
            <w:r>
              <w:t>.</w:t>
            </w:r>
            <w:fldSimple w:instr=" SEQ Exhibit \* ALPHABETIC \s 2 ">
              <w:r>
                <w:rPr>
                  <w:noProof/>
                </w:rPr>
                <w:t>E</w:t>
              </w:r>
            </w:fldSimple>
            <w:bookmarkEnd w:id="492"/>
            <w:r>
              <w:t xml:space="preserve">: space at </w:t>
            </w:r>
            <w:r>
              <w:rPr>
                <w:rStyle w:val="Foreign"/>
              </w:rPr>
              <w:t>akṣara</w:t>
            </w:r>
            <w:r>
              <w:t xml:space="preserve"> boundary rather than word boundary</w:t>
            </w:r>
          </w:p>
        </w:tc>
      </w:tr>
      <w:tr w14:paraId="75E0F957" w14:textId="77777777">
        <w:tc>
          <w:tcPr>
            <w:tcW w:w="5000" w:type="pct"/>
          </w:tcPr>
          <w:p w14:paraId="0E48DE8A" w14:textId="77777777">
            <w:pPr>
              <w:pStyle w:val="TableNote"/>
              <w:rPr>
                <w:rFonts w:ascii="Consolas" w:hAnsi="Consolas" w:cs="Consolas"/>
                <w:noProof/>
                <w:color w:val="000000" w:themeColor="text1"/>
                <w:shd w:val="clear" w:color="auto" w:fill="F2F2F2" w:themeFill="background1" w:themeFillShade="F2"/>
              </w:rPr>
            </w:pPr>
            <w:r>
              <w:t xml:space="preserve">original: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 xml:space="preserve">&lt;space/&gt;ś&lt;/l&gt;&lt;l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p w14:paraId="1C8E06F0" w14:textId="77777777">
            <w:pPr>
              <w:pStyle w:val="TableNote"/>
              <w:rPr>
                <w:rFonts w:ascii="Consolas" w:hAnsi="Consolas" w:cs="Consolas"/>
                <w:noProof/>
                <w:color w:val="000000" w:themeColor="text1"/>
                <w:shd w:val="clear" w:color="auto" w:fill="F2F2F2" w:themeFill="background1" w:themeFillShade="F2"/>
              </w:rPr>
            </w:pPr>
            <w:r>
              <w:t xml:space="preserve">flagged: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 xml:space="preserve">&lt;orig&gt;&lt;space/&gt;ś&lt;/orig&gt;&lt;/l&gt;&lt;l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p w14:paraId="0FACDE83" w14:textId="77777777">
            <w:pPr>
              <w:pStyle w:val="TableNote"/>
              <w:rPr>
                <w:rStyle w:val="Code"/>
              </w:rPr>
            </w:pPr>
            <w:r>
              <w:t xml:space="preserve">normalised: </w:t>
            </w:r>
            <w:r>
              <w:rPr>
                <w:rStyle w:val="Code"/>
              </w:rPr>
              <w:t xml:space="preserve">&lt;l </w:t>
            </w:r>
            <w:r>
              <w:rPr>
                <w:rStyle w:val="Codeattribute"/>
              </w:rPr>
              <w:t>n</w:t>
            </w:r>
            <w:r>
              <w:rPr>
                <w:rStyle w:val="Codetext"/>
              </w:rPr>
              <w:t>=</w:t>
            </w:r>
            <w:r>
              <w:rPr>
                <w:rStyle w:val="Codevalue"/>
              </w:rPr>
              <w:t>"a"</w:t>
            </w:r>
            <w:r>
              <w:rPr>
                <w:rStyle w:val="Code"/>
              </w:rPr>
              <w:t>&gt;</w:t>
            </w:r>
            <w:r>
              <w:rPr>
                <w:rStyle w:val="Codetext"/>
              </w:rPr>
              <w:t>jayatīndrādidevāsya</w:t>
            </w:r>
            <w:r>
              <w:rPr>
                <w:rStyle w:val="Code"/>
              </w:rPr>
              <w:t>&lt;choice&gt;&lt;orig&gt;&lt;space/&gt;ś&lt;/orig&gt;&lt;reg&gt;</w:t>
            </w:r>
            <w:r>
              <w:rPr>
                <w:rStyle w:val="Codetext"/>
              </w:rPr>
              <w:t>ḥ</w:t>
            </w:r>
            <w:r>
              <w:rPr>
                <w:rStyle w:val="Code"/>
              </w:rPr>
              <w:t xml:space="preserve">&lt;space/&gt;&lt;/reg&gt;&lt;/choice&gt;&lt;/l&gt;&lt;l </w:t>
            </w:r>
            <w:r>
              <w:rPr>
                <w:rStyle w:val="Codeattribute"/>
              </w:rPr>
              <w:t>n</w:t>
            </w:r>
            <w:r>
              <w:rPr>
                <w:rStyle w:val="Codetext"/>
              </w:rPr>
              <w:t>=</w:t>
            </w:r>
            <w:r>
              <w:rPr>
                <w:rStyle w:val="Codevalue"/>
              </w:rPr>
              <w:t>"b"</w:t>
            </w:r>
            <w:r>
              <w:rPr>
                <w:rStyle w:val="Code"/>
              </w:rPr>
              <w:t>&gt;</w:t>
            </w:r>
            <w:r>
              <w:rPr>
                <w:rStyle w:val="Codetext"/>
              </w:rPr>
              <w:t>śrīmān yajñapatīśvaraḥ</w:t>
            </w:r>
            <w:r>
              <w:rPr>
                <w:rStyle w:val="Code"/>
              </w:rPr>
              <w:t>&lt;/l&gt;</w:t>
            </w:r>
          </w:p>
        </w:tc>
      </w:tr>
      <w:tr w14:paraId="3B30B6D0" w14:textId="77777777">
        <w:tc>
          <w:tcPr>
            <w:tcW w:w="5000" w:type="pct"/>
          </w:tcPr>
          <w:p w14:paraId="52CA6FD2" w14:textId="77777777">
            <w:pPr>
              <w:pStyle w:val="TableNote"/>
            </w:pPr>
            <w:r>
              <w:t xml:space="preserve">the space belonging at the end of the word </w:t>
            </w:r>
            <w:r>
              <w:rPr>
                <w:rStyle w:val="Foreign"/>
              </w:rPr>
              <w:t xml:space="preserve">°āsyaḥ </w:t>
            </w:r>
            <w:r>
              <w:t xml:space="preserve">is placed after </w:t>
            </w:r>
            <w:r>
              <w:rPr>
                <w:rStyle w:val="Foreign"/>
              </w:rPr>
              <w:t>sya</w:t>
            </w:r>
            <w:r>
              <w:t xml:space="preserve">, because the end of this word has been merged in sandhi into conjunct </w:t>
            </w:r>
            <w:r>
              <w:rPr>
                <w:noProof/>
              </w:rPr>
              <w:t>(</w:t>
            </w:r>
            <w:r>
              <w:rPr>
                <w:rStyle w:val="Foreign"/>
              </w:rPr>
              <w:t>śśrī</w:t>
            </w:r>
            <w:r>
              <w:t>) with the beginning of the next word</w:t>
            </w:r>
          </w:p>
        </w:tc>
      </w:tr>
    </w:tbl>
    <w:p w14:paraId="3A782EFB" w14:textId="77777777">
      <w:pPr>
        <w:pStyle w:val="Cmsor2"/>
      </w:pPr>
      <w:bookmarkStart w:id="493" w:name="_Ref228799393"/>
      <w:bookmarkStart w:id="494" w:name="_Toc243900307"/>
      <w:r>
        <w:t>Premodern scribal intervention</w:t>
      </w:r>
      <w:bookmarkEnd w:id="483"/>
      <w:bookmarkEnd w:id="486"/>
      <w:bookmarkEnd w:id="491"/>
      <w:bookmarkEnd w:id="493"/>
      <w:bookmarkEnd w:id="494"/>
    </w:p>
    <w:p w14:paraId="2FAF2D19" w14:textId="77777777">
      <w:r>
        <w:t>The word ‘scribe’ refers in this Guide to any person who has made a purposeful and meaningful contribution to a written document before it became an object of modern study. Scribal intervention thus means a purposeful and meaningful change effected in an already written text, often by the original scribe and at or near the time of the original engraving, but in some cases by a different person and/or at a much later time. Scribal intervention is usually constructive (as in addition, discussed in §</w:t>
      </w:r>
      <w:r>
        <w:fldChar w:fldCharType="begin"/>
      </w:r>
      <w:r>
        <w:instrText xml:space="preserve"> REF _Ref43978471 \r \h </w:instrText>
      </w:r>
      <w:r>
        <w:fldChar w:fldCharType="separate"/>
      </w:r>
      <w:r>
        <w:t>5.5.2</w:t>
      </w:r>
      <w:r>
        <w:fldChar w:fldCharType="end"/>
      </w:r>
      <w:r>
        <w:t xml:space="preserve"> and correction, §</w:t>
      </w:r>
      <w:r>
        <w:fldChar w:fldCharType="begin"/>
      </w:r>
      <w:r>
        <w:instrText xml:space="preserve"> REF _Ref74727538 \r \h </w:instrText>
      </w:r>
      <w:r>
        <w:fldChar w:fldCharType="separate"/>
      </w:r>
      <w:r>
        <w:t>5.5.3</w:t>
      </w:r>
      <w:r>
        <w:fldChar w:fldCharType="end"/>
      </w:r>
      <w:r>
        <w:t>), but it may also be destructive in a deliberate and targeted manner (deletion, §</w:t>
      </w:r>
      <w:r>
        <w:fldChar w:fldCharType="begin"/>
      </w:r>
      <w:r>
        <w:instrText xml:space="preserve"> REF _Ref43985171 \r \h </w:instrText>
      </w:r>
      <w:r>
        <w:fldChar w:fldCharType="separate"/>
      </w:r>
      <w:r>
        <w:t>5.5.1</w:t>
      </w:r>
      <w:r>
        <w:fldChar w:fldCharType="end"/>
      </w:r>
      <w:r>
        <w:t>). Scribal intervention does not include the purposeful or accidental effacement of an entire inscription or random parts thereof, nor the engraving of a palimpsest over a pre-existing inscription.</w:t>
      </w:r>
    </w:p>
    <w:p w14:paraId="6E61F0B8" w14:textId="77777777">
      <w:pPr>
        <w:pStyle w:val="Cmsor3"/>
      </w:pPr>
      <w:bookmarkStart w:id="495" w:name="_an1iq23tb1j" w:colFirst="0" w:colLast="0"/>
      <w:bookmarkStart w:id="496" w:name="_Ref43985171"/>
      <w:bookmarkStart w:id="497" w:name="_Toc243900308"/>
      <w:bookmarkEnd w:id="495"/>
      <w:r>
        <w:t>Scribal deletion</w:t>
      </w:r>
      <w:bookmarkEnd w:id="496"/>
      <w:bookmarkEnd w:id="497"/>
    </w:p>
    <w:p w14:paraId="3E5CBE7A" w14:textId="77777777">
      <w:r>
        <w:rPr>
          <w:lang w:eastAsia="en-US" w:bidi="ar-SA"/>
        </w:rPr>
        <w:t xml:space="preserve">Scribal deletion is the deliberate cancellation of one or more graphemes in a pre-written text by a scribe. Deletion is usually of an editorial nature, affecting parts of the text that were incorrectly or needlessly written. Deletion also </w:t>
      </w:r>
      <w:r>
        <w:t xml:space="preserve">includes the targeted removal of circumscribed sections of an inscription </w:t>
      </w:r>
      <w:r>
        <w:rPr>
          <w:noProof/>
        </w:rPr>
        <w:t>(</w:t>
      </w:r>
      <w:r>
        <w:t>e.g. of names). Deletion accompanied by a corrective or restitutive addition is correction, treated in §</w:t>
      </w:r>
      <w:r>
        <w:fldChar w:fldCharType="begin"/>
      </w:r>
      <w:r>
        <w:instrText xml:space="preserve"> REF _Ref74727538 \r \h </w:instrText>
      </w:r>
      <w:r>
        <w:fldChar w:fldCharType="separate"/>
      </w:r>
      <w:r>
        <w:t>5.5.3</w:t>
      </w:r>
      <w:r>
        <w:fldChar w:fldCharType="end"/>
      </w:r>
      <w:r>
        <w:t xml:space="preserve">. </w:t>
      </w:r>
      <w:r>
        <w:rPr>
          <w:lang w:eastAsia="en-US" w:bidi="ar-SA"/>
        </w:rPr>
        <w:t xml:space="preserve">Damage to the support is to be handled according to </w:t>
      </w:r>
      <w:r>
        <w:t>§</w:t>
      </w:r>
      <w:r>
        <w:fldChar w:fldCharType="begin"/>
      </w:r>
      <w:r>
        <w:instrText xml:space="preserve"> REF _Ref231895504 \r \h </w:instrText>
      </w:r>
      <w:r>
        <w:fldChar w:fldCharType="separate"/>
      </w:r>
      <w:r>
        <w:t>6</w:t>
      </w:r>
      <w:r>
        <w:fldChar w:fldCharType="end"/>
      </w:r>
      <w:r>
        <w:t>, while space left blank in an inscription is discussed in §</w:t>
      </w:r>
      <w:r>
        <w:fldChar w:fldCharType="begin"/>
      </w:r>
      <w:r>
        <w:instrText xml:space="preserve"> REF _Ref183075544 \r \h </w:instrText>
      </w:r>
      <w:r>
        <w:fldChar w:fldCharType="separate"/>
      </w:r>
      <w:r>
        <w:t>5.3.5</w:t>
      </w:r>
      <w:r>
        <w:fldChar w:fldCharType="end"/>
      </w:r>
      <w:r>
        <w:t>. When it is doubtful whether purposeful deletion has taken place, choose the encoding for the phenomenon you deem most likely, and discuss the matter in your annotation.</w:t>
      </w:r>
    </w:p>
    <w:p w14:paraId="07041D13" w14:textId="77777777">
      <w:pPr>
        <w:pStyle w:val="Lista"/>
      </w:pPr>
      <w:r>
        <w:t xml:space="preserve">graphemes that were deleted in premodern time are to be wrapped in the element </w:t>
      </w:r>
      <w:r>
        <w:rPr>
          <w:rStyle w:val="Code"/>
        </w:rPr>
        <w:t>&lt;del&gt;</w:t>
      </w:r>
      <w:r>
        <w:t>, with the following attribute</w:t>
      </w:r>
    </w:p>
    <w:p w14:paraId="43DC11B5" w14:textId="77777777">
      <w:pPr>
        <w:pStyle w:val="Lista2"/>
      </w:pPr>
      <w:r>
        <w:t xml:space="preserve">as applicable, </w:t>
      </w:r>
      <w:r>
        <w:rPr>
          <w:rStyle w:val="Codeattribute"/>
        </w:rPr>
        <w:t>@rend</w:t>
      </w:r>
      <w:r>
        <w:t xml:space="preserve"> for the manner of deletion as per §</w:t>
      </w:r>
      <w:r>
        <w:fldChar w:fldCharType="begin"/>
      </w:r>
      <w:r>
        <w:instrText xml:space="preserve"> REF _Ref227846179 \r \h </w:instrText>
      </w:r>
      <w:r>
        <w:fldChar w:fldCharType="separate"/>
      </w:r>
      <w:r>
        <w:t>5.5.1.1</w:t>
      </w:r>
      <w:r>
        <w:fldChar w:fldCharType="end"/>
      </w:r>
    </w:p>
    <w:p w14:paraId="6CA0223F" w14:textId="77777777">
      <w:pPr>
        <w:pStyle w:val="Lista"/>
      </w:pPr>
      <w:r>
        <w:t>this element must always contain text or markup equivalent to text</w:t>
      </w:r>
    </w:p>
    <w:p w14:paraId="564EAE64" w14:textId="77777777">
      <w:pPr>
        <w:pStyle w:val="Lista2"/>
      </w:pPr>
      <w:r>
        <w:lastRenderedPageBreak/>
        <w:t>if the vestiges of the deleted text cannot be read with confidence, use the applicable markup (§</w:t>
      </w:r>
      <w:r>
        <w:fldChar w:fldCharType="begin"/>
      </w:r>
      <w:r>
        <w:instrText xml:space="preserve"> REF _Ref43987867 \r \h </w:instrText>
      </w:r>
      <w:r>
        <w:fldChar w:fldCharType="separate"/>
      </w:r>
      <w:r>
        <w:t>6.3.1.3</w:t>
      </w:r>
      <w:r>
        <w:fldChar w:fldCharType="end"/>
      </w:r>
      <w:r>
        <w:t xml:space="preserve">) within the </w:t>
      </w:r>
      <w:r>
        <w:rPr>
          <w:rStyle w:val="Code"/>
        </w:rPr>
        <w:t>&lt;del&gt;</w:t>
      </w:r>
      <w:r>
        <w:t xml:space="preserve"> element</w:t>
      </w:r>
    </w:p>
    <w:p w14:paraId="23851490" w14:textId="77777777">
      <w:pPr>
        <w:pStyle w:val="Lista3"/>
        <w:rPr>
          <w:rStyle w:val="Code"/>
          <w:rFonts w:ascii="Gentium Plus" w:hAnsi="Gentium Plus" w:cs="Arial Unicode MS"/>
          <w:noProof w:val="0"/>
          <w:color w:val="auto"/>
          <w:shd w:val="clear" w:color="auto" w:fill="auto"/>
        </w:rPr>
      </w:pPr>
      <w:r>
        <w:t>text that has been rendered illegible by deletion must be marked up as a lacuna (§</w:t>
      </w:r>
      <w:r>
        <w:fldChar w:fldCharType="begin"/>
      </w:r>
      <w:r>
        <w:instrText xml:space="preserve"> REF _Ref228460110 \r \h </w:instrText>
      </w:r>
      <w:r>
        <w:fldChar w:fldCharType="separate"/>
      </w:r>
      <w:r>
        <w:t>6.5</w:t>
      </w:r>
      <w:r>
        <w:fldChar w:fldCharType="end"/>
      </w:r>
      <w:r>
        <w:t xml:space="preserve">) within the deletion, e.g. </w:t>
      </w:r>
      <w:r>
        <w:rPr>
          <w:rStyle w:val="Code"/>
        </w:rPr>
        <w:t xml:space="preserve">&lt;del&gt;&lt;gap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/&gt;&lt;/del&gt;</w:t>
      </w:r>
    </w:p>
    <w:p w14:paraId="437290CF" w14:textId="77777777">
      <w:pPr>
        <w:pStyle w:val="Cmsor4"/>
      </w:pPr>
      <w:bookmarkStart w:id="498" w:name="_Ref227846179"/>
      <w:r>
        <w:t>Encoding the manner of deletion</w:t>
      </w:r>
      <w:bookmarkEnd w:id="498"/>
    </w:p>
    <w:p w14:paraId="1D2A2D64" w14:textId="77777777">
      <w:r>
        <w:t xml:space="preserve">In DHARMA usage, the </w:t>
      </w:r>
      <w:r>
        <w:rPr>
          <w:rStyle w:val="Code"/>
        </w:rPr>
        <w:t>&lt;del&gt;</w:t>
      </w:r>
      <w:r>
        <w:t xml:space="preserve"> element will by default be understood to represent text rendered illegible through erasure by means such as chiselling the stone, hammering the copper flat, or rubbing the surface smooth. Deletion by erasure needs no additional encoding. In some inscriptions, scribal cancellation marks are employed instead of, or in addition to, erasure. In both of these cases, encode the presence of such marks by adding the </w:t>
      </w:r>
      <w:r>
        <w:rPr>
          <w:noProof/>
        </w:rPr>
        <w:t>attribute</w:t>
      </w:r>
      <w:r>
        <w:t xml:space="preserve"> </w:t>
      </w:r>
      <w:r>
        <w:rPr>
          <w:rStyle w:val="Codeattribute"/>
        </w:rPr>
        <w:t>@rend</w:t>
      </w:r>
      <w:r>
        <w:t xml:space="preserve"> to the </w:t>
      </w:r>
      <w:r>
        <w:rPr>
          <w:rStyle w:val="Code"/>
        </w:rPr>
        <w:t>&lt;del&gt;</w:t>
      </w:r>
      <w:r>
        <w:t xml:space="preserve"> element, as in </w:t>
      </w:r>
      <w:r>
        <w:fldChar w:fldCharType="begin"/>
      </w:r>
      <w:r>
        <w:instrText xml:space="preserve"> REF _Ref183076770 \h </w:instrText>
      </w:r>
      <w:r>
        <w:fldChar w:fldCharType="separate"/>
      </w:r>
      <w:r>
        <w:t xml:space="preserve">Exhibit </w:t>
      </w:r>
      <w:r>
        <w:rPr>
          <w:noProof/>
        </w:rPr>
        <w:t>5.5</w:t>
      </w:r>
      <w:r>
        <w:t>.</w:t>
      </w:r>
      <w:r>
        <w:rPr>
          <w:noProof/>
        </w:rPr>
        <w:t>A</w:t>
      </w:r>
      <w:r>
        <w:fldChar w:fldCharType="end"/>
      </w:r>
      <w:r>
        <w:t>.</w:t>
      </w:r>
    </w:p>
    <w:p w14:paraId="761C2726" w14:textId="77777777">
      <w:pPr>
        <w:pStyle w:val="Lista"/>
      </w:pPr>
      <w:r>
        <w:t xml:space="preserve">the following values are permitted for </w:t>
      </w:r>
      <w:r>
        <w:rPr>
          <w:rStyle w:val="Codeattribute"/>
        </w:rPr>
        <w:t>@rend</w:t>
      </w:r>
      <w:r>
        <w:t xml:space="preserve"> with </w:t>
      </w:r>
      <w:r>
        <w:rPr>
          <w:rStyle w:val="Code"/>
        </w:rPr>
        <w:t>&lt;del&gt;</w:t>
      </w:r>
      <w:r>
        <w:t>:</w:t>
      </w:r>
    </w:p>
    <w:p w14:paraId="3116C422" w14:textId="77777777">
      <w:pPr>
        <w:pStyle w:val="Lista2"/>
      </w:pPr>
      <w:r>
        <w:rPr>
          <w:rStyle w:val="Codevalue"/>
        </w:rPr>
        <w:t>"strikeout"</w:t>
      </w:r>
      <w:r>
        <w:t xml:space="preserve"> for text struck through or cross-hatched</w:t>
      </w:r>
    </w:p>
    <w:p w14:paraId="516F1269" w14:textId="77777777">
      <w:pPr>
        <w:pStyle w:val="Lista2"/>
      </w:pPr>
      <w:r>
        <w:rPr>
          <w:rStyle w:val="Codevalue"/>
        </w:rPr>
        <w:t>"ui"</w:t>
      </w:r>
      <w:r>
        <w:t xml:space="preserve"> for the combined application of vowel markers </w:t>
      </w:r>
      <w:r>
        <w:rPr>
          <w:rStyle w:val="Foreign"/>
        </w:rPr>
        <w:t>u</w:t>
      </w:r>
      <w:r>
        <w:t xml:space="preserve"> and </w:t>
      </w:r>
      <w:r>
        <w:rPr>
          <w:rStyle w:val="Foreign"/>
        </w:rPr>
        <w:t>i</w:t>
      </w:r>
      <w:r>
        <w:t xml:space="preserve"> to glyphs to be deleted</w:t>
      </w:r>
    </w:p>
    <w:p w14:paraId="2D22199E" w14:textId="77777777">
      <w:pPr>
        <w:pStyle w:val="Lista2"/>
      </w:pPr>
      <w:r>
        <w:rPr>
          <w:rStyle w:val="Codevalue"/>
        </w:rPr>
        <w:t>"other"</w:t>
      </w:r>
      <w:r>
        <w:t xml:space="preserve"> for any deletion marker other than those listed above </w:t>
      </w:r>
    </w:p>
    <w:p w14:paraId="103D8337" w14:textId="77777777">
      <w:pPr>
        <w:pStyle w:val="Lista2"/>
      </w:pPr>
      <w:r>
        <w:rPr>
          <w:rStyle w:val="Codevalue"/>
        </w:rPr>
        <w:t>"corrected"</w:t>
      </w:r>
      <w:r>
        <w:t xml:space="preserve"> when neither erasure nor a cancellation mark is present, and deletion is implied by the presence of a correction written over the earlier text (to be encoded as per §</w:t>
      </w:r>
      <w:r>
        <w:fldChar w:fldCharType="begin"/>
      </w:r>
      <w:r>
        <w:instrText xml:space="preserve"> REF _Ref74727538 \r \h </w:instrText>
      </w:r>
      <w:r>
        <w:fldChar w:fldCharType="separate"/>
      </w:r>
      <w:r>
        <w:t>5.5.3</w:t>
      </w:r>
      <w:r>
        <w:fldChar w:fldCharType="end"/>
      </w:r>
      <w:r>
        <w:t>)</w:t>
      </w:r>
    </w:p>
    <w:p w14:paraId="22DF8D07" w14:textId="77777777">
      <w:pPr>
        <w:pStyle w:val="Lista"/>
      </w:pPr>
      <w:r>
        <w:t>further details about the form and placement of deletion marks used in your inscription may be annotated</w:t>
      </w:r>
    </w:p>
    <w:tbl>
      <w:tblPr>
        <w:tblStyle w:val="CodeSampleTable"/>
        <w:tblW w:w="5000" w:type="pct"/>
        <w:tblLook w:val="04A0" w:firstRow="1" w:lastRow="0" w:firstColumn="1" w:lastColumn="0" w:noHBand="0" w:noVBand="1"/>
      </w:tblPr>
      <w:tblGrid>
        <w:gridCol w:w="5665"/>
        <w:gridCol w:w="3963"/>
      </w:tblGrid>
      <w:tr w14:paraId="1E274D1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75321A49" w14:textId="77777777">
            <w:pPr>
              <w:pStyle w:val="Kpalrs"/>
            </w:pPr>
            <w:bookmarkStart w:id="499" w:name="_Ref183076770"/>
            <w:r>
              <w:t xml:space="preserve">Exhibit </w:t>
            </w:r>
            <w:fldSimple w:instr=" STYLEREF 2 \s ">
              <w:r>
                <w:rPr>
                  <w:noProof/>
                </w:rPr>
                <w:t>5.5</w:t>
              </w:r>
            </w:fldSimple>
            <w:r>
              <w:t>.</w:t>
            </w:r>
            <w:fldSimple w:instr=" SEQ Exhibit \* ALPHABETIC \s 2 ">
              <w:r>
                <w:rPr>
                  <w:noProof/>
                </w:rPr>
                <w:t>A</w:t>
              </w:r>
            </w:fldSimple>
            <w:bookmarkEnd w:id="499"/>
            <w:r>
              <w:t>: premodern deletion with editorial marks</w:t>
            </w:r>
          </w:p>
        </w:tc>
      </w:tr>
      <w:tr w14:paraId="5FF3FA65" w14:textId="77777777">
        <w:tc>
          <w:tcPr>
            <w:tcW w:w="2942" w:type="pct"/>
          </w:tcPr>
          <w:p w14:paraId="64C46A67" w14:textId="77777777">
            <w:pPr>
              <w:pStyle w:val="TableNote"/>
            </w:pPr>
            <w:r>
              <w:t xml:space="preserve">the inscribed text </w:t>
            </w:r>
            <w:r>
              <w:rPr>
                <w:rStyle w:val="Foreign"/>
              </w:rPr>
              <w:t>naiḥ mas· su</w:t>
            </w:r>
            <w:r>
              <w:t xml:space="preserve"> has been marked for cancellation</w:t>
            </w:r>
          </w:p>
        </w:tc>
        <w:tc>
          <w:tcPr>
            <w:tcW w:w="2058" w:type="pct"/>
          </w:tcPr>
          <w:p w14:paraId="5E32DA77" w14:textId="77777777">
            <w:pPr>
              <w:pStyle w:val="Image"/>
            </w:pPr>
            <w:r>
              <w:drawing>
                <wp:inline distT="0" distB="0" distL="0" distR="0" wp14:anchorId="6F803F34" wp14:editId="26058F60">
                  <wp:extent cx="2329200" cy="720000"/>
                  <wp:effectExtent l="0" t="0" r="0" b="4445"/>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329200" cy="720000"/>
                          </a:xfrm>
                          <a:prstGeom prst="rect">
                            <a:avLst/>
                          </a:prstGeom>
                          <a:noFill/>
                          <a:ln>
                            <a:noFill/>
                          </a:ln>
                        </pic:spPr>
                      </pic:pic>
                    </a:graphicData>
                  </a:graphic>
                </wp:inline>
              </w:drawing>
            </w:r>
          </w:p>
        </w:tc>
      </w:tr>
      <w:tr w14:paraId="18E05D0E" w14:textId="77777777">
        <w:tc>
          <w:tcPr>
            <w:tcW w:w="5000" w:type="pct"/>
            <w:gridSpan w:val="2"/>
          </w:tcPr>
          <w:p w14:paraId="2DD9D580" w14:textId="77777777">
            <w:pPr>
              <w:pStyle w:val="CodeParagraph"/>
              <w:rPr>
                <w:rStyle w:val="Code"/>
              </w:rPr>
            </w:pPr>
            <w:r>
              <w:rPr>
                <w:rStyle w:val="Code"/>
              </w:rPr>
              <w:t xml:space="preserve">&lt;del </w:t>
            </w:r>
            <w:r>
              <w:rPr>
                <w:rStyle w:val="Codeattribute"/>
              </w:rPr>
              <w:t>rend</w:t>
            </w:r>
            <w:r>
              <w:rPr>
                <w:rStyle w:val="Codetext"/>
              </w:rPr>
              <w:t>=</w:t>
            </w:r>
            <w:r>
              <w:rPr>
                <w:rStyle w:val="Codevalue"/>
              </w:rPr>
              <w:t>"other"</w:t>
            </w:r>
            <w:r>
              <w:rPr>
                <w:rStyle w:val="Code"/>
              </w:rPr>
              <w:t>&gt;</w:t>
            </w:r>
            <w:r>
              <w:rPr>
                <w:rStyle w:val="Codetext"/>
              </w:rPr>
              <w:t>naiḥ mas· su</w:t>
            </w:r>
            <w:r>
              <w:rPr>
                <w:rStyle w:val="Code"/>
              </w:rPr>
              <w:t>&lt;/del&gt;</w:t>
            </w:r>
            <w:r>
              <w:rPr>
                <w:rStyle w:val="Codetext"/>
              </w:rPr>
              <w:t xml:space="preserve"> vḍihan·</w:t>
            </w:r>
          </w:p>
        </w:tc>
      </w:tr>
    </w:tbl>
    <w:p w14:paraId="725E957C" w14:textId="77777777">
      <w:pPr>
        <w:pStyle w:val="Cmsor3"/>
      </w:pPr>
      <w:bookmarkStart w:id="500" w:name="_dvngk7b8udu7" w:colFirst="0" w:colLast="0"/>
      <w:bookmarkStart w:id="501" w:name="_Ref43978471"/>
      <w:bookmarkStart w:id="502" w:name="_Ref227850832"/>
      <w:bookmarkStart w:id="503" w:name="_Toc243900309"/>
      <w:bookmarkEnd w:id="500"/>
      <w:r>
        <w:t xml:space="preserve">Scribal </w:t>
      </w:r>
      <w:bookmarkEnd w:id="501"/>
      <w:r>
        <w:t>addition</w:t>
      </w:r>
      <w:bookmarkEnd w:id="502"/>
      <w:bookmarkEnd w:id="503"/>
    </w:p>
    <w:p w14:paraId="3199A71D" w14:textId="77777777">
      <w:r>
        <w:t>Scribal addition is the insertion of one or more graphemes into a pre-written text by a scribe. Addition is usually of an editorial nature, restoring parts of the text that were erroneously omitted. Addition for the correction of deleted text is correction, treated in §</w:t>
      </w:r>
      <w:r>
        <w:fldChar w:fldCharType="begin"/>
      </w:r>
      <w:r>
        <w:instrText xml:space="preserve"> REF _Ref74727538 \r \h </w:instrText>
      </w:r>
      <w:r>
        <w:fldChar w:fldCharType="separate"/>
      </w:r>
      <w:r>
        <w:t>5.5.3</w:t>
      </w:r>
      <w:r>
        <w:fldChar w:fldCharType="end"/>
      </w:r>
      <w:r>
        <w:t>. Additions supplementing a previously written text with content that was presumably not originally intended at the time of its writing, such as an additional clause appended to an inscription, are generally to be treated as organic parts of the document and not as scribal additions. However, small supplementary items written in interlinear or marginal space may be treated as additions at your discretion. Additions written in space originally left blank with the purpose of filling later (§</w:t>
      </w:r>
      <w:r>
        <w:fldChar w:fldCharType="begin"/>
      </w:r>
      <w:r>
        <w:instrText xml:space="preserve"> REF _Ref227847574 \r \h </w:instrText>
      </w:r>
      <w:r>
        <w:fldChar w:fldCharType="separate"/>
      </w:r>
      <w:r>
        <w:t>5.4.2.1</w:t>
      </w:r>
      <w:r>
        <w:fldChar w:fldCharType="end"/>
      </w:r>
      <w:r>
        <w:t>) can and should be encoded as scribal addition if you are certain that this is what happened.</w:t>
      </w:r>
    </w:p>
    <w:p w14:paraId="6EACE11E" w14:textId="77777777">
      <w:pPr>
        <w:pStyle w:val="Lista"/>
      </w:pPr>
      <w:r>
        <w:t>in the digital edition, text added by the scribe must be placed at its logical location (where it was meant to be read), regardless of its physical location in the original</w:t>
      </w:r>
    </w:p>
    <w:p w14:paraId="79453714" w14:textId="77777777">
      <w:pPr>
        <w:pStyle w:val="Lista2"/>
      </w:pPr>
      <w:r>
        <w:t>in this subsection, we refer to an addition’s logical location as its locus, and its physical location as its place</w:t>
      </w:r>
    </w:p>
    <w:p w14:paraId="6F5EEBC8" w14:textId="77777777">
      <w:pPr>
        <w:pStyle w:val="Lista2"/>
      </w:pPr>
      <w:r>
        <w:t>if you cannot confidently determine the intended locus of a piece of interpolated or marginal text, choose one of the following options at your discretion:</w:t>
      </w:r>
    </w:p>
    <w:p w14:paraId="278838B1" w14:textId="77777777">
      <w:pPr>
        <w:pStyle w:val="Lista3"/>
      </w:pPr>
      <w:r>
        <w:t>put the added text at its most likely locus and describe the situation in your annotation</w:t>
      </w:r>
    </w:p>
    <w:p w14:paraId="2FF39A78" w14:textId="77777777">
      <w:pPr>
        <w:pStyle w:val="Lista3"/>
      </w:pPr>
      <w:r>
        <w:t>put the added text at a plausible structural point near to its place, such as the beginning or end of a line, page, semantic unit or the entire inscription and describe the situation in your annotation</w:t>
      </w:r>
    </w:p>
    <w:p w14:paraId="2F79C1F7" w14:textId="77777777">
      <w:pPr>
        <w:pStyle w:val="Lista3"/>
      </w:pPr>
      <w:r>
        <w:t xml:space="preserve">encode the added text at or near its place as an additional line of the principal text </w:t>
      </w:r>
      <w:r>
        <w:rPr>
          <w:noProof/>
        </w:rPr>
        <w:t>(</w:t>
      </w:r>
      <w:r>
        <w:t>§</w:t>
      </w:r>
      <w:r>
        <w:fldChar w:fldCharType="begin"/>
      </w:r>
      <w:r>
        <w:instrText xml:space="preserve"> REF _Ref182233273 \r \h </w:instrText>
      </w:r>
      <w:r>
        <w:fldChar w:fldCharType="separate"/>
      </w:r>
      <w:r>
        <w:t>4.7.1.2</w:t>
      </w:r>
      <w:r>
        <w:fldChar w:fldCharType="end"/>
      </w:r>
      <w:r>
        <w:t>)</w:t>
      </w:r>
    </w:p>
    <w:p w14:paraId="6D12E86F" w14:textId="77777777">
      <w:pPr>
        <w:pStyle w:val="Lista3"/>
      </w:pPr>
      <w:r>
        <w:t>for longer additions that do not obviously integrate into the semantic structure of the principal text, especially when consisting of multiple lines, you may opt to create a separate textpart division (§</w:t>
      </w:r>
      <w:r>
        <w:fldChar w:fldCharType="begin"/>
      </w:r>
      <w:r>
        <w:instrText xml:space="preserve"> REF _Ref225778181 \r \h </w:instrText>
      </w:r>
      <w:r>
        <w:fldChar w:fldCharType="separate"/>
      </w:r>
      <w:r>
        <w:t>4.2</w:t>
      </w:r>
      <w:r>
        <w:fldChar w:fldCharType="end"/>
      </w:r>
      <w:r>
        <w:t>)</w:t>
      </w:r>
    </w:p>
    <w:p w14:paraId="096BE403" w14:textId="77777777">
      <w:pPr>
        <w:pStyle w:val="Lista"/>
      </w:pPr>
      <w:r>
        <w:lastRenderedPageBreak/>
        <w:t xml:space="preserve">graphemes that were added in premodern time are to be wrapped in the element </w:t>
      </w:r>
      <w:r>
        <w:rPr>
          <w:rStyle w:val="Code"/>
        </w:rPr>
        <w:t>&lt;add&gt;</w:t>
      </w:r>
      <w:r>
        <w:t>, with the following attributes</w:t>
      </w:r>
    </w:p>
    <w:p w14:paraId="0B16F9F8" w14:textId="77777777">
      <w:pPr>
        <w:pStyle w:val="Lista2"/>
      </w:pPr>
      <w:r>
        <w:t xml:space="preserve">mandatorily, </w:t>
      </w:r>
      <w:r>
        <w:rPr>
          <w:rStyle w:val="Codeattribute"/>
        </w:rPr>
        <w:t>@place</w:t>
      </w:r>
      <w:r>
        <w:t xml:space="preserve"> for the physical location of the added text as per §</w:t>
      </w:r>
      <w:r>
        <w:fldChar w:fldCharType="begin"/>
      </w:r>
      <w:r>
        <w:instrText xml:space="preserve"> REF _Ref227848664 \r \h </w:instrText>
      </w:r>
      <w:r>
        <w:fldChar w:fldCharType="separate"/>
      </w:r>
      <w:r>
        <w:t>5.5.2.1</w:t>
      </w:r>
      <w:r>
        <w:fldChar w:fldCharType="end"/>
      </w:r>
    </w:p>
    <w:p w14:paraId="0B805F63" w14:textId="77777777">
      <w:pPr>
        <w:pStyle w:val="Lista2"/>
      </w:pPr>
      <w:r>
        <w:t xml:space="preserve">as applicable, </w:t>
      </w:r>
      <w:r>
        <w:rPr>
          <w:rStyle w:val="Codeattribute"/>
        </w:rPr>
        <w:t>@rend</w:t>
      </w:r>
      <w:r>
        <w:t xml:space="preserve"> with the value </w:t>
      </w:r>
      <w:r>
        <w:rPr>
          <w:rStyle w:val="Codevalue"/>
        </w:rPr>
        <w:t>"mark"</w:t>
      </w:r>
      <w:r>
        <w:t xml:space="preserve"> to encode the involvement of a premodern scribal mark </w:t>
      </w:r>
      <w:r>
        <w:rPr>
          <w:noProof/>
        </w:rPr>
        <w:t>(</w:t>
      </w:r>
      <w:r>
        <w:t xml:space="preserve">Sanskrit </w:t>
      </w:r>
      <w:r>
        <w:rPr>
          <w:rStyle w:val="Foreign"/>
        </w:rPr>
        <w:t>kākapada</w:t>
      </w:r>
      <w:r>
        <w:t xml:space="preserve">), as illustrated in </w:t>
      </w:r>
      <w:r>
        <w:fldChar w:fldCharType="begin"/>
      </w:r>
      <w:r>
        <w:instrText xml:space="preserve"> REF _Ref44078703 \h  \* MERGEFORMAT </w:instrText>
      </w:r>
      <w:r>
        <w:fldChar w:fldCharType="separate"/>
      </w:r>
      <w:r>
        <w:t xml:space="preserve">Exhibit </w:t>
      </w:r>
      <w:r>
        <w:rPr>
          <w:noProof/>
        </w:rPr>
        <w:t>5.5.C</w:t>
      </w:r>
      <w:r>
        <w:fldChar w:fldCharType="end"/>
      </w:r>
      <w:r>
        <w:t xml:space="preserve"> and </w:t>
      </w:r>
      <w:r>
        <w:fldChar w:fldCharType="begin"/>
      </w:r>
      <w:r>
        <w:instrText xml:space="preserve"> REF _Ref227849782 \h </w:instrText>
      </w:r>
      <w:r>
        <w:fldChar w:fldCharType="separate"/>
      </w:r>
      <w:r>
        <w:t xml:space="preserve">Exhibit </w:t>
      </w:r>
      <w:r>
        <w:rPr>
          <w:noProof/>
        </w:rPr>
        <w:t>5.5</w:t>
      </w:r>
      <w:r>
        <w:t>.</w:t>
      </w:r>
      <w:r>
        <w:rPr>
          <w:noProof/>
        </w:rPr>
        <w:t>D</w:t>
      </w:r>
      <w:r>
        <w:fldChar w:fldCharType="end"/>
      </w:r>
    </w:p>
    <w:p w14:paraId="56D80698" w14:textId="77777777">
      <w:pPr>
        <w:pStyle w:val="Lista3"/>
      </w:pPr>
      <w:r>
        <w:t xml:space="preserve">this encoding distinguishes neither the shape of such a mark, nor its location (e.g. at the locus of insertion, next to the inserted text, or at both places) </w:t>
      </w:r>
    </w:p>
    <w:p w14:paraId="3881E6D0" w14:textId="77777777">
      <w:pPr>
        <w:pStyle w:val="Lista3"/>
      </w:pPr>
      <w:r>
        <w:t>the shape and location of the marks shall be described in an apparatus note (§</w:t>
      </w:r>
      <w:r>
        <w:fldChar w:fldCharType="begin"/>
      </w:r>
      <w:r>
        <w:instrText xml:space="preserve"> REF _Ref43988104 \w \h  \* MERGEFORMAT </w:instrText>
      </w:r>
      <w:r>
        <w:fldChar w:fldCharType="separate"/>
      </w:r>
      <w:r>
        <w:t>10.7</w:t>
      </w:r>
      <w:r>
        <w:fldChar w:fldCharType="end"/>
      </w:r>
      <w:r>
        <w:t>)</w:t>
      </w:r>
    </w:p>
    <w:p w14:paraId="6A807B1F" w14:textId="77777777">
      <w:pPr>
        <w:pStyle w:val="Lista"/>
      </w:pPr>
      <w:r>
        <w:t>the inserted text may include additional markup when necessary</w:t>
      </w:r>
    </w:p>
    <w:p w14:paraId="5E0051FD" w14:textId="77777777">
      <w:pPr>
        <w:pStyle w:val="Lista2"/>
      </w:pPr>
      <w:r>
        <w:t>for any text-containing elements whose scope begins or ends outside the addition, take care to avoid overlap and split elements according to their hierarchy (§</w:t>
      </w:r>
      <w:r>
        <w:fldChar w:fldCharType="begin"/>
      </w:r>
      <w:r>
        <w:instrText xml:space="preserve"> REF _Ref43978660 \r \h </w:instrText>
      </w:r>
      <w:r>
        <w:fldChar w:fldCharType="separate"/>
      </w:r>
      <w:r>
        <w:t>16.2</w:t>
      </w:r>
      <w:r>
        <w:fldChar w:fldCharType="end"/>
      </w:r>
      <w:r>
        <w:t xml:space="preserve">) </w:t>
      </w:r>
    </w:p>
    <w:p w14:paraId="4D564F2B" w14:textId="77777777">
      <w:pPr>
        <w:pStyle w:val="Lista2"/>
      </w:pPr>
      <w:r>
        <w:t>empty structural elements (line beginnings, §</w:t>
      </w:r>
      <w:r>
        <w:fldChar w:fldCharType="begin"/>
      </w:r>
      <w:r>
        <w:instrText xml:space="preserve"> REF _Ref224720155 \r \h </w:instrText>
      </w:r>
      <w:r>
        <w:fldChar w:fldCharType="separate"/>
      </w:r>
      <w:r>
        <w:t>4.5</w:t>
      </w:r>
      <w:r>
        <w:fldChar w:fldCharType="end"/>
      </w:r>
      <w:r>
        <w:t>; and gridlike milestones, §</w:t>
      </w:r>
      <w:r>
        <w:fldChar w:fldCharType="begin"/>
      </w:r>
      <w:r>
        <w:instrText xml:space="preserve"> REF _Ref43984651 \r \h </w:instrText>
      </w:r>
      <w:r>
        <w:fldChar w:fldCharType="separate"/>
      </w:r>
      <w:r>
        <w:t>4.6</w:t>
      </w:r>
      <w:r>
        <w:fldChar w:fldCharType="end"/>
      </w:r>
      <w:r>
        <w:t xml:space="preserve">) should normally be placed outside the </w:t>
      </w:r>
      <w:r>
        <w:rPr>
          <w:rStyle w:val="Code"/>
        </w:rPr>
        <w:t>&lt;add&gt;</w:t>
      </w:r>
      <w:r>
        <w:t xml:space="preserve"> tags, but if an addition takes up the entirety of one or more physical lines (or stretches of text indicated by a gridlike milestone), then you may encode line beginnings and milestones within an addition at your discretion and number them as you deem appropriate; see </w:t>
      </w:r>
      <w:r>
        <w:fldChar w:fldCharType="begin"/>
      </w:r>
      <w:r>
        <w:instrText xml:space="preserve"> REF _Ref54603376 \h  \* MERGEFORMAT </w:instrText>
      </w:r>
      <w:r>
        <w:fldChar w:fldCharType="separate"/>
      </w:r>
      <w:r>
        <w:t xml:space="preserve">Exhibit </w:t>
      </w:r>
      <w:r>
        <w:rPr>
          <w:noProof/>
        </w:rPr>
        <w:t>3.2.D</w:t>
      </w:r>
      <w:r>
        <w:fldChar w:fldCharType="end"/>
      </w:r>
      <w:r>
        <w:t xml:space="preserve"> for an illustration</w:t>
      </w:r>
    </w:p>
    <w:p w14:paraId="032812EB" w14:textId="77777777">
      <w:pPr>
        <w:pStyle w:val="Cmsor4"/>
      </w:pPr>
      <w:bookmarkStart w:id="504" w:name="_Ref227848664"/>
      <w:r>
        <w:t>Encoding the place of the addition</w:t>
      </w:r>
      <w:bookmarkEnd w:id="504"/>
    </w:p>
    <w:p w14:paraId="336A833C" w14:textId="77777777">
      <w:pPr>
        <w:pStyle w:val="Lista"/>
      </w:pPr>
      <w:r>
        <w:t xml:space="preserve">the physical location of text added by the scribe is to be encoded with the attribute </w:t>
      </w:r>
      <w:r>
        <w:rPr>
          <w:rStyle w:val="Codeattribute"/>
        </w:rPr>
        <w:t>@place</w:t>
      </w:r>
      <w:r>
        <w:t xml:space="preserve"> on the </w:t>
      </w:r>
      <w:r>
        <w:rPr>
          <w:rStyle w:val="Code"/>
        </w:rPr>
        <w:t>&lt;add&gt;</w:t>
      </w:r>
      <w:r>
        <w:t xml:space="preserve"> element</w:t>
      </w:r>
    </w:p>
    <w:p w14:paraId="183961AE" w14:textId="77777777">
      <w:pPr>
        <w:pStyle w:val="Lista2"/>
      </w:pPr>
      <w:r>
        <w:t xml:space="preserve">in DHARMA encoding practice, this attribute must always be explicitly present on </w:t>
      </w:r>
      <w:r>
        <w:rPr>
          <w:rStyle w:val="Code"/>
        </w:rPr>
        <w:t>&lt;add&gt;</w:t>
      </w:r>
    </w:p>
    <w:p w14:paraId="6C650243" w14:textId="77777777">
      <w:pPr>
        <w:pStyle w:val="Lista"/>
      </w:pPr>
      <w:r>
        <w:t>the attribute may take the following values:</w:t>
      </w:r>
    </w:p>
    <w:p w14:paraId="7A14AB10" w14:textId="77777777">
      <w:pPr>
        <w:pStyle w:val="Lista2"/>
      </w:pPr>
      <w:r>
        <w:rPr>
          <w:rStyle w:val="Codevalue"/>
        </w:rPr>
        <w:t>"unspecified"</w:t>
      </w:r>
      <w:r>
        <w:t xml:space="preserve"> for cases where your only source is a previous edition that does not specify the place of the inserted text</w:t>
      </w:r>
    </w:p>
    <w:p w14:paraId="05F38638" w14:textId="77777777">
      <w:pPr>
        <w:pStyle w:val="Lista2"/>
      </w:pPr>
      <w:r>
        <w:rPr>
          <w:rStyle w:val="Codevalue"/>
        </w:rPr>
        <w:t>"inline"</w:t>
      </w:r>
      <w:r>
        <w:t xml:space="preserve"> for an addition inscribed within the same line in the immediate vicinity of the locus, including</w:t>
      </w:r>
    </w:p>
    <w:p w14:paraId="6A70BA21" w14:textId="77777777">
      <w:pPr>
        <w:pStyle w:val="Lista3"/>
      </w:pPr>
      <w:r>
        <w:t>one or more glyphs inserted between two pre-engraved glyphs</w:t>
      </w:r>
    </w:p>
    <w:p w14:paraId="01A16F24" w14:textId="77777777">
      <w:pPr>
        <w:pStyle w:val="Lista3"/>
      </w:pPr>
      <w:r>
        <w:t xml:space="preserve">one or more glyphs inserted into a space previously left blank </w:t>
      </w:r>
      <w:r>
        <w:rPr>
          <w:noProof/>
        </w:rPr>
        <w:t>(</w:t>
      </w:r>
      <w:r>
        <w:t>§</w:t>
      </w:r>
      <w:r>
        <w:fldChar w:fldCharType="begin"/>
      </w:r>
      <w:r>
        <w:instrText xml:space="preserve"> REF _Ref43987728 \w \h  \* MERGEFORMAT </w:instrText>
      </w:r>
      <w:r>
        <w:fldChar w:fldCharType="separate"/>
      </w:r>
      <w:r>
        <w:t>5.4.2.1</w:t>
      </w:r>
      <w:r>
        <w:fldChar w:fldCharType="end"/>
      </w:r>
      <w:r>
        <w:t>)</w:t>
      </w:r>
    </w:p>
    <w:p w14:paraId="293161D1" w14:textId="77777777">
      <w:pPr>
        <w:pStyle w:val="Lista3"/>
      </w:pPr>
      <w:r>
        <w:t>one or more graphs (e.g. a vowel marker or a subscript consonant) inserted into a pre-engraved glyph</w:t>
      </w:r>
    </w:p>
    <w:p w14:paraId="66824912" w14:textId="77777777">
      <w:pPr>
        <w:pStyle w:val="Lista2"/>
      </w:pPr>
      <w:r>
        <w:rPr>
          <w:rStyle w:val="Codevalue"/>
        </w:rPr>
        <w:t>"above"</w:t>
      </w:r>
      <w:r>
        <w:t xml:space="preserve"> for an interlinear addition above the locus (in any horizontal position)</w:t>
      </w:r>
    </w:p>
    <w:p w14:paraId="2F3A1B15" w14:textId="77777777">
      <w:pPr>
        <w:pStyle w:val="Lista2"/>
      </w:pPr>
      <w:r>
        <w:rPr>
          <w:rStyle w:val="Codevalue"/>
        </w:rPr>
        <w:t>"below"</w:t>
      </w:r>
      <w:r>
        <w:t xml:space="preserve"> for an interlinear addition below the locus (in any horizontal position), as in </w:t>
      </w:r>
      <w:r>
        <w:fldChar w:fldCharType="begin"/>
      </w:r>
      <w:r>
        <w:instrText xml:space="preserve"> REF _Ref227849711 \h </w:instrText>
      </w:r>
      <w:r>
        <w:fldChar w:fldCharType="separate"/>
      </w:r>
      <w:r>
        <w:t xml:space="preserve">Exhibit </w:t>
      </w:r>
      <w:r>
        <w:rPr>
          <w:noProof/>
        </w:rPr>
        <w:t>5.5</w:t>
      </w:r>
      <w:r>
        <w:t>.</w:t>
      </w:r>
      <w:r>
        <w:rPr>
          <w:noProof/>
        </w:rPr>
        <w:t>B</w:t>
      </w:r>
      <w:r>
        <w:fldChar w:fldCharType="end"/>
      </w:r>
    </w:p>
    <w:p w14:paraId="632DC733" w14:textId="77777777">
      <w:pPr>
        <w:pStyle w:val="Lista2"/>
      </w:pPr>
      <w:r>
        <w:rPr>
          <w:rStyle w:val="Codevalue"/>
        </w:rPr>
        <w:t>"top"</w:t>
      </w:r>
      <w:r>
        <w:t xml:space="preserve"> for an addition in the top margin (in any horizontal position)</w:t>
      </w:r>
    </w:p>
    <w:p w14:paraId="6E3FCFCF" w14:textId="77777777">
      <w:pPr>
        <w:pStyle w:val="Lista2"/>
      </w:pPr>
      <w:r>
        <w:rPr>
          <w:rStyle w:val="Codevalue"/>
        </w:rPr>
        <w:t>"bottom"</w:t>
      </w:r>
      <w:r>
        <w:t xml:space="preserve"> for an addition in the bottom margin (in any horizontal position)</w:t>
      </w:r>
    </w:p>
    <w:p w14:paraId="211421B3" w14:textId="77777777">
      <w:pPr>
        <w:pStyle w:val="Lista2"/>
      </w:pPr>
      <w:r>
        <w:rPr>
          <w:rStyle w:val="Codevalue"/>
        </w:rPr>
        <w:t>"left"</w:t>
      </w:r>
      <w:r>
        <w:t xml:space="preserve"> for an addition in the left margin (in any vertical position)</w:t>
      </w:r>
    </w:p>
    <w:p w14:paraId="1C5DA047" w14:textId="77777777">
      <w:pPr>
        <w:pStyle w:val="Lista2"/>
      </w:pPr>
      <w:r>
        <w:rPr>
          <w:rStyle w:val="Codevalue"/>
        </w:rPr>
        <w:t>"right"</w:t>
      </w:r>
      <w:r>
        <w:t xml:space="preserve"> for an addition in the right margin (in any vertical position)</w:t>
      </w:r>
    </w:p>
    <w:p w14:paraId="3134E02D" w14:textId="66EEC3F3">
      <w:pPr>
        <w:pStyle w:val="Lista2"/>
        <w:rPr>
          <w:lang w:eastAsia="en-US" w:bidi="ar-SA"/>
        </w:rPr>
      </w:pPr>
      <w:r>
        <w:rPr>
          <w:rStyle w:val="Codevalue"/>
        </w:rPr>
        <w:t>"overstrike"</w:t>
      </w:r>
      <w:r>
        <w:t xml:space="preserve"> for an addition written over pre-existing text with the intent to replace (correct) it, discussed further in §</w:t>
      </w:r>
      <w:r>
        <w:fldChar w:fldCharType="begin"/>
      </w:r>
      <w:r>
        <w:instrText xml:space="preserve"> REF _Ref74727538 \r \h </w:instrText>
      </w:r>
      <w:r>
        <w:fldChar w:fldCharType="separate"/>
      </w:r>
      <w:r>
        <w:t>5.5.3</w:t>
      </w:r>
      <w:r>
        <w:fldChar w:fldCharType="end"/>
      </w:r>
    </w:p>
    <w:tbl>
      <w:tblPr>
        <w:tblStyle w:val="CodeSampleTable"/>
        <w:tblW w:w="5000" w:type="pct"/>
        <w:tblLook w:val="04A0" w:firstRow="1" w:lastRow="0" w:firstColumn="1" w:lastColumn="0" w:noHBand="0" w:noVBand="1"/>
      </w:tblPr>
      <w:tblGrid>
        <w:gridCol w:w="9628"/>
      </w:tblGrid>
      <w:tr w14:paraId="22789FB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488E2FB" w14:textId="77777777">
            <w:pPr>
              <w:pStyle w:val="Kpalrs"/>
              <w:keepLines/>
            </w:pPr>
            <w:bookmarkStart w:id="505" w:name="_Ref227849711"/>
            <w:r>
              <w:t xml:space="preserve">Exhibit </w:t>
            </w:r>
            <w:fldSimple w:instr=" STYLEREF 2 \s ">
              <w:r>
                <w:rPr>
                  <w:noProof/>
                </w:rPr>
                <w:t>5.5</w:t>
              </w:r>
            </w:fldSimple>
            <w:r>
              <w:t>.</w:t>
            </w:r>
            <w:fldSimple w:instr=" SEQ Exhibit \* ALPHABETIC \s 2 ">
              <w:r>
                <w:rPr>
                  <w:noProof/>
                </w:rPr>
                <w:t>B</w:t>
              </w:r>
            </w:fldSimple>
            <w:bookmarkEnd w:id="505"/>
            <w:r>
              <w:t>: premodern interlinear addition</w:t>
            </w:r>
          </w:p>
        </w:tc>
      </w:tr>
      <w:tr w14:paraId="28F2EB28" w14:textId="77777777">
        <w:tc>
          <w:tcPr>
            <w:tcW w:w="5000" w:type="pct"/>
          </w:tcPr>
          <w:p w14:paraId="0893CB82" w14:textId="77777777">
            <w:pPr>
              <w:pStyle w:val="TableNote"/>
              <w:keepNext/>
              <w:keepLines/>
            </w:pPr>
            <w:r>
              <w:t xml:space="preserve">an originally inscribed </w:t>
            </w:r>
            <w:r>
              <w:rPr>
                <w:rStyle w:val="Foreign"/>
              </w:rPr>
              <w:t>dīnāram</w:t>
            </w:r>
            <w:r>
              <w:t xml:space="preserve"> was corrected to </w:t>
            </w:r>
            <w:r>
              <w:rPr>
                <w:rStyle w:val="Foreign"/>
              </w:rPr>
              <w:t>dīnāra-dvayam</w:t>
            </w:r>
            <w:r>
              <w:t xml:space="preserve"> by adding </w:t>
            </w:r>
            <w:r>
              <w:rPr>
                <w:rStyle w:val="Foreign"/>
              </w:rPr>
              <w:t>dvaya</w:t>
            </w:r>
            <w:r>
              <w:t xml:space="preserve"> between lines below this word</w:t>
            </w:r>
          </w:p>
        </w:tc>
      </w:tr>
      <w:tr w14:paraId="0E0102EC" w14:textId="77777777">
        <w:tc>
          <w:tcPr>
            <w:tcW w:w="5000" w:type="pct"/>
          </w:tcPr>
          <w:p w14:paraId="0A342877" w14:textId="77777777">
            <w:pPr>
              <w:pStyle w:val="CodeParagraph"/>
              <w:rPr>
                <w:rStyle w:val="Code"/>
              </w:rPr>
            </w:pPr>
            <w:r>
              <w:rPr>
                <w:rStyle w:val="Codetext"/>
              </w:rPr>
              <w:t>dīnāra</w:t>
            </w:r>
            <w:r>
              <w:rPr>
                <w:rStyle w:val="Code"/>
              </w:rPr>
              <w:t xml:space="preserve">&lt;add </w:t>
            </w:r>
            <w:r>
              <w:rPr>
                <w:rStyle w:val="Codeattribute"/>
              </w:rPr>
              <w:t>place</w:t>
            </w:r>
            <w:r>
              <w:rPr>
                <w:rStyle w:val="Code"/>
              </w:rPr>
              <w:t>=</w:t>
            </w:r>
            <w:r>
              <w:rPr>
                <w:rStyle w:val="Codevalue"/>
              </w:rPr>
              <w:t>"below"</w:t>
            </w:r>
            <w:r>
              <w:rPr>
                <w:rStyle w:val="Code"/>
              </w:rPr>
              <w:t>&gt;</w:t>
            </w:r>
            <w:r>
              <w:rPr>
                <w:rStyle w:val="Codetext"/>
              </w:rPr>
              <w:t>-dvaya</w:t>
            </w:r>
            <w:r>
              <w:rPr>
                <w:rStyle w:val="Code"/>
              </w:rPr>
              <w:t>&lt;/add&gt;</w:t>
            </w:r>
            <w:r>
              <w:rPr>
                <w:rStyle w:val="Codetext"/>
              </w:rPr>
              <w:t>m</w:t>
            </w:r>
          </w:p>
        </w:tc>
      </w:tr>
    </w:tbl>
    <w:p w14:paraId="57D9D938" w14:textId="77777777"/>
    <w:tbl>
      <w:tblPr>
        <w:tblStyle w:val="CodeSampleTable"/>
        <w:tblW w:w="5000" w:type="pct"/>
        <w:tblLook w:val="04A0" w:firstRow="1" w:lastRow="0" w:firstColumn="1" w:lastColumn="0" w:noHBand="0" w:noVBand="1"/>
      </w:tblPr>
      <w:tblGrid>
        <w:gridCol w:w="6833"/>
        <w:gridCol w:w="2795"/>
      </w:tblGrid>
      <w:tr w14:paraId="539551D3" w14:textId="77777777">
        <w:trPr>
          <w:cnfStyle w:val="100000000000" w:firstRow="1" w:lastRow="0" w:firstColumn="0" w:lastColumn="0" w:oddVBand="0" w:evenVBand="0" w:oddHBand="0" w:evenHBand="0" w:firstRowFirstColumn="0" w:firstRowLastColumn="0" w:lastRowFirstColumn="0" w:lastRowLastColumn="0"/>
        </w:trPr>
        <w:tc>
          <w:tcPr>
            <w:tcW w:w="0" w:type="auto"/>
            <w:gridSpan w:val="2"/>
          </w:tcPr>
          <w:p w14:paraId="5B6F301B" w14:textId="77777777">
            <w:pPr>
              <w:pStyle w:val="Kpalrs"/>
              <w:keepLines/>
            </w:pPr>
            <w:bookmarkStart w:id="506" w:name="_Ref44078703"/>
            <w:r>
              <w:t xml:space="preserve">Exhibit </w:t>
            </w:r>
            <w:fldSimple w:instr=" STYLEREF 2 \s ">
              <w:r>
                <w:rPr>
                  <w:noProof/>
                </w:rPr>
                <w:t>5.5</w:t>
              </w:r>
            </w:fldSimple>
            <w:r>
              <w:t>.</w:t>
            </w:r>
            <w:fldSimple w:instr=" SEQ Exhibit \* ALPHABETIC \s 2 ">
              <w:r>
                <w:rPr>
                  <w:noProof/>
                </w:rPr>
                <w:t>C</w:t>
              </w:r>
            </w:fldSimple>
            <w:bookmarkEnd w:id="506"/>
            <w:r>
              <w:t>: premodern addition with a scribal mark next to the added text</w:t>
            </w:r>
          </w:p>
        </w:tc>
      </w:tr>
      <w:tr w14:paraId="386A1D67" w14:textId="77777777">
        <w:tc>
          <w:tcPr>
            <w:tcW w:w="0" w:type="auto"/>
          </w:tcPr>
          <w:p w14:paraId="2270F993" w14:textId="77777777">
            <w:pPr>
              <w:pStyle w:val="TableNote"/>
              <w:keepNext/>
              <w:keepLines/>
            </w:pPr>
            <w:r>
              <w:t xml:space="preserve">an originally inscribed </w:t>
            </w:r>
            <w:r>
              <w:rPr>
                <w:rStyle w:val="Foreign"/>
              </w:rPr>
              <w:t>maphalā</w:t>
            </w:r>
            <w:r>
              <w:t xml:space="preserve"> was corrected into </w:t>
            </w:r>
            <w:r>
              <w:rPr>
                <w:rStyle w:val="Foreign"/>
              </w:rPr>
              <w:t>makaphalā</w:t>
            </w:r>
            <w:r>
              <w:t xml:space="preserve"> by adding </w:t>
            </w:r>
            <w:r>
              <w:rPr>
                <w:rStyle w:val="Foreign"/>
              </w:rPr>
              <w:t>ka</w:t>
            </w:r>
            <w:r>
              <w:t xml:space="preserve"> between lines below this word </w:t>
            </w:r>
            <w:r>
              <w:rPr>
                <w:noProof/>
              </w:rPr>
              <w:t>(</w:t>
            </w:r>
            <w:r>
              <w:t>see the illustration)</w:t>
            </w:r>
          </w:p>
          <w:p w14:paraId="632341C9" w14:textId="77777777">
            <w:pPr>
              <w:pStyle w:val="TableNote"/>
              <w:keepNext/>
              <w:keepLines/>
            </w:pPr>
            <w:r>
              <w:t xml:space="preserve">the scribal marks on the left and right of the added </w:t>
            </w:r>
            <w:r>
              <w:rPr>
                <w:rStyle w:val="Foreign"/>
              </w:rPr>
              <w:t>ka</w:t>
            </w:r>
            <w:r>
              <w:t xml:space="preserve"> look like punctuation marks, but the scribe’s intention was </w:t>
            </w:r>
            <w:r>
              <w:rPr>
                <w:b/>
                <w:bCs/>
              </w:rPr>
              <w:t>not</w:t>
            </w:r>
            <w:r>
              <w:t xml:space="preserve"> to write </w:t>
            </w:r>
            <w:r>
              <w:rPr>
                <w:rStyle w:val="Foreign"/>
              </w:rPr>
              <w:t>ma,ka,phalā</w:t>
            </w:r>
            <w:r>
              <w:t xml:space="preserve"> so we should not interpret these marks as punctuation marks</w:t>
            </w:r>
          </w:p>
        </w:tc>
        <w:tc>
          <w:tcPr>
            <w:tcW w:w="0" w:type="auto"/>
          </w:tcPr>
          <w:p w14:paraId="5A9F9D80" w14:textId="77777777">
            <w:pPr>
              <w:pStyle w:val="Image"/>
              <w:keepLines/>
              <w:widowControl/>
              <w:spacing w:after="0"/>
            </w:pPr>
            <w:r>
              <w:drawing>
                <wp:inline distT="0" distB="0" distL="0" distR="0" wp14:anchorId="3E5A157D" wp14:editId="20F73E6B">
                  <wp:extent cx="1771200" cy="1080000"/>
                  <wp:effectExtent l="0" t="0" r="635" b="635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7">
                            <a:extLst>
                              <a:ext uri="{28A0092B-C50C-407E-A947-70E740481C1C}">
                                <a14:useLocalDpi xmlns:a14="http://schemas.microsoft.com/office/drawing/2010/main" val="0"/>
                              </a:ext>
                            </a:extLst>
                          </a:blip>
                          <a:srcRect/>
                          <a:stretch>
                            <a:fillRect/>
                          </a:stretch>
                        </pic:blipFill>
                        <pic:spPr>
                          <a:xfrm>
                            <a:off x="0" y="0"/>
                            <a:ext cx="1771200" cy="1080000"/>
                          </a:xfrm>
                          <a:prstGeom prst="rect">
                            <a:avLst/>
                          </a:prstGeom>
                          <a:ln/>
                        </pic:spPr>
                      </pic:pic>
                    </a:graphicData>
                  </a:graphic>
                </wp:inline>
              </w:drawing>
            </w:r>
          </w:p>
        </w:tc>
      </w:tr>
      <w:tr w14:paraId="6D1AFD94" w14:textId="77777777">
        <w:tc>
          <w:tcPr>
            <w:tcW w:w="0" w:type="auto"/>
            <w:gridSpan w:val="2"/>
          </w:tcPr>
          <w:p w14:paraId="59F6D374" w14:textId="77777777">
            <w:pPr>
              <w:pStyle w:val="CodeParagraph"/>
              <w:rPr>
                <w:rStyle w:val="Code"/>
              </w:rPr>
            </w:pPr>
            <w:r>
              <w:rPr>
                <w:rStyle w:val="Codetext"/>
              </w:rPr>
              <w:t>ma</w:t>
            </w:r>
            <w:r>
              <w:rPr>
                <w:rStyle w:val="Code"/>
              </w:rPr>
              <w:t xml:space="preserve">&lt;add </w:t>
            </w:r>
            <w:r>
              <w:rPr>
                <w:rStyle w:val="Codeattribute"/>
              </w:rPr>
              <w:t>place</w:t>
            </w:r>
            <w:r>
              <w:rPr>
                <w:rStyle w:val="Code"/>
              </w:rPr>
              <w:t>=</w:t>
            </w:r>
            <w:r>
              <w:rPr>
                <w:rStyle w:val="Codevalue"/>
              </w:rPr>
              <w:t>"below"</w:t>
            </w:r>
            <w:r>
              <w:rPr>
                <w:rStyle w:val="Code"/>
              </w:rPr>
              <w:t xml:space="preserve"> </w:t>
            </w:r>
            <w:r>
              <w:rPr>
                <w:rStyle w:val="Codeattribute"/>
              </w:rPr>
              <w:t>rend</w:t>
            </w:r>
            <w:r>
              <w:rPr>
                <w:rStyle w:val="Code"/>
              </w:rPr>
              <w:t>=</w:t>
            </w:r>
            <w:r>
              <w:rPr>
                <w:rStyle w:val="Codevalue"/>
              </w:rPr>
              <w:t>"mark"</w:t>
            </w:r>
            <w:r>
              <w:rPr>
                <w:rStyle w:val="Code"/>
              </w:rPr>
              <w:t>&gt;</w:t>
            </w:r>
            <w:r>
              <w:rPr>
                <w:rStyle w:val="Codetext"/>
              </w:rPr>
              <w:t>ka</w:t>
            </w:r>
            <w:r>
              <w:rPr>
                <w:rStyle w:val="Code"/>
              </w:rPr>
              <w:t>&lt;/add&gt;</w:t>
            </w:r>
            <w:r>
              <w:rPr>
                <w:rStyle w:val="Codetext"/>
              </w:rPr>
              <w:t>phalā</w:t>
            </w:r>
          </w:p>
        </w:tc>
      </w:tr>
    </w:tbl>
    <w:p w14:paraId="3F7EFAF2" w14:textId="77777777">
      <w:bookmarkStart w:id="507" w:name="_maecup4bnx3" w:colFirst="0" w:colLast="0"/>
      <w:bookmarkStart w:id="508" w:name="_Ref43987708"/>
      <w:bookmarkEnd w:id="507"/>
    </w:p>
    <w:tbl>
      <w:tblPr>
        <w:tblStyle w:val="CodeSampleTable"/>
        <w:tblW w:w="5000" w:type="pct"/>
        <w:tblLook w:val="04A0" w:firstRow="1" w:lastRow="0" w:firstColumn="1" w:lastColumn="0" w:noHBand="0" w:noVBand="1"/>
      </w:tblPr>
      <w:tblGrid>
        <w:gridCol w:w="6091"/>
        <w:gridCol w:w="3537"/>
      </w:tblGrid>
      <w:tr w14:paraId="64BEDA5A"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056DEA36" w14:textId="77777777">
            <w:pPr>
              <w:pStyle w:val="Kpalrs"/>
              <w:keepLines/>
            </w:pPr>
            <w:bookmarkStart w:id="509" w:name="_Ref227849782"/>
            <w:r>
              <w:t xml:space="preserve">Exhibit </w:t>
            </w:r>
            <w:fldSimple w:instr=" STYLEREF 2 \s ">
              <w:r>
                <w:rPr>
                  <w:noProof/>
                </w:rPr>
                <w:t>5.5</w:t>
              </w:r>
            </w:fldSimple>
            <w:r>
              <w:t>.</w:t>
            </w:r>
            <w:fldSimple w:instr=" SEQ Exhibit \* ALPHABETIC \s 2 ">
              <w:r>
                <w:rPr>
                  <w:noProof/>
                </w:rPr>
                <w:t>D</w:t>
              </w:r>
            </w:fldSimple>
            <w:bookmarkEnd w:id="509"/>
            <w:r>
              <w:t>: premodern addition with a scribal mark next to the place of addition</w:t>
            </w:r>
          </w:p>
        </w:tc>
      </w:tr>
      <w:tr w14:paraId="4DA1B6AA" w14:textId="77777777">
        <w:tc>
          <w:tcPr>
            <w:tcW w:w="3163" w:type="pct"/>
          </w:tcPr>
          <w:p w14:paraId="08CBAC81" w14:textId="77777777">
            <w:pPr>
              <w:pStyle w:val="TableNote"/>
              <w:keepNext/>
              <w:keepLines/>
            </w:pPr>
            <w:r>
              <w:t xml:space="preserve">the glyph </w:t>
            </w:r>
            <w:r>
              <w:rPr>
                <w:rStyle w:val="Foreign"/>
              </w:rPr>
              <w:t>va</w:t>
            </w:r>
            <w:r>
              <w:t xml:space="preserve"> was omitted from the text </w:t>
            </w:r>
            <w:r>
              <w:rPr>
                <w:rStyle w:val="Foreign"/>
              </w:rPr>
              <w:t>°r avadhāraṇayā</w:t>
            </w:r>
          </w:p>
          <w:p w14:paraId="08A5835E" w14:textId="77777777">
            <w:pPr>
              <w:pStyle w:val="TableNote"/>
              <w:keepNext/>
              <w:keepLines/>
            </w:pPr>
            <w:r>
              <w:t>subsequently inserted below the line</w:t>
            </w:r>
          </w:p>
          <w:p w14:paraId="50AD70F5" w14:textId="77777777">
            <w:pPr>
              <w:pStyle w:val="TableNote"/>
              <w:keepNext/>
              <w:keepLines/>
            </w:pPr>
            <w:r>
              <w:t xml:space="preserve">with </w:t>
            </w:r>
            <w:r>
              <w:rPr>
                <w:rStyle w:val="Foreign"/>
              </w:rPr>
              <w:t>kākapada</w:t>
            </w:r>
            <w:r>
              <w:t xml:space="preserve"> marking the spot of addition</w:t>
            </w:r>
          </w:p>
        </w:tc>
        <w:tc>
          <w:tcPr>
            <w:tcW w:w="1837" w:type="pct"/>
          </w:tcPr>
          <w:p w14:paraId="28D34F9B" w14:textId="77777777">
            <w:pPr>
              <w:pStyle w:val="Image"/>
              <w:keepLines/>
              <w:widowControl/>
              <w:spacing w:after="0"/>
            </w:pPr>
            <w:r>
              <w:rPr>
                <w:rStyle w:val="Codetext"/>
              </w:rPr>
              <w:drawing>
                <wp:inline distT="0" distB="0" distL="0" distR="0" wp14:anchorId="482258D3" wp14:editId="68B67B34">
                  <wp:extent cx="2001600" cy="1080000"/>
                  <wp:effectExtent l="0" t="0" r="0" b="6350"/>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001600" cy="1080000"/>
                          </a:xfrm>
                          <a:prstGeom prst="rect">
                            <a:avLst/>
                          </a:prstGeom>
                          <a:noFill/>
                          <a:ln>
                            <a:noFill/>
                          </a:ln>
                        </pic:spPr>
                      </pic:pic>
                    </a:graphicData>
                  </a:graphic>
                </wp:inline>
              </w:drawing>
            </w:r>
          </w:p>
        </w:tc>
      </w:tr>
      <w:tr w14:paraId="48B7F7C3" w14:textId="77777777">
        <w:tc>
          <w:tcPr>
            <w:tcW w:w="5000" w:type="pct"/>
            <w:gridSpan w:val="2"/>
          </w:tcPr>
          <w:p w14:paraId="4FE96AED" w14:textId="77777777">
            <w:pPr>
              <w:pStyle w:val="CodeParagraph"/>
              <w:rPr>
                <w:rStyle w:val="Code"/>
              </w:rPr>
            </w:pPr>
            <w:r>
              <w:rPr>
                <w:rStyle w:val="Code"/>
              </w:rPr>
              <w:t xml:space="preserve">r a&lt;add </w:t>
            </w:r>
            <w:r>
              <w:rPr>
                <w:rStyle w:val="Codeattribute"/>
              </w:rPr>
              <w:t>place</w:t>
            </w:r>
            <w:r>
              <w:rPr>
                <w:rStyle w:val="Code"/>
              </w:rPr>
              <w:t>=</w:t>
            </w:r>
            <w:r>
              <w:rPr>
                <w:rStyle w:val="Codevalue"/>
              </w:rPr>
              <w:t xml:space="preserve">"below" </w:t>
            </w:r>
            <w:r>
              <w:rPr>
                <w:rStyle w:val="Codeattribute"/>
              </w:rPr>
              <w:t>rend</w:t>
            </w:r>
            <w:r>
              <w:rPr>
                <w:rStyle w:val="Code"/>
              </w:rPr>
              <w:t>=</w:t>
            </w:r>
            <w:r>
              <w:rPr>
                <w:rStyle w:val="Codevalue"/>
              </w:rPr>
              <w:t>"mark"</w:t>
            </w:r>
            <w:r>
              <w:rPr>
                <w:rStyle w:val="Code"/>
              </w:rPr>
              <w:t>&gt;</w:t>
            </w:r>
            <w:r>
              <w:rPr>
                <w:rStyle w:val="Codetext"/>
              </w:rPr>
              <w:t>va</w:t>
            </w:r>
            <w:r>
              <w:rPr>
                <w:rStyle w:val="Code"/>
              </w:rPr>
              <w:t>&lt;/add&gt;&lt;/subst&gt;</w:t>
            </w:r>
            <w:r>
              <w:rPr>
                <w:rStyle w:val="Codetext"/>
              </w:rPr>
              <w:t>dhāraṇayā</w:t>
            </w:r>
          </w:p>
        </w:tc>
      </w:tr>
    </w:tbl>
    <w:p w14:paraId="6E0F198A" w14:textId="77777777">
      <w:pPr>
        <w:pStyle w:val="Cmsor3"/>
      </w:pPr>
      <w:bookmarkStart w:id="510" w:name="_Ref74727538"/>
      <w:bookmarkStart w:id="511" w:name="_Toc243900310"/>
      <w:r>
        <w:t>Scribal correction</w:t>
      </w:r>
      <w:bookmarkEnd w:id="508"/>
      <w:bookmarkEnd w:id="510"/>
      <w:bookmarkEnd w:id="511"/>
    </w:p>
    <w:p w14:paraId="5453BBC4" w14:textId="77777777">
      <w:r>
        <w:t xml:space="preserve">Scribal correction is the deliberate cancellation of one or more graphemes in a pre-written text by a scribe, accompanied by the restitution of (not necessarily the same number of) other graphemes. Scribal correction is usually of editorial nature, replacing text deemed erroneous with text deemed correct, but may also be an amendment of the content. </w:t>
      </w:r>
    </w:p>
    <w:p w14:paraId="2B573921" w14:textId="77777777">
      <w:pPr>
        <w:pStyle w:val="Lista"/>
      </w:pPr>
      <w:r>
        <w:t xml:space="preserve">when a correction is inscribed over previously engraved text which was rendered altogether illegible in the process and cannot be restored with any confidence, encode the correction as an addition with </w:t>
      </w:r>
      <w:r>
        <w:rPr>
          <w:rStyle w:val="Codeattribute"/>
        </w:rPr>
        <w:t>@place</w:t>
      </w:r>
      <w:r>
        <w:rPr>
          <w:rStyle w:val="Code"/>
        </w:rPr>
        <w:t>=</w:t>
      </w:r>
      <w:r>
        <w:rPr>
          <w:rStyle w:val="Codevalue"/>
        </w:rPr>
        <w:t>"overstrike"</w:t>
      </w:r>
      <w:r>
        <w:t xml:space="preserve">,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4C37622E" w14:textId="77777777">
      <w:pPr>
        <w:pStyle w:val="Lista2"/>
      </w:pPr>
      <w:r>
        <w:t>in this case, the presence of cancelled pre-correction text is merely implied by the special value of this attribute</w:t>
      </w:r>
    </w:p>
    <w:p w14:paraId="03BE6B96" w14:textId="77777777">
      <w:pPr>
        <w:pStyle w:val="Lista"/>
      </w:pPr>
      <w:r>
        <w:t xml:space="preserve">whenever any of the pre-correction text can be read or restored, with high or low confidence, scribal correction must be encoded as a combination of scribal deletion and scribal addition, wrapped in the element </w:t>
      </w:r>
      <w:r>
        <w:rPr>
          <w:rStyle w:val="Code"/>
        </w:rPr>
        <w:t>&lt;subst&gt;</w:t>
      </w:r>
      <w:r>
        <w:t xml:space="preserve"> to show that one is meant to be substituted by the other</w:t>
      </w:r>
    </w:p>
    <w:p w14:paraId="3B320A0C" w14:textId="77777777">
      <w:pPr>
        <w:pStyle w:val="Lista2"/>
      </w:pPr>
      <w:r>
        <w:t xml:space="preserve">within this element, use </w:t>
      </w:r>
      <w:r>
        <w:rPr>
          <w:rStyle w:val="Code"/>
        </w:rPr>
        <w:t>&lt;del&gt;</w:t>
      </w:r>
      <w:r>
        <w:t xml:space="preserve"> (§</w:t>
      </w:r>
      <w:r>
        <w:fldChar w:fldCharType="begin"/>
      </w:r>
      <w:r>
        <w:instrText xml:space="preserve"> REF _Ref43985171 \r \h </w:instrText>
      </w:r>
      <w:r>
        <w:fldChar w:fldCharType="separate"/>
      </w:r>
      <w:r>
        <w:t>5.5.1</w:t>
      </w:r>
      <w:r>
        <w:fldChar w:fldCharType="end"/>
      </w:r>
      <w:r>
        <w:t xml:space="preserve">) and </w:t>
      </w:r>
      <w:r>
        <w:rPr>
          <w:rStyle w:val="Code"/>
        </w:rPr>
        <w:t>&lt;add&gt;</w:t>
      </w:r>
      <w:r>
        <w:t xml:space="preserve"> (§</w:t>
      </w:r>
      <w:r>
        <w:fldChar w:fldCharType="begin"/>
      </w:r>
      <w:r>
        <w:instrText xml:space="preserve"> REF _Ref227850832 \r \h </w:instrText>
      </w:r>
      <w:r>
        <w:fldChar w:fldCharType="separate"/>
      </w:r>
      <w:r>
        <w:t>5.5.2</w:t>
      </w:r>
      <w:r>
        <w:fldChar w:fldCharType="end"/>
      </w:r>
      <w:r>
        <w:t>) as instructed above and with any applicable attributes, with the following additional considerations</w:t>
      </w:r>
    </w:p>
    <w:p w14:paraId="09B83CD0" w14:textId="77777777">
      <w:pPr>
        <w:pStyle w:val="Lista3"/>
      </w:pPr>
      <w:r>
        <w:t xml:space="preserve">use the attribute </w:t>
      </w:r>
      <w:r>
        <w:rPr>
          <w:rStyle w:val="Codeattribute"/>
        </w:rPr>
        <w:t>@rend=</w:t>
      </w:r>
      <w:r>
        <w:rPr>
          <w:rStyle w:val="Codevalue"/>
        </w:rPr>
        <w:t>"corrected"</w:t>
      </w:r>
      <w:r>
        <w:t xml:space="preserve"> on </w:t>
      </w:r>
      <w:r>
        <w:rPr>
          <w:rStyle w:val="Code"/>
        </w:rPr>
        <w:t>&lt;add&gt;</w:t>
      </w:r>
      <w:r>
        <w:t xml:space="preserve"> if the text to be replaced was neither erased nor marked for cancellation</w:t>
      </w:r>
    </w:p>
    <w:p w14:paraId="7C01B1DA" w14:textId="77777777">
      <w:pPr>
        <w:pStyle w:val="Lista4"/>
      </w:pPr>
      <w:r>
        <w:t xml:space="preserve">either because it was overwritten with the post-correction text,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68110489" w14:textId="77777777">
      <w:pPr>
        <w:pStyle w:val="Lista4"/>
      </w:pPr>
      <w:r>
        <w:t xml:space="preserve">or because it was left in place without any apparent alteration and the post-correction text was inscribed nearby, as in </w:t>
      </w:r>
      <w:r>
        <w:fldChar w:fldCharType="begin"/>
      </w:r>
      <w:r>
        <w:instrText xml:space="preserve"> REF _Ref227852091 \h </w:instrText>
      </w:r>
      <w:r>
        <w:fldChar w:fldCharType="separate"/>
      </w:r>
      <w:r>
        <w:t xml:space="preserve">Exhibit </w:t>
      </w:r>
      <w:r>
        <w:rPr>
          <w:noProof/>
        </w:rPr>
        <w:t>5.5</w:t>
      </w:r>
      <w:r>
        <w:t>.</w:t>
      </w:r>
      <w:r>
        <w:rPr>
          <w:noProof/>
        </w:rPr>
        <w:t>F</w:t>
      </w:r>
      <w:r>
        <w:fldChar w:fldCharType="end"/>
      </w:r>
    </w:p>
    <w:p w14:paraId="6FE7DDD9" w14:textId="77777777">
      <w:pPr>
        <w:pStyle w:val="Lista3"/>
      </w:pPr>
      <w:r>
        <w:t xml:space="preserve">use the attribute the attribute </w:t>
      </w:r>
      <w:r>
        <w:rPr>
          <w:rStyle w:val="Codeattribute"/>
        </w:rPr>
        <w:t>@place=</w:t>
      </w:r>
      <w:r>
        <w:rPr>
          <w:rStyle w:val="Codevalue"/>
        </w:rPr>
        <w:t>"overstrike"</w:t>
      </w:r>
      <w:r>
        <w:t xml:space="preserve"> on </w:t>
      </w:r>
      <w:r>
        <w:rPr>
          <w:rStyle w:val="Code"/>
        </w:rPr>
        <w:t>&lt;add&gt;</w:t>
      </w:r>
      <w:r>
        <w:t xml:space="preserve"> if the replacement text is inscribed right over the pre-correction text </w:t>
      </w:r>
      <w:r>
        <w:rPr>
          <w:noProof/>
        </w:rPr>
        <w:t>(</w:t>
      </w:r>
      <w:r>
        <w:t xml:space="preserve">rather than at some other position), as in </w:t>
      </w:r>
      <w:r>
        <w:fldChar w:fldCharType="begin"/>
      </w:r>
      <w:r>
        <w:instrText xml:space="preserve"> REF _Ref227852073 \h </w:instrText>
      </w:r>
      <w:r>
        <w:fldChar w:fldCharType="separate"/>
      </w:r>
      <w:r>
        <w:t xml:space="preserve">Exhibit </w:t>
      </w:r>
      <w:r>
        <w:rPr>
          <w:noProof/>
        </w:rPr>
        <w:t>5.5</w:t>
      </w:r>
      <w:r>
        <w:t>.</w:t>
      </w:r>
      <w:r>
        <w:rPr>
          <w:noProof/>
        </w:rPr>
        <w:t>E</w:t>
      </w:r>
      <w:r>
        <w:fldChar w:fldCharType="end"/>
      </w:r>
    </w:p>
    <w:p w14:paraId="2D36C51F" w14:textId="77777777">
      <w:pPr>
        <w:pStyle w:val="Lista"/>
      </w:pPr>
      <w:r>
        <w:t xml:space="preserve">occasionally, scribal correction may take place without explicit addition, when the correction consists in changing the order of the already inscribed glyphs, and this is indicated by a mark rather than by re-inscribing the glyphs in the correct order, as in </w:t>
      </w:r>
      <w:r>
        <w:fldChar w:fldCharType="begin"/>
      </w:r>
      <w:r>
        <w:instrText xml:space="preserve"> REF _Ref227853363 \h </w:instrText>
      </w:r>
      <w:r>
        <w:fldChar w:fldCharType="separate"/>
      </w:r>
      <w:r>
        <w:t xml:space="preserve">Exhibit </w:t>
      </w:r>
      <w:r>
        <w:rPr>
          <w:noProof/>
        </w:rPr>
        <w:t>5.5</w:t>
      </w:r>
      <w:r>
        <w:t>.</w:t>
      </w:r>
      <w:r>
        <w:rPr>
          <w:noProof/>
        </w:rPr>
        <w:t>H</w:t>
      </w:r>
      <w:r>
        <w:fldChar w:fldCharType="end"/>
      </w:r>
    </w:p>
    <w:p w14:paraId="6EF4BDF3" w14:textId="3F387E11">
      <w:pPr>
        <w:pStyle w:val="Lista2"/>
      </w:pPr>
      <w:r>
        <w:t xml:space="preserve">if you are confident in your interpretation of such a situation, encode scribal correction normally, putting the presumably intended corrected reading in </w:t>
      </w:r>
      <w:r>
        <w:rPr>
          <w:rStyle w:val="Code"/>
        </w:rPr>
        <w:t>&lt;add&gt;</w:t>
      </w:r>
    </w:p>
    <w:tbl>
      <w:tblPr>
        <w:tblStyle w:val="CodeSampleTable"/>
        <w:tblW w:w="5000" w:type="pct"/>
        <w:tblLook w:val="04A0" w:firstRow="1" w:lastRow="0" w:firstColumn="1" w:lastColumn="0" w:noHBand="0" w:noVBand="1"/>
      </w:tblPr>
      <w:tblGrid>
        <w:gridCol w:w="5665"/>
        <w:gridCol w:w="3963"/>
      </w:tblGrid>
      <w:tr w14:paraId="1FD40636"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3E2801A6" w14:textId="77777777">
            <w:pPr>
              <w:pStyle w:val="Kpalrs"/>
            </w:pPr>
            <w:bookmarkStart w:id="512" w:name="_Ref227852073"/>
            <w:r>
              <w:t xml:space="preserve">Exhibit </w:t>
            </w:r>
            <w:fldSimple w:instr=" STYLEREF 2 \s ">
              <w:r>
                <w:rPr>
                  <w:noProof/>
                </w:rPr>
                <w:t>5.5</w:t>
              </w:r>
            </w:fldSimple>
            <w:r>
              <w:t>.</w:t>
            </w:r>
            <w:fldSimple w:instr=" SEQ Exhibit \* ALPHABETIC \s 2 ">
              <w:r>
                <w:rPr>
                  <w:noProof/>
                </w:rPr>
                <w:t>E</w:t>
              </w:r>
            </w:fldSimple>
            <w:bookmarkEnd w:id="512"/>
            <w:r>
              <w:t>: scribal correction by overwriting</w:t>
            </w:r>
          </w:p>
        </w:tc>
      </w:tr>
      <w:tr w14:paraId="4B937D67" w14:textId="77777777">
        <w:tc>
          <w:tcPr>
            <w:tcW w:w="2942" w:type="pct"/>
          </w:tcPr>
          <w:p w14:paraId="23FF1558" w14:textId="77777777">
            <w:pPr>
              <w:pStyle w:val="TableNote"/>
              <w:keepNext/>
            </w:pPr>
            <w:r>
              <w:t xml:space="preserve">the glyphs </w:t>
            </w:r>
            <w:r>
              <w:rPr>
                <w:rStyle w:val="Foreign"/>
              </w:rPr>
              <w:t>tuṣṭa</w:t>
            </w:r>
            <w:r>
              <w:t xml:space="preserve"> were overwritten with </w:t>
            </w:r>
            <w:r>
              <w:rPr>
                <w:rStyle w:val="Foreign"/>
              </w:rPr>
              <w:t>catu</w:t>
            </w:r>
            <w:r>
              <w:t xml:space="preserve"> because the scribe had omitted the first </w:t>
            </w:r>
            <w:r>
              <w:rPr>
                <w:rStyle w:val="Foreign"/>
              </w:rPr>
              <w:t>akṣara</w:t>
            </w:r>
            <w:r>
              <w:t xml:space="preserve"> of the word </w:t>
            </w:r>
            <w:r>
              <w:rPr>
                <w:rStyle w:val="Foreign"/>
              </w:rPr>
              <w:t>catuṣṭayaṁ</w:t>
            </w:r>
            <w:r>
              <w:t>, but noticed and corrected the mistake immediately</w:t>
            </w:r>
          </w:p>
          <w:p w14:paraId="0BE28EA3" w14:textId="77777777">
            <w:pPr>
              <w:pStyle w:val="TableNote"/>
              <w:keepNext/>
            </w:pPr>
            <w:r>
              <w:t>the pre-correction glyphs are not deleted (</w:t>
            </w:r>
            <w:r>
              <w:rPr>
                <w:rStyle w:val="Codeattribute"/>
                <w:sz w:val="18"/>
                <w:szCs w:val="18"/>
              </w:rPr>
              <w:t>@rend</w:t>
            </w:r>
            <w:r>
              <w:rPr>
                <w:rStyle w:val="Codetext"/>
              </w:rPr>
              <w:t>=</w:t>
            </w:r>
            <w:r>
              <w:rPr>
                <w:rStyle w:val="Codevalue"/>
                <w:sz w:val="18"/>
                <w:szCs w:val="18"/>
              </w:rPr>
              <w:t>"corrected"</w:t>
            </w:r>
            <w:r>
              <w:t xml:space="preserve"> on </w:t>
            </w:r>
            <w:r>
              <w:rPr>
                <w:rStyle w:val="Code"/>
                <w:sz w:val="18"/>
                <w:szCs w:val="18"/>
              </w:rPr>
              <w:t>&lt;del&gt;</w:t>
            </w:r>
            <w:r>
              <w:t>)</w:t>
            </w:r>
          </w:p>
          <w:p w14:paraId="0D86C980" w14:textId="77777777">
            <w:pPr>
              <w:pStyle w:val="TableNote"/>
              <w:keepNext/>
            </w:pPr>
            <w:r>
              <w:t>the post-correction glyphs are written over the pre-correction text (</w:t>
            </w:r>
            <w:r>
              <w:rPr>
                <w:rStyle w:val="Codeattribute"/>
                <w:sz w:val="18"/>
                <w:szCs w:val="18"/>
              </w:rPr>
              <w:t>@place</w:t>
            </w:r>
            <w:r>
              <w:rPr>
                <w:rStyle w:val="Codetext"/>
              </w:rPr>
              <w:t>=</w:t>
            </w:r>
            <w:r>
              <w:rPr>
                <w:rStyle w:val="Codevalue"/>
                <w:sz w:val="18"/>
                <w:szCs w:val="18"/>
              </w:rPr>
              <w:t>"overstrike"</w:t>
            </w:r>
            <w:r>
              <w:t xml:space="preserve"> on </w:t>
            </w:r>
            <w:r>
              <w:rPr>
                <w:rStyle w:val="Code"/>
                <w:sz w:val="18"/>
                <w:szCs w:val="18"/>
              </w:rPr>
              <w:t>&lt;add&gt;</w:t>
            </w:r>
            <w:r>
              <w:t>)</w:t>
            </w:r>
          </w:p>
        </w:tc>
        <w:tc>
          <w:tcPr>
            <w:tcW w:w="2058" w:type="pct"/>
          </w:tcPr>
          <w:p w14:paraId="06ECF584" w14:textId="77777777">
            <w:pPr>
              <w:pStyle w:val="Image"/>
            </w:pPr>
            <w:r>
              <w:drawing>
                <wp:inline distT="0" distB="0" distL="0" distR="0" wp14:anchorId="3BA170F4" wp14:editId="3B770C2B">
                  <wp:extent cx="2365200" cy="1080000"/>
                  <wp:effectExtent l="0" t="0" r="0" b="6350"/>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365200" cy="1080000"/>
                          </a:xfrm>
                          <a:prstGeom prst="rect">
                            <a:avLst/>
                          </a:prstGeom>
                          <a:noFill/>
                          <a:ln>
                            <a:noFill/>
                          </a:ln>
                        </pic:spPr>
                      </pic:pic>
                    </a:graphicData>
                  </a:graphic>
                </wp:inline>
              </w:drawing>
            </w:r>
          </w:p>
        </w:tc>
      </w:tr>
      <w:tr w14:paraId="2523D5D2" w14:textId="77777777">
        <w:tc>
          <w:tcPr>
            <w:tcW w:w="5000" w:type="pct"/>
            <w:gridSpan w:val="2"/>
          </w:tcPr>
          <w:p w14:paraId="743EB7F3" w14:textId="77777777">
            <w:pPr>
              <w:pStyle w:val="CodeParagraph"/>
              <w:rPr>
                <w:rStyle w:val="Code"/>
              </w:rPr>
            </w:pPr>
            <w:r>
              <w:rPr>
                <w:rStyle w:val="Code"/>
              </w:rPr>
              <w:t xml:space="preserve">&lt;subst&gt;&lt;del </w:t>
            </w:r>
            <w:r>
              <w:rPr>
                <w:rStyle w:val="Codeattribute"/>
              </w:rPr>
              <w:t>rend</w:t>
            </w:r>
            <w:r>
              <w:rPr>
                <w:rStyle w:val="Code"/>
              </w:rPr>
              <w:t>=</w:t>
            </w:r>
            <w:r>
              <w:rPr>
                <w:rStyle w:val="Codevalue"/>
              </w:rPr>
              <w:t>"corrected"</w:t>
            </w:r>
            <w:r>
              <w:rPr>
                <w:rStyle w:val="Code"/>
              </w:rPr>
              <w:t>&gt;</w:t>
            </w:r>
            <w:r>
              <w:rPr>
                <w:rStyle w:val="Codetext"/>
              </w:rPr>
              <w:t>tuṣṭa</w:t>
            </w:r>
            <w:r>
              <w:rPr>
                <w:rStyle w:val="Code"/>
              </w:rPr>
              <w:t>&lt;/del&gt;&lt;add p</w:t>
            </w:r>
            <w:r>
              <w:rPr>
                <w:rStyle w:val="Codeattribute"/>
              </w:rPr>
              <w:t>lace</w:t>
            </w:r>
            <w:r>
              <w:rPr>
                <w:rStyle w:val="Code"/>
              </w:rPr>
              <w:t>=</w:t>
            </w:r>
            <w:r>
              <w:rPr>
                <w:rStyle w:val="Codevalue"/>
              </w:rPr>
              <w:t>"overstrike"</w:t>
            </w:r>
            <w:r>
              <w:rPr>
                <w:rStyle w:val="Code"/>
              </w:rPr>
              <w:t>&gt;</w:t>
            </w:r>
            <w:r>
              <w:rPr>
                <w:rStyle w:val="Codetext"/>
              </w:rPr>
              <w:t>catu</w:t>
            </w:r>
            <w:r>
              <w:rPr>
                <w:rStyle w:val="Code"/>
              </w:rPr>
              <w:t>&lt;/add&gt;&lt;/subst&gt;</w:t>
            </w:r>
            <w:r>
              <w:rPr>
                <w:rStyle w:val="Codetext"/>
              </w:rPr>
              <w:t>ṣṭayaṁ</w:t>
            </w:r>
          </w:p>
        </w:tc>
      </w:tr>
    </w:tbl>
    <w:p w14:paraId="6ACEAC88" w14:textId="77777777"/>
    <w:tbl>
      <w:tblPr>
        <w:tblStyle w:val="CodeSampleTable"/>
        <w:tblW w:w="5000" w:type="pct"/>
        <w:tblLook w:val="04A0" w:firstRow="1" w:lastRow="0" w:firstColumn="1" w:lastColumn="0" w:noHBand="0" w:noVBand="1"/>
      </w:tblPr>
      <w:tblGrid>
        <w:gridCol w:w="5808"/>
        <w:gridCol w:w="3820"/>
      </w:tblGrid>
      <w:tr w14:paraId="2EC9288F"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15BDD60B" w14:textId="77777777">
            <w:pPr>
              <w:pStyle w:val="Kpalrs"/>
            </w:pPr>
            <w:bookmarkStart w:id="513" w:name="_Ref227852091"/>
            <w:r>
              <w:lastRenderedPageBreak/>
              <w:t xml:space="preserve">Exhibit </w:t>
            </w:r>
            <w:fldSimple w:instr=" STYLEREF 2 \s ">
              <w:r>
                <w:rPr>
                  <w:noProof/>
                </w:rPr>
                <w:t>5.5</w:t>
              </w:r>
            </w:fldSimple>
            <w:r>
              <w:t>.</w:t>
            </w:r>
            <w:fldSimple w:instr=" SEQ Exhibit \* ALPHABETIC \s 2 ">
              <w:r>
                <w:rPr>
                  <w:noProof/>
                </w:rPr>
                <w:t>F</w:t>
              </w:r>
            </w:fldSimple>
            <w:bookmarkEnd w:id="513"/>
            <w:r>
              <w:t>: scribal correction written inline</w:t>
            </w:r>
          </w:p>
        </w:tc>
      </w:tr>
      <w:tr w14:paraId="715B8C95" w14:textId="77777777">
        <w:trPr>
          <w:trHeight w:val="1830"/>
        </w:trPr>
        <w:tc>
          <w:tcPr>
            <w:tcW w:w="3016" w:type="pct"/>
          </w:tcPr>
          <w:p w14:paraId="7625B124" w14:textId="77777777">
            <w:pPr>
              <w:pStyle w:val="TableNote"/>
              <w:keepNext/>
            </w:pPr>
            <w:r>
              <w:t xml:space="preserve">an originally inscribed </w:t>
            </w:r>
            <w:r>
              <w:rPr>
                <w:rStyle w:val="Foreign"/>
              </w:rPr>
              <w:t>dvau</w:t>
            </w:r>
            <w:r>
              <w:t xml:space="preserve"> was corrected to </w:t>
            </w:r>
            <w:r>
              <w:rPr>
                <w:rStyle w:val="Foreign"/>
              </w:rPr>
              <w:t>dve</w:t>
            </w:r>
            <w:r>
              <w:t xml:space="preserve"> immediately</w:t>
            </w:r>
          </w:p>
          <w:p w14:paraId="1F099EF4" w14:textId="77777777">
            <w:pPr>
              <w:pStyle w:val="TableNote"/>
              <w:keepNext/>
            </w:pPr>
            <w:r>
              <w:t>the correction is placed after the pre-correction glyph (</w:t>
            </w:r>
            <w:r>
              <w:rPr>
                <w:rStyle w:val="Codeattribute"/>
                <w:sz w:val="18"/>
                <w:szCs w:val="18"/>
              </w:rPr>
              <w:t>@place</w:t>
            </w:r>
            <w:r>
              <w:rPr>
                <w:rStyle w:val="Codetext"/>
              </w:rPr>
              <w:t>=</w:t>
            </w:r>
            <w:r>
              <w:rPr>
                <w:rStyle w:val="Codevalue"/>
                <w:sz w:val="18"/>
                <w:szCs w:val="18"/>
              </w:rPr>
              <w:t>"inline"</w:t>
            </w:r>
            <w:r>
              <w:t xml:space="preserve"> on </w:t>
            </w:r>
            <w:r>
              <w:rPr>
                <w:rStyle w:val="Code"/>
                <w:sz w:val="18"/>
                <w:szCs w:val="18"/>
              </w:rPr>
              <w:t>&lt;add&gt;</w:t>
            </w:r>
            <w:r>
              <w:t>)</w:t>
            </w:r>
          </w:p>
          <w:p w14:paraId="4F23A745" w14:textId="77777777">
            <w:pPr>
              <w:pStyle w:val="TableNote"/>
              <w:keepNext/>
            </w:pPr>
            <w:r>
              <w:t xml:space="preserve">the incorrect </w:t>
            </w:r>
            <w:r>
              <w:rPr>
                <w:rStyle w:val="Foreign"/>
              </w:rPr>
              <w:t>dvau</w:t>
            </w:r>
            <w:r>
              <w:t xml:space="preserve"> was not explicitly cancelled (</w:t>
            </w:r>
            <w:r>
              <w:rPr>
                <w:rStyle w:val="Codeattribute"/>
                <w:sz w:val="18"/>
                <w:szCs w:val="18"/>
              </w:rPr>
              <w:t>@rend</w:t>
            </w:r>
            <w:r>
              <w:rPr>
                <w:rStyle w:val="Codetext"/>
              </w:rPr>
              <w:t>=</w:t>
            </w:r>
            <w:r>
              <w:rPr>
                <w:rStyle w:val="Codevalue"/>
                <w:sz w:val="18"/>
                <w:szCs w:val="18"/>
              </w:rPr>
              <w:t>"corrected"</w:t>
            </w:r>
            <w:r>
              <w:t xml:space="preserve"> on </w:t>
            </w:r>
            <w:r>
              <w:rPr>
                <w:rStyle w:val="Code"/>
                <w:sz w:val="18"/>
                <w:szCs w:val="18"/>
              </w:rPr>
              <w:t>&lt;del&gt;</w:t>
            </w:r>
            <w:r>
              <w:t>)</w:t>
            </w:r>
          </w:p>
        </w:tc>
        <w:tc>
          <w:tcPr>
            <w:tcW w:w="1984" w:type="pct"/>
          </w:tcPr>
          <w:p w14:paraId="25D4D77D" w14:textId="77777777">
            <w:pPr>
              <w:pStyle w:val="Image"/>
            </w:pPr>
            <w:r>
              <w:rPr>
                <w:rStyle w:val="Codevalue"/>
              </w:rPr>
              <w:drawing>
                <wp:inline distT="0" distB="0" distL="0" distR="0" wp14:anchorId="611AAB0E" wp14:editId="57212555">
                  <wp:extent cx="2347200" cy="1080000"/>
                  <wp:effectExtent l="0" t="0" r="0" b="6350"/>
                  <wp:docPr id="37" name="Kép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47200" cy="1080000"/>
                          </a:xfrm>
                          <a:prstGeom prst="rect">
                            <a:avLst/>
                          </a:prstGeom>
                          <a:noFill/>
                          <a:ln>
                            <a:noFill/>
                          </a:ln>
                        </pic:spPr>
                      </pic:pic>
                    </a:graphicData>
                  </a:graphic>
                </wp:inline>
              </w:drawing>
            </w:r>
          </w:p>
        </w:tc>
      </w:tr>
      <w:tr w14:paraId="3CC44B52" w14:textId="77777777">
        <w:tc>
          <w:tcPr>
            <w:tcW w:w="5000" w:type="pct"/>
            <w:gridSpan w:val="2"/>
          </w:tcPr>
          <w:p w14:paraId="602D167B" w14:textId="77777777">
            <w:pPr>
              <w:pStyle w:val="CodeParagraph"/>
              <w:rPr>
                <w:rStyle w:val="Code"/>
              </w:rPr>
            </w:pPr>
            <w:r>
              <w:rPr>
                <w:rStyle w:val="Codetext"/>
              </w:rPr>
              <w:t xml:space="preserve">devakule </w:t>
            </w:r>
            <w:r>
              <w:rPr>
                <w:rStyle w:val="Code"/>
              </w:rPr>
              <w:t xml:space="preserve">&lt;subst&gt;&lt;del </w:t>
            </w:r>
            <w:r>
              <w:rPr>
                <w:rStyle w:val="Codeattribute"/>
              </w:rPr>
              <w:t>rend</w:t>
            </w:r>
            <w:r>
              <w:rPr>
                <w:rStyle w:val="Codetext"/>
              </w:rPr>
              <w:t>=</w:t>
            </w:r>
            <w:r>
              <w:rPr>
                <w:rStyle w:val="Codevalue"/>
              </w:rPr>
              <w:t>"corrected"</w:t>
            </w:r>
            <w:r>
              <w:rPr>
                <w:rStyle w:val="Code"/>
              </w:rPr>
              <w:t>&gt;</w:t>
            </w:r>
            <w:r>
              <w:rPr>
                <w:rStyle w:val="Codetext"/>
              </w:rPr>
              <w:t>dvau</w:t>
            </w:r>
            <w:r>
              <w:rPr>
                <w:rStyle w:val="Code"/>
              </w:rPr>
              <w:t xml:space="preserve">&lt;/del&gt;&lt;add </w:t>
            </w:r>
            <w:r>
              <w:rPr>
                <w:rStyle w:val="Codeattribute"/>
              </w:rPr>
              <w:t>place</w:t>
            </w:r>
            <w:r>
              <w:rPr>
                <w:rStyle w:val="Codetext"/>
              </w:rPr>
              <w:t>=</w:t>
            </w:r>
            <w:r>
              <w:rPr>
                <w:rStyle w:val="Codevalue"/>
              </w:rPr>
              <w:t>"inline"</w:t>
            </w:r>
            <w:r>
              <w:rPr>
                <w:rStyle w:val="Code"/>
              </w:rPr>
              <w:t>&gt;</w:t>
            </w:r>
            <w:r>
              <w:rPr>
                <w:rStyle w:val="Codetext"/>
              </w:rPr>
              <w:t>dve</w:t>
            </w:r>
            <w:r>
              <w:rPr>
                <w:rStyle w:val="Code"/>
              </w:rPr>
              <w:t>&lt;/add&gt;&lt;/subst&gt;</w:t>
            </w:r>
          </w:p>
        </w:tc>
      </w:tr>
    </w:tbl>
    <w:p w14:paraId="518A4C13" w14:textId="77777777"/>
    <w:tbl>
      <w:tblPr>
        <w:tblStyle w:val="CodeSampleTable"/>
        <w:tblW w:w="5000" w:type="pct"/>
        <w:tblLook w:val="04A0" w:firstRow="1" w:lastRow="0" w:firstColumn="1" w:lastColumn="0" w:noHBand="0" w:noVBand="1"/>
      </w:tblPr>
      <w:tblGrid>
        <w:gridCol w:w="6659"/>
        <w:gridCol w:w="2969"/>
      </w:tblGrid>
      <w:tr w14:paraId="18A15932"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1955316" w14:textId="77777777">
            <w:pPr>
              <w:pStyle w:val="Kpalrs"/>
              <w:keepLines/>
            </w:pPr>
            <w:bookmarkStart w:id="514" w:name="_Ref44078634"/>
            <w:r>
              <w:t xml:space="preserve">Exhibit </w:t>
            </w:r>
            <w:fldSimple w:instr=" STYLEREF 2 \s ">
              <w:r>
                <w:rPr>
                  <w:noProof/>
                </w:rPr>
                <w:t>5.5</w:t>
              </w:r>
            </w:fldSimple>
            <w:r>
              <w:t>.</w:t>
            </w:r>
            <w:fldSimple w:instr=" SEQ Exhibit \* ALPHABETIC \s 2 ">
              <w:r>
                <w:rPr>
                  <w:noProof/>
                </w:rPr>
                <w:t>G</w:t>
              </w:r>
            </w:fldSimple>
            <w:bookmarkEnd w:id="514"/>
            <w:r>
              <w:t>: scribal correction by striking out a component</w:t>
            </w:r>
          </w:p>
        </w:tc>
      </w:tr>
      <w:tr w14:paraId="051EBBCF" w14:textId="77777777">
        <w:tc>
          <w:tcPr>
            <w:tcW w:w="3458" w:type="pct"/>
          </w:tcPr>
          <w:p w14:paraId="00E7A3B7" w14:textId="77777777">
            <w:pPr>
              <w:pStyle w:val="TableNote"/>
              <w:keepNext/>
              <w:keepLines/>
            </w:pPr>
            <w:r>
              <w:t xml:space="preserve">an originally inscribed </w:t>
            </w:r>
            <w:r>
              <w:rPr>
                <w:rStyle w:val="Foreign"/>
              </w:rPr>
              <w:t>prisaṅgi</w:t>
            </w:r>
            <w:r>
              <w:t xml:space="preserve"> was corrected to </w:t>
            </w:r>
            <w:r>
              <w:rPr>
                <w:rStyle w:val="Foreign"/>
              </w:rPr>
              <w:t>prasaṅgi</w:t>
            </w:r>
            <w:r>
              <w:t xml:space="preserve"> by striking out the superfluous </w:t>
            </w:r>
            <w:r>
              <w:rPr>
                <w:rStyle w:val="Foreign"/>
              </w:rPr>
              <w:t xml:space="preserve">i </w:t>
            </w:r>
            <w:r>
              <w:t>marker</w:t>
            </w:r>
          </w:p>
          <w:p w14:paraId="51806112" w14:textId="77777777">
            <w:pPr>
              <w:pStyle w:val="TableNote"/>
              <w:keepNext/>
              <w:keepLines/>
            </w:pPr>
            <w:r>
              <w:rPr>
                <w:rStyle w:val="Codeattribute"/>
              </w:rPr>
              <w:t>@rend</w:t>
            </w:r>
            <w:r>
              <w:t xml:space="preserve"> is not used on </w:t>
            </w:r>
            <w:r>
              <w:rPr>
                <w:rStyle w:val="Code"/>
              </w:rPr>
              <w:t>&lt;del&gt;</w:t>
            </w:r>
            <w:r>
              <w:t xml:space="preserve">, since the </w:t>
            </w:r>
            <w:r>
              <w:rPr>
                <w:rStyle w:val="Foreign"/>
              </w:rPr>
              <w:t>i</w:t>
            </w:r>
            <w:r>
              <w:t xml:space="preserve"> was erased, which is the default method of deletion </w:t>
            </w:r>
          </w:p>
          <w:p w14:paraId="4518D538" w14:textId="77777777">
            <w:pPr>
              <w:pStyle w:val="TableNote"/>
              <w:keepNext/>
              <w:keepLines/>
            </w:pPr>
            <w:r>
              <w:t xml:space="preserve">although no explicit </w:t>
            </w:r>
            <w:r>
              <w:rPr>
                <w:rStyle w:val="Foreign"/>
              </w:rPr>
              <w:t>a</w:t>
            </w:r>
            <w:r>
              <w:t xml:space="preserve"> was engraved, the deletion of </w:t>
            </w:r>
            <w:r>
              <w:rPr>
                <w:rStyle w:val="Foreign"/>
              </w:rPr>
              <w:t>i</w:t>
            </w:r>
            <w:r>
              <w:t xml:space="preserve"> entails the replacement of that grapheme by </w:t>
            </w:r>
            <w:r>
              <w:rPr>
                <w:rStyle w:val="Foreign"/>
              </w:rPr>
              <w:t>a</w:t>
            </w:r>
            <w:r>
              <w:t>, so this must be encoded as correction rather than deletion (§</w:t>
            </w:r>
            <w:r>
              <w:fldChar w:fldCharType="begin"/>
            </w:r>
            <w:r>
              <w:instrText xml:space="preserve"> REF _Ref228890328 \r \h </w:instrText>
            </w:r>
            <w:r>
              <w:fldChar w:fldCharType="separate"/>
            </w:r>
            <w:r>
              <w:t>5.5.4</w:t>
            </w:r>
            <w:r>
              <w:fldChar w:fldCharType="end"/>
            </w:r>
            <w:r>
              <w:t>)</w:t>
            </w:r>
          </w:p>
          <w:p w14:paraId="64B896F0" w14:textId="77777777">
            <w:pPr>
              <w:pStyle w:val="TableNote"/>
              <w:keepNext/>
              <w:keepLines/>
            </w:pPr>
            <w:r>
              <w:t xml:space="preserve">the addition is encoded with </w:t>
            </w:r>
            <w:r>
              <w:rPr>
                <w:rStyle w:val="Codeattribute"/>
              </w:rPr>
              <w:t>@place</w:t>
            </w:r>
            <w:r>
              <w:rPr>
                <w:rStyle w:val="Code"/>
              </w:rPr>
              <w:t>=</w:t>
            </w:r>
            <w:r>
              <w:rPr>
                <w:rStyle w:val="Codevalue"/>
              </w:rPr>
              <w:t>"overstrike"</w:t>
            </w:r>
            <w:r>
              <w:t xml:space="preserve"> because the post-correction reading is in the same place as the pre-correction reading</w:t>
            </w:r>
          </w:p>
        </w:tc>
        <w:tc>
          <w:tcPr>
            <w:tcW w:w="1542" w:type="pct"/>
          </w:tcPr>
          <w:p w14:paraId="18836DFA" w14:textId="77777777">
            <w:pPr>
              <w:pStyle w:val="Image"/>
              <w:keepLines/>
              <w:widowControl/>
            </w:pPr>
            <w:r>
              <w:drawing>
                <wp:inline distT="0" distB="0" distL="0" distR="0" wp14:anchorId="2DA20147" wp14:editId="3B17BAA3">
                  <wp:extent cx="1742400" cy="1080000"/>
                  <wp:effectExtent l="0" t="0" r="0" b="6350"/>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742400" cy="1080000"/>
                          </a:xfrm>
                          <a:prstGeom prst="rect">
                            <a:avLst/>
                          </a:prstGeom>
                          <a:noFill/>
                          <a:ln>
                            <a:noFill/>
                          </a:ln>
                        </pic:spPr>
                      </pic:pic>
                    </a:graphicData>
                  </a:graphic>
                </wp:inline>
              </w:drawing>
            </w:r>
          </w:p>
        </w:tc>
      </w:tr>
      <w:tr w14:paraId="2F5DA27B" w14:textId="77777777">
        <w:tc>
          <w:tcPr>
            <w:tcW w:w="5000" w:type="pct"/>
            <w:gridSpan w:val="2"/>
          </w:tcPr>
          <w:p w14:paraId="07179938" w14:textId="77777777">
            <w:pPr>
              <w:pStyle w:val="CodeParagraph"/>
              <w:rPr>
                <w:rStyle w:val="Code"/>
              </w:rPr>
            </w:pPr>
            <w:r>
              <w:rPr>
                <w:rStyle w:val="Codetext"/>
              </w:rPr>
              <w:t>pr</w:t>
            </w:r>
            <w:r>
              <w:rPr>
                <w:rStyle w:val="Code"/>
              </w:rPr>
              <w:t>&lt;subst&gt;&lt;del&gt;</w:t>
            </w:r>
            <w:r>
              <w:rPr>
                <w:rStyle w:val="Codetext"/>
              </w:rPr>
              <w:t>i</w:t>
            </w:r>
            <w:r>
              <w:rPr>
                <w:rStyle w:val="Code"/>
              </w:rPr>
              <w:t xml:space="preserve">&lt;/del&gt;&lt;add </w:t>
            </w:r>
            <w:r>
              <w:rPr>
                <w:rStyle w:val="Codeattribute"/>
              </w:rPr>
              <w:t>place</w:t>
            </w:r>
            <w:r>
              <w:rPr>
                <w:rStyle w:val="Code"/>
              </w:rPr>
              <w:t>=</w:t>
            </w:r>
            <w:r>
              <w:rPr>
                <w:rStyle w:val="Codevalue"/>
              </w:rPr>
              <w:t>"overstrike"</w:t>
            </w:r>
            <w:r>
              <w:rPr>
                <w:rStyle w:val="Code"/>
              </w:rPr>
              <w:t>&gt;</w:t>
            </w:r>
            <w:r>
              <w:rPr>
                <w:rStyle w:val="Codetext"/>
              </w:rPr>
              <w:t>a</w:t>
            </w:r>
            <w:r>
              <w:rPr>
                <w:rStyle w:val="Code"/>
              </w:rPr>
              <w:t>&lt;/add&gt;&lt;/subst&gt;</w:t>
            </w:r>
            <w:r>
              <w:rPr>
                <w:rStyle w:val="Codetext"/>
              </w:rPr>
              <w:t>saṅgi</w:t>
            </w:r>
          </w:p>
        </w:tc>
      </w:tr>
    </w:tbl>
    <w:p w14:paraId="362F17CF" w14:textId="77777777"/>
    <w:tbl>
      <w:tblPr>
        <w:tblStyle w:val="CodeSampleTable"/>
        <w:tblW w:w="5000" w:type="pct"/>
        <w:tblLook w:val="04A0" w:firstRow="1" w:lastRow="0" w:firstColumn="1" w:lastColumn="0" w:noHBand="0" w:noVBand="1"/>
      </w:tblPr>
      <w:tblGrid>
        <w:gridCol w:w="5280"/>
        <w:gridCol w:w="4348"/>
      </w:tblGrid>
      <w:tr w14:paraId="73F86FB8" w14:textId="77777777">
        <w:trPr>
          <w:cnfStyle w:val="100000000000" w:firstRow="1" w:lastRow="0" w:firstColumn="0" w:lastColumn="0" w:oddVBand="0" w:evenVBand="0" w:oddHBand="0" w:evenHBand="0" w:firstRowFirstColumn="0" w:firstRowLastColumn="0" w:lastRowFirstColumn="0" w:lastRowLastColumn="0"/>
        </w:trPr>
        <w:tc>
          <w:tcPr>
            <w:tcW w:w="5000" w:type="pct"/>
            <w:gridSpan w:val="2"/>
          </w:tcPr>
          <w:p w14:paraId="47B132D8" w14:textId="77777777">
            <w:pPr>
              <w:pStyle w:val="Kpalrs"/>
            </w:pPr>
            <w:bookmarkStart w:id="515" w:name="_Ref227853363"/>
            <w:r>
              <w:t xml:space="preserve">Exhibit </w:t>
            </w:r>
            <w:fldSimple w:instr=" STYLEREF 2 \s ">
              <w:r>
                <w:rPr>
                  <w:noProof/>
                </w:rPr>
                <w:t>5.5</w:t>
              </w:r>
            </w:fldSimple>
            <w:r>
              <w:t>.</w:t>
            </w:r>
            <w:fldSimple w:instr=" SEQ Exhibit \* ALPHABETIC \s 2 ">
              <w:r>
                <w:rPr>
                  <w:noProof/>
                </w:rPr>
                <w:t>H</w:t>
              </w:r>
            </w:fldSimple>
            <w:bookmarkEnd w:id="515"/>
            <w:r>
              <w:t>: implied scribal transposition</w:t>
            </w:r>
          </w:p>
        </w:tc>
      </w:tr>
      <w:tr w14:paraId="3050D34F" w14:textId="77777777">
        <w:trPr>
          <w:trHeight w:val="1260"/>
        </w:trPr>
        <w:tc>
          <w:tcPr>
            <w:tcW w:w="2742" w:type="pct"/>
          </w:tcPr>
          <w:p w14:paraId="1CE2CB39" w14:textId="77777777">
            <w:pPr>
              <w:pStyle w:val="TableNote"/>
              <w:keepNext/>
            </w:pPr>
            <w:r>
              <w:t xml:space="preserve">an originally inscribed </w:t>
            </w:r>
            <w:r>
              <w:rPr>
                <w:rStyle w:val="Foreign"/>
              </w:rPr>
              <w:t>ri lata</w:t>
            </w:r>
            <w:r>
              <w:t xml:space="preserve"> was corrected to </w:t>
            </w:r>
            <w:r>
              <w:rPr>
                <w:rStyle w:val="Foreign"/>
              </w:rPr>
              <w:t>ri tala</w:t>
            </w:r>
            <w:r>
              <w:t xml:space="preserve"> in a manuscript by adding a scribal mark</w:t>
            </w:r>
          </w:p>
        </w:tc>
        <w:tc>
          <w:tcPr>
            <w:tcW w:w="2258" w:type="pct"/>
          </w:tcPr>
          <w:p w14:paraId="439B1A68" w14:textId="77777777">
            <w:pPr>
              <w:pStyle w:val="Image"/>
            </w:pPr>
            <w:r>
              <w:drawing>
                <wp:inline distT="0" distB="0" distL="0" distR="0" wp14:anchorId="185FE1C0" wp14:editId="1E353954">
                  <wp:extent cx="2592000" cy="720000"/>
                  <wp:effectExtent l="0" t="0" r="0" b="4445"/>
                  <wp:docPr id="1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72">
                            <a:extLst>
                              <a:ext uri="{28A0092B-C50C-407E-A947-70E740481C1C}">
                                <a14:useLocalDpi xmlns:a14="http://schemas.microsoft.com/office/drawing/2010/main" val="0"/>
                              </a:ext>
                            </a:extLst>
                          </a:blip>
                          <a:srcRect/>
                          <a:stretch>
                            <a:fillRect/>
                          </a:stretch>
                        </pic:blipFill>
                        <pic:spPr>
                          <a:xfrm>
                            <a:off x="0" y="0"/>
                            <a:ext cx="2592000" cy="720000"/>
                          </a:xfrm>
                          <a:prstGeom prst="rect">
                            <a:avLst/>
                          </a:prstGeom>
                          <a:ln/>
                        </pic:spPr>
                      </pic:pic>
                    </a:graphicData>
                  </a:graphic>
                </wp:inline>
              </w:drawing>
            </w:r>
          </w:p>
        </w:tc>
      </w:tr>
      <w:tr w14:paraId="26001499" w14:textId="77777777">
        <w:tc>
          <w:tcPr>
            <w:tcW w:w="5000" w:type="pct"/>
            <w:gridSpan w:val="2"/>
          </w:tcPr>
          <w:p w14:paraId="27C75B23" w14:textId="77777777">
            <w:pPr>
              <w:pStyle w:val="CodeParagraph"/>
            </w:pPr>
            <w:r>
              <w:rPr>
                <w:rStyle w:val="Codetext"/>
              </w:rPr>
              <w:t>ri</w:t>
            </w:r>
            <w:r>
              <w:rPr>
                <w:rStyle w:val="Code"/>
              </w:rPr>
              <w:t xml:space="preserve">&lt;subst&gt;&lt;del </w:t>
            </w:r>
            <w:r>
              <w:rPr>
                <w:rStyle w:val="Codeattribute"/>
              </w:rPr>
              <w:t>rend</w:t>
            </w:r>
            <w:r>
              <w:rPr>
                <w:rStyle w:val="Code"/>
              </w:rPr>
              <w:t>=</w:t>
            </w:r>
            <w:r>
              <w:rPr>
                <w:rStyle w:val="Codevalue"/>
              </w:rPr>
              <w:t>"corrected"</w:t>
            </w:r>
            <w:r>
              <w:rPr>
                <w:rStyle w:val="Code"/>
              </w:rPr>
              <w:t>&gt;</w:t>
            </w:r>
            <w:r>
              <w:rPr>
                <w:rStyle w:val="Codetext"/>
              </w:rPr>
              <w:t>lata</w:t>
            </w:r>
            <w:r>
              <w:rPr>
                <w:rStyle w:val="Code"/>
              </w:rPr>
              <w:t xml:space="preserve">&lt;/del&gt;&lt;add </w:t>
            </w:r>
            <w:r>
              <w:rPr>
                <w:rStyle w:val="Codeattribute"/>
              </w:rPr>
              <w:t>place</w:t>
            </w:r>
            <w:r>
              <w:rPr>
                <w:rStyle w:val="Code"/>
              </w:rPr>
              <w:t>=</w:t>
            </w:r>
            <w:r>
              <w:rPr>
                <w:rStyle w:val="Codevalue"/>
              </w:rPr>
              <w:t xml:space="preserve">"overstrike" </w:t>
            </w:r>
            <w:r>
              <w:rPr>
                <w:rStyle w:val="Codeattribute"/>
              </w:rPr>
              <w:t>rend</w:t>
            </w:r>
            <w:r>
              <w:rPr>
                <w:rStyle w:val="Code"/>
              </w:rPr>
              <w:t>=</w:t>
            </w:r>
            <w:r>
              <w:rPr>
                <w:rStyle w:val="Codevalue"/>
              </w:rPr>
              <w:t>"mark"</w:t>
            </w:r>
            <w:r>
              <w:rPr>
                <w:rStyle w:val="Code"/>
              </w:rPr>
              <w:t>&gt;</w:t>
            </w:r>
            <w:r>
              <w:rPr>
                <w:rStyle w:val="Codetext"/>
              </w:rPr>
              <w:t>tala</w:t>
            </w:r>
            <w:r>
              <w:rPr>
                <w:rStyle w:val="Code"/>
              </w:rPr>
              <w:t>&lt;/add&gt;&lt;/subst&gt;</w:t>
            </w:r>
          </w:p>
        </w:tc>
      </w:tr>
      <w:tr w14:paraId="0C00BC24" w14:textId="77777777">
        <w:tc>
          <w:tcPr>
            <w:tcW w:w="5000" w:type="pct"/>
            <w:gridSpan w:val="2"/>
          </w:tcPr>
          <w:p w14:paraId="6C2304FA" w14:textId="77777777">
            <w:pPr>
              <w:pStyle w:val="TableNote"/>
            </w:pPr>
            <w:r>
              <w:t>although the intended correction is not explicitly written anywhere, the intent was clear to the editor, so the encoding records implied correction with the details that can be represented in our encoding scheme:</w:t>
            </w:r>
          </w:p>
          <w:p w14:paraId="1682CB08" w14:textId="77777777">
            <w:pPr>
              <w:pStyle w:val="TableNote"/>
            </w:pPr>
            <w:r>
              <w:t xml:space="preserve">that the pre-correction text is not explicitly deleted, but overruled by the correction </w:t>
            </w:r>
            <w:r>
              <w:rPr>
                <w:noProof/>
              </w:rPr>
              <w:t>(</w:t>
            </w:r>
            <w:r>
              <w:rPr>
                <w:rStyle w:val="Codeattribute"/>
              </w:rPr>
              <w:t>@rend</w:t>
            </w:r>
            <w:r>
              <w:rPr>
                <w:rStyle w:val="Code"/>
              </w:rPr>
              <w:t>=</w:t>
            </w:r>
            <w:r>
              <w:rPr>
                <w:rStyle w:val="Codevalue"/>
              </w:rPr>
              <w:t>"corrected"</w:t>
            </w:r>
            <w:r>
              <w:t xml:space="preserve"> on </w:t>
            </w:r>
            <w:r>
              <w:rPr>
                <w:rStyle w:val="Code"/>
              </w:rPr>
              <w:t>&lt;del&gt;</w:t>
            </w:r>
            <w:r>
              <w:t>)</w:t>
            </w:r>
          </w:p>
          <w:p w14:paraId="32B3AE13" w14:textId="77777777">
            <w:pPr>
              <w:pStyle w:val="TableNote"/>
            </w:pPr>
            <w:r>
              <w:t xml:space="preserve">that the post-correction text is right there and not somewhere else on the support </w:t>
            </w:r>
            <w:r>
              <w:rPr>
                <w:noProof/>
              </w:rPr>
              <w:t>(</w:t>
            </w:r>
            <w:r>
              <w:rPr>
                <w:rStyle w:val="Codeattribute"/>
              </w:rPr>
              <w:t>@place</w:t>
            </w:r>
            <w:r>
              <w:rPr>
                <w:rStyle w:val="Code"/>
              </w:rPr>
              <w:t>=</w:t>
            </w:r>
            <w:r>
              <w:rPr>
                <w:rStyle w:val="Codevalue"/>
              </w:rPr>
              <w:t>"overstrike"</w:t>
            </w:r>
            <w:r>
              <w:t xml:space="preserve"> on </w:t>
            </w:r>
            <w:r>
              <w:rPr>
                <w:rStyle w:val="Code"/>
              </w:rPr>
              <w:t>&lt;add&gt;</w:t>
            </w:r>
            <w:r>
              <w:t>)</w:t>
            </w:r>
          </w:p>
          <w:p w14:paraId="3229E346" w14:textId="77777777">
            <w:pPr>
              <w:pStyle w:val="TableNote"/>
              <w:rPr>
                <w:rStyle w:val="Code"/>
              </w:rPr>
            </w:pPr>
            <w:r>
              <w:t xml:space="preserve">that a scribal mark is present </w:t>
            </w:r>
            <w:r>
              <w:rPr>
                <w:noProof/>
              </w:rPr>
              <w:t>(</w:t>
            </w:r>
            <w:r>
              <w:rPr>
                <w:rStyle w:val="Codeattribute"/>
              </w:rPr>
              <w:t>@rend</w:t>
            </w:r>
            <w:r>
              <w:rPr>
                <w:rStyle w:val="Code"/>
              </w:rPr>
              <w:t>=</w:t>
            </w:r>
            <w:r>
              <w:rPr>
                <w:rStyle w:val="Codevalue"/>
              </w:rPr>
              <w:t>"mark"</w:t>
            </w:r>
            <w:r>
              <w:t xml:space="preserve"> on </w:t>
            </w:r>
            <w:r>
              <w:rPr>
                <w:rStyle w:val="Code"/>
              </w:rPr>
              <w:t>&lt;add&gt;</w:t>
            </w:r>
            <w:r>
              <w:t>)</w:t>
            </w:r>
          </w:p>
        </w:tc>
      </w:tr>
    </w:tbl>
    <w:p w14:paraId="5AAA5882" w14:textId="77777777">
      <w:pPr>
        <w:pStyle w:val="Cmsor3"/>
      </w:pPr>
      <w:bookmarkStart w:id="516" w:name="_Ref228890328"/>
      <w:bookmarkStart w:id="517" w:name="_Toc243900311"/>
      <w:r>
        <w:t>Good practice in encoding scribal intervention</w:t>
      </w:r>
      <w:bookmarkEnd w:id="516"/>
      <w:bookmarkEnd w:id="517"/>
    </w:p>
    <w:p w14:paraId="541259E1" w14:textId="77777777">
      <w:r>
        <w:t>Since the units to which all our encoding applies are the source graphemes (for which see also §</w:t>
      </w:r>
      <w:r>
        <w:fldChar w:fldCharType="begin"/>
      </w:r>
      <w:r>
        <w:instrText xml:space="preserve"> REF _Ref227844670 \r \h </w:instrText>
      </w:r>
      <w:r>
        <w:fldChar w:fldCharType="separate"/>
      </w:r>
      <w:r>
        <w:t>16.3</w:t>
      </w:r>
      <w:r>
        <w:fldChar w:fldCharType="end"/>
      </w:r>
      <w:r>
        <w:t xml:space="preserve">), scribal intervention can only be, and must always be, represented in our editions in terms of graphemes, and not in terms of </w:t>
      </w:r>
      <w:r>
        <w:rPr>
          <w:rStyle w:val="Foreign"/>
        </w:rPr>
        <w:t>akṣara</w:t>
      </w:r>
      <w:r>
        <w:rPr>
          <w:rStyle w:val="Foreign"/>
          <w:i w:val="0"/>
          <w:iCs w:val="0"/>
        </w:rPr>
        <w:t>s</w:t>
      </w:r>
      <w:r>
        <w:t>, graphs, elements or any other unit. This has the following important implications.</w:t>
      </w:r>
    </w:p>
    <w:p w14:paraId="5F0EE0BB" w14:textId="77777777">
      <w:pPr>
        <w:pStyle w:val="Lista"/>
      </w:pPr>
      <w:r>
        <w:t xml:space="preserve">scribal intervention </w:t>
      </w:r>
      <w:r>
        <w:rPr>
          <w:i/>
          <w:iCs/>
        </w:rPr>
        <w:t>can</w:t>
      </w:r>
      <w:r>
        <w:t xml:space="preserve"> apply to a unit smaller than the </w:t>
      </w:r>
      <w:r>
        <w:rPr>
          <w:rStyle w:val="Foreign"/>
        </w:rPr>
        <w:t>akṣara</w:t>
      </w:r>
      <w:r>
        <w:t xml:space="preserve">, so if one or more component graphs of a complex glyph have been changed by the scribe, this is to be encoded as a specific change of the corresponding graphemes, and not as a correction of the entire </w:t>
      </w:r>
      <w:r>
        <w:rPr>
          <w:rStyle w:val="Foreign"/>
        </w:rPr>
        <w:t>akṣara</w:t>
      </w:r>
      <w:r>
        <w:t xml:space="preserve"> (as it would usually be shown in an edition printed in an Indic script), for example</w:t>
      </w:r>
    </w:p>
    <w:p w14:paraId="58D05786" w14:textId="77777777">
      <w:pPr>
        <w:pStyle w:val="Lista3"/>
      </w:pPr>
      <w:r>
        <w:t xml:space="preserve">in deletion, </w:t>
      </w:r>
      <w:r>
        <w:rPr>
          <w:rStyle w:val="Codetext"/>
        </w:rPr>
        <w:t>ś</w:t>
      </w:r>
      <w:r>
        <w:rPr>
          <w:rStyle w:val="Code"/>
        </w:rPr>
        <w:t>&lt;del&gt;</w:t>
      </w:r>
      <w:r>
        <w:rPr>
          <w:rStyle w:val="Codetext"/>
        </w:rPr>
        <w:t>r</w:t>
      </w:r>
      <w:r>
        <w:rPr>
          <w:rStyle w:val="Code"/>
        </w:rPr>
        <w:t>&lt;/del&gt;</w:t>
      </w:r>
      <w:r>
        <w:rPr>
          <w:rStyle w:val="Codetext"/>
        </w:rPr>
        <w:t>āpa</w:t>
      </w:r>
    </w:p>
    <w:p w14:paraId="4BBA979B" w14:textId="77777777">
      <w:pPr>
        <w:pStyle w:val="Lista4"/>
      </w:pPr>
      <w:r>
        <w:rPr>
          <w:b/>
          <w:bCs/>
        </w:rPr>
        <w:t>not</w:t>
      </w:r>
      <w:r>
        <w:t xml:space="preserve"> </w:t>
      </w:r>
      <w:r>
        <w:rPr>
          <w:rStyle w:val="Code"/>
        </w:rPr>
        <w:t>&lt;subst&gt;&lt;del&gt;</w:t>
      </w:r>
      <w:r>
        <w:rPr>
          <w:rStyle w:val="Codetext"/>
        </w:rPr>
        <w:t>śrā</w:t>
      </w:r>
      <w:r>
        <w:rPr>
          <w:rStyle w:val="Code"/>
        </w:rPr>
        <w:t>&lt;/del&gt;&lt;add&gt;</w:t>
      </w:r>
      <w:r>
        <w:rPr>
          <w:rStyle w:val="Codetext"/>
        </w:rPr>
        <w:t>śā</w:t>
      </w:r>
      <w:r>
        <w:rPr>
          <w:rStyle w:val="Code"/>
        </w:rPr>
        <w:t>&lt;/add&gt;&lt;/subst&gt;</w:t>
      </w:r>
      <w:r>
        <w:rPr>
          <w:rStyle w:val="Codetext"/>
        </w:rPr>
        <w:t>pa</w:t>
      </w:r>
    </w:p>
    <w:p w14:paraId="5056ECAD" w14:textId="77777777">
      <w:pPr>
        <w:pStyle w:val="Lista3"/>
        <w:rPr>
          <w:rStyle w:val="Codetext"/>
          <w:rFonts w:ascii="Gentium" w:hAnsi="Gentium" w:cs="Tiro Devanagari Sanskrit"/>
          <w:noProof w:val="0"/>
          <w:color w:val="auto"/>
          <w:shd w:val="clear" w:color="auto" w:fill="auto"/>
        </w:rPr>
      </w:pPr>
      <w:r>
        <w:t xml:space="preserve">in addition, </w:t>
      </w:r>
      <w:r>
        <w:rPr>
          <w:rStyle w:val="Codetext"/>
        </w:rPr>
        <w:t>tārkṣ</w:t>
      </w:r>
      <w:r>
        <w:rPr>
          <w:rStyle w:val="Code"/>
        </w:rPr>
        <w:t>&lt;add&gt;</w:t>
      </w:r>
      <w:r>
        <w:rPr>
          <w:rStyle w:val="Codetext"/>
        </w:rPr>
        <w:t>y</w:t>
      </w:r>
      <w:r>
        <w:rPr>
          <w:rStyle w:val="Code"/>
        </w:rPr>
        <w:t>&lt;/add&gt;</w:t>
      </w:r>
      <w:r>
        <w:rPr>
          <w:rStyle w:val="Codetext"/>
        </w:rPr>
        <w:t>a</w:t>
      </w:r>
    </w:p>
    <w:p w14:paraId="31C27ABF"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tā</w:t>
      </w:r>
      <w:r>
        <w:rPr>
          <w:rStyle w:val="Code"/>
        </w:rPr>
        <w:t>&lt;subst&gt;&lt;del&gt;</w:t>
      </w:r>
      <w:r>
        <w:rPr>
          <w:rStyle w:val="Codetext"/>
        </w:rPr>
        <w:t>rkṣa</w:t>
      </w:r>
      <w:r>
        <w:rPr>
          <w:rStyle w:val="Code"/>
        </w:rPr>
        <w:t>&lt;/del&gt;&lt;add&gt;</w:t>
      </w:r>
      <w:r>
        <w:rPr>
          <w:rStyle w:val="Codetext"/>
        </w:rPr>
        <w:t>rkṣya</w:t>
      </w:r>
      <w:r>
        <w:rPr>
          <w:rStyle w:val="Code"/>
        </w:rPr>
        <w:t>&lt;/add&gt;&lt;/subst&gt;</w:t>
      </w:r>
    </w:p>
    <w:p w14:paraId="0CEBB952" w14:textId="77777777">
      <w:pPr>
        <w:pStyle w:val="Lista3"/>
        <w:rPr>
          <w:rStyle w:val="Codetext"/>
          <w:rFonts w:ascii="Gentium" w:hAnsi="Gentium" w:cs="Tiro Devanagari Sanskrit"/>
          <w:noProof w:val="0"/>
          <w:color w:val="auto"/>
          <w:shd w:val="clear" w:color="auto" w:fill="auto"/>
        </w:rPr>
      </w:pPr>
      <w:r>
        <w:t xml:space="preserve">in correction, </w:t>
      </w:r>
      <w:r>
        <w:rPr>
          <w:rStyle w:val="Codetext"/>
        </w:rPr>
        <w:t>pa</w:t>
      </w:r>
      <w:r>
        <w:rPr>
          <w:rStyle w:val="Code"/>
        </w:rPr>
        <w:t>&lt;subst&gt;&lt;del&gt;</w:t>
      </w:r>
      <w:r>
        <w:rPr>
          <w:rStyle w:val="Codetext"/>
        </w:rPr>
        <w:t>t</w:t>
      </w:r>
      <w:r>
        <w:rPr>
          <w:rStyle w:val="Code"/>
        </w:rPr>
        <w:t>&lt;/del&gt;&lt;add&gt;</w:t>
      </w:r>
      <w:r>
        <w:rPr>
          <w:rStyle w:val="Codetext"/>
        </w:rPr>
        <w:t>d</w:t>
      </w:r>
      <w:r>
        <w:rPr>
          <w:rStyle w:val="Code"/>
        </w:rPr>
        <w:t>&lt;/add&gt;&lt;/subst&gt;</w:t>
      </w:r>
      <w:r>
        <w:rPr>
          <w:rStyle w:val="Codetext"/>
        </w:rPr>
        <w:t>ma</w:t>
      </w:r>
    </w:p>
    <w:p w14:paraId="4A3140A7"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pa</w:t>
      </w:r>
      <w:r>
        <w:rPr>
          <w:rStyle w:val="Code"/>
        </w:rPr>
        <w:t>&lt;subst&gt;&lt;del&gt;</w:t>
      </w:r>
      <w:r>
        <w:rPr>
          <w:rStyle w:val="Codetext"/>
        </w:rPr>
        <w:t>tma</w:t>
      </w:r>
      <w:r>
        <w:rPr>
          <w:rStyle w:val="Code"/>
        </w:rPr>
        <w:t>&lt;/del&gt;&lt;add&gt;</w:t>
      </w:r>
      <w:r>
        <w:rPr>
          <w:rStyle w:val="Codetext"/>
        </w:rPr>
        <w:t>dma</w:t>
      </w:r>
      <w:r>
        <w:rPr>
          <w:rStyle w:val="Code"/>
        </w:rPr>
        <w:t>&lt;/add&gt;&lt;/subst&gt;</w:t>
      </w:r>
    </w:p>
    <w:p w14:paraId="5E8A138B" w14:textId="77777777">
      <w:pPr>
        <w:pStyle w:val="Lista2"/>
      </w:pPr>
      <w:r>
        <w:lastRenderedPageBreak/>
        <w:t xml:space="preserve">note that these examples show no attributes on </w:t>
      </w:r>
      <w:r>
        <w:rPr>
          <w:rStyle w:val="Code"/>
        </w:rPr>
        <w:t>&lt;del&gt;</w:t>
      </w:r>
      <w:r>
        <w:t xml:space="preserve"> and </w:t>
      </w:r>
      <w:r>
        <w:rPr>
          <w:rStyle w:val="Code"/>
        </w:rPr>
        <w:t>&lt;add&gt;</w:t>
      </w:r>
      <w:r>
        <w:t>, because they illustrate hypothetical scenarios that may be implemented differently in the source, but the encoding of actual instances of scribal intervention may require the use of attributes as per §</w:t>
      </w:r>
      <w:r>
        <w:fldChar w:fldCharType="begin"/>
      </w:r>
      <w:r>
        <w:instrText xml:space="preserve"> REF _Ref227846179 \r \h </w:instrText>
      </w:r>
      <w:r>
        <w:fldChar w:fldCharType="separate"/>
      </w:r>
      <w:r>
        <w:t>5.5.1.1</w:t>
      </w:r>
      <w:r>
        <w:fldChar w:fldCharType="end"/>
      </w:r>
      <w:r>
        <w:t xml:space="preserve"> and §</w:t>
      </w:r>
      <w:r>
        <w:fldChar w:fldCharType="begin"/>
      </w:r>
      <w:r>
        <w:instrText xml:space="preserve"> REF _Ref227848664 \r \h </w:instrText>
      </w:r>
      <w:r>
        <w:fldChar w:fldCharType="separate"/>
      </w:r>
      <w:r>
        <w:t>5.5.2.1</w:t>
      </w:r>
      <w:r>
        <w:fldChar w:fldCharType="end"/>
      </w:r>
    </w:p>
    <w:p w14:paraId="721CA345" w14:textId="77777777">
      <w:pPr>
        <w:pStyle w:val="Lista"/>
      </w:pPr>
      <w:r>
        <w:t xml:space="preserve">scribal intervention </w:t>
      </w:r>
      <w:r>
        <w:rPr>
          <w:i/>
          <w:iCs/>
        </w:rPr>
        <w:t>cannot</w:t>
      </w:r>
      <w:r>
        <w:t xml:space="preserve"> apply to a unit smaller than the grapheme, so the deletion (or, when this can be discerned, the addition) of a graphic element cannot be encoded as such; instead,</w:t>
      </w:r>
    </w:p>
    <w:p w14:paraId="4FB07DDC" w14:textId="77777777">
      <w:pPr>
        <w:pStyle w:val="Lista2"/>
      </w:pPr>
      <w:r>
        <w:t>the scribal alteration of a non-distinctive element (such as an ornamental curlicue or a superfluous stroke) can be annotated if desired, but not represented in markup</w:t>
      </w:r>
    </w:p>
    <w:p w14:paraId="40D93B10" w14:textId="77777777">
      <w:pPr>
        <w:pStyle w:val="Lista2"/>
      </w:pPr>
      <w:r>
        <w:t>the deletion (or addition) of a distinctive element must be encoded as correction of one grapheme to another, for example</w:t>
      </w:r>
    </w:p>
    <w:p w14:paraId="68BB9BFE" w14:textId="77777777">
      <w:pPr>
        <w:pStyle w:val="Lista3"/>
      </w:pPr>
      <w:r>
        <w:t xml:space="preserve">in a script where </w:t>
      </w:r>
      <w:r>
        <w:rPr>
          <w:rStyle w:val="Foreign"/>
        </w:rPr>
        <w:t>śa</w:t>
      </w:r>
      <w:r>
        <w:t xml:space="preserve"> differs from </w:t>
      </w:r>
      <w:r>
        <w:rPr>
          <w:rStyle w:val="Foreign"/>
        </w:rPr>
        <w:t>ga</w:t>
      </w:r>
      <w:r>
        <w:t xml:space="preserve"> only in that the former has a cross-stroke, and the scribe erroneously engraved </w:t>
      </w:r>
      <w:r>
        <w:rPr>
          <w:rStyle w:val="Foreign"/>
        </w:rPr>
        <w:t>śuṇa</w:t>
      </w:r>
      <w:r>
        <w:t xml:space="preserve"> instead of </w:t>
      </w:r>
      <w:r>
        <w:rPr>
          <w:rStyle w:val="Foreign"/>
        </w:rPr>
        <w:t>guṇa</w:t>
      </w:r>
      <w:r>
        <w:t xml:space="preserve">, then corrected this by erasing the cross-stroke, this is a correction of </w:t>
      </w:r>
      <w:r>
        <w:rPr>
          <w:rStyle w:val="Foreign"/>
        </w:rPr>
        <w:t>ś</w:t>
      </w:r>
      <w:r>
        <w:t xml:space="preserve"> to </w:t>
      </w:r>
      <w:r>
        <w:rPr>
          <w:rStyle w:val="Foreign"/>
        </w:rPr>
        <w:t>g</w:t>
      </w:r>
      <w:r>
        <w:t xml:space="preserve">: </w:t>
      </w:r>
      <w:r>
        <w:rPr>
          <w:rStyle w:val="Code"/>
        </w:rPr>
        <w:t>&lt;subst&gt;&lt;del</w:t>
      </w:r>
      <w:r>
        <w:rPr>
          <w:rStyle w:val="Codeattribute"/>
        </w:rPr>
        <w:t xml:space="preserve"> rend=</w:t>
      </w:r>
      <w:r>
        <w:rPr>
          <w:rStyle w:val="Codevalue"/>
        </w:rPr>
        <w:t>"corrected"</w:t>
      </w:r>
      <w:r>
        <w:rPr>
          <w:rStyle w:val="Code"/>
        </w:rPr>
        <w:t>&gt;</w:t>
      </w:r>
      <w:r>
        <w:rPr>
          <w:rStyle w:val="Codetext"/>
        </w:rPr>
        <w:t>ś</w:t>
      </w:r>
      <w:r>
        <w:rPr>
          <w:rStyle w:val="Code"/>
        </w:rPr>
        <w:t xml:space="preserve">&lt;/del&gt;&lt;add </w:t>
      </w:r>
      <w:r>
        <w:rPr>
          <w:rStyle w:val="Codeattribute"/>
        </w:rPr>
        <w:t>place=</w:t>
      </w:r>
      <w:r>
        <w:rPr>
          <w:rStyle w:val="Codevalue"/>
        </w:rPr>
        <w:t>"overstrike"</w:t>
      </w:r>
      <w:r>
        <w:rPr>
          <w:rStyle w:val="Code"/>
        </w:rPr>
        <w:t>&gt;</w:t>
      </w:r>
      <w:r>
        <w:rPr>
          <w:rStyle w:val="Codetext"/>
        </w:rPr>
        <w:t>g</w:t>
      </w:r>
      <w:r>
        <w:rPr>
          <w:rStyle w:val="Code"/>
        </w:rPr>
        <w:t>&lt;/add&gt;&lt;/choice&gt;</w:t>
      </w:r>
      <w:r>
        <w:rPr>
          <w:rStyle w:val="Codetext"/>
        </w:rPr>
        <w:t>u</w:t>
      </w:r>
      <w:r>
        <w:rPr>
          <w:rStyle w:val="Code"/>
        </w:rPr>
        <w:t>ṇ</w:t>
      </w:r>
      <w:r>
        <w:rPr>
          <w:rStyle w:val="Codetext"/>
        </w:rPr>
        <w:t>a</w:t>
      </w:r>
    </w:p>
    <w:p w14:paraId="005C4E8C" w14:textId="77777777">
      <w:pPr>
        <w:pStyle w:val="Lista4"/>
      </w:pPr>
      <w:r>
        <w:t xml:space="preserve">although the scribe actually erased the cross-stroke, on the level of graphemes the </w:t>
      </w:r>
      <w:r>
        <w:rPr>
          <w:rStyle w:val="Foreign"/>
        </w:rPr>
        <w:t>ś</w:t>
      </w:r>
      <w:r>
        <w:t xml:space="preserve"> itself was not physically deleted (hence </w:t>
      </w:r>
      <w:r>
        <w:rPr>
          <w:rStyle w:val="Codeattribute"/>
        </w:rPr>
        <w:t>@rend=</w:t>
      </w:r>
      <w:r>
        <w:rPr>
          <w:rStyle w:val="Codevalue"/>
        </w:rPr>
        <w:t>"corrected"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w:t>
      </w:r>
      <w:r>
        <w:rPr>
          <w:rStyle w:val="Foreign"/>
        </w:rPr>
        <w:t>g</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703DFA38" w14:textId="77777777">
      <w:pPr>
        <w:pStyle w:val="Lista"/>
      </w:pPr>
      <w:r>
        <w:t xml:space="preserve">due to the nature of aksharic writing, the deletion or addition of certain graphs (namely of a vowel marker or </w:t>
      </w:r>
      <w:r>
        <w:rPr>
          <w:rStyle w:val="Foreign"/>
        </w:rPr>
        <w:t>virāma</w:t>
      </w:r>
      <w:r>
        <w:t xml:space="preserve">) may result in the </w:t>
      </w:r>
      <w:r>
        <w:rPr>
          <w:i/>
          <w:iCs/>
        </w:rPr>
        <w:t>substitution</w:t>
      </w:r>
      <w:r>
        <w:t xml:space="preserve"> of one grapheme by another (viz. of the marked vowel or </w:t>
      </w:r>
      <w:r>
        <w:rPr>
          <w:rStyle w:val="Foreign"/>
        </w:rPr>
        <w:t>virāma</w:t>
      </w:r>
      <w:r>
        <w:t xml:space="preserve"> by the default vowel, or vice versa), which must be encoded as scribal correction rather than scribal deletion or addition, for example</w:t>
      </w:r>
    </w:p>
    <w:p w14:paraId="14B51A61" w14:textId="77777777">
      <w:pPr>
        <w:pStyle w:val="Lista2"/>
      </w:pPr>
      <w:r>
        <w:t xml:space="preserve">if the vowel marker </w:t>
      </w:r>
      <w:r>
        <w:rPr>
          <w:rStyle w:val="Foreign"/>
        </w:rPr>
        <w:t>u</w:t>
      </w:r>
      <w:r>
        <w:t xml:space="preserve"> is erased from the word </w:t>
      </w:r>
      <w:r>
        <w:rPr>
          <w:rStyle w:val="Foreign"/>
        </w:rPr>
        <w:t>jñātum</w:t>
      </w:r>
      <w:r>
        <w:t xml:space="preserve">, this changes the reading to </w:t>
      </w:r>
      <w:r>
        <w:rPr>
          <w:rStyle w:val="Foreign"/>
        </w:rPr>
        <w:t>jñātam</w:t>
      </w:r>
    </w:p>
    <w:p w14:paraId="02C1A99F" w14:textId="77777777">
      <w:pPr>
        <w:pStyle w:val="Lista3"/>
      </w:pPr>
      <w:r>
        <w:t xml:space="preserve">which must be encoded as  </w:t>
      </w:r>
      <w:r>
        <w:rPr>
          <w:rStyle w:val="Codetext"/>
        </w:rPr>
        <w:t>jñāt</w:t>
      </w:r>
      <w:r>
        <w:rPr>
          <w:rStyle w:val="Code"/>
        </w:rPr>
        <w:t>&lt;subst&gt;&lt;del&gt;</w:t>
      </w:r>
      <w:r>
        <w:rPr>
          <w:rStyle w:val="Codetext"/>
        </w:rPr>
        <w:t>u</w:t>
      </w:r>
      <w:r>
        <w:rPr>
          <w:rStyle w:val="Code"/>
        </w:rPr>
        <w:t xml:space="preserve">&lt;/del&gt;&lt;add </w:t>
      </w:r>
      <w:r>
        <w:rPr>
          <w:rStyle w:val="Codeattribute"/>
        </w:rPr>
        <w:t>place=</w:t>
      </w:r>
      <w:r>
        <w:rPr>
          <w:rStyle w:val="Codevalue"/>
        </w:rPr>
        <w:t>"overstrike"</w:t>
      </w:r>
      <w:r>
        <w:rPr>
          <w:rStyle w:val="Code"/>
        </w:rPr>
        <w:t>&gt;</w:t>
      </w:r>
      <w:r>
        <w:rPr>
          <w:rStyle w:val="Codetext"/>
        </w:rPr>
        <w:t>a</w:t>
      </w:r>
      <w:r>
        <w:rPr>
          <w:rStyle w:val="Code"/>
        </w:rPr>
        <w:t>&lt;/add&gt;&lt;/subst&gt;</w:t>
      </w:r>
      <w:r>
        <w:rPr>
          <w:rStyle w:val="Codetext"/>
        </w:rPr>
        <w:t>m</w:t>
      </w:r>
    </w:p>
    <w:p w14:paraId="5A94FCF2" w14:textId="77777777">
      <w:pPr>
        <w:pStyle w:val="Lista4"/>
      </w:pPr>
      <w:r>
        <w:rPr>
          <w:b/>
          <w:bCs/>
        </w:rPr>
        <w:t>not</w:t>
      </w:r>
      <w:r>
        <w:t xml:space="preserve"> </w:t>
      </w:r>
      <w:r>
        <w:rPr>
          <w:rStyle w:val="Codetext"/>
        </w:rPr>
        <w:t>jñāt</w:t>
      </w:r>
      <w:r>
        <w:rPr>
          <w:rStyle w:val="Code"/>
        </w:rPr>
        <w:t>&lt;del&gt;</w:t>
      </w:r>
      <w:r>
        <w:rPr>
          <w:rStyle w:val="Codetext"/>
        </w:rPr>
        <w:t>u</w:t>
      </w:r>
      <w:r>
        <w:rPr>
          <w:rStyle w:val="Code"/>
        </w:rPr>
        <w:t>&lt;/del&gt;</w:t>
      </w:r>
      <w:r>
        <w:rPr>
          <w:rStyle w:val="Codetext"/>
        </w:rPr>
        <w:t>m</w:t>
      </w:r>
      <w:r>
        <w:t xml:space="preserve"> (which would mean that the post-correction reading is </w:t>
      </w:r>
      <w:r>
        <w:rPr>
          <w:rStyle w:val="Foreign"/>
        </w:rPr>
        <w:t>jñātm</w:t>
      </w:r>
      <w:r>
        <w:t>)</w:t>
      </w:r>
    </w:p>
    <w:p w14:paraId="20B8B4FF" w14:textId="77777777">
      <w:pPr>
        <w:pStyle w:val="Lista4"/>
      </w:pPr>
      <w:r>
        <w:t xml:space="preserve">even though the scribe did not actually add anything, on the level of graphemes the </w:t>
      </w:r>
      <w:r>
        <w:rPr>
          <w:rStyle w:val="Foreign"/>
        </w:rPr>
        <w:t>u</w:t>
      </w:r>
      <w:r>
        <w:t xml:space="preserve"> was physically deleted (hence no </w:t>
      </w:r>
      <w:r>
        <w:rPr>
          <w:rStyle w:val="Codeattribute"/>
        </w:rPr>
        <w:t>@rend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grapheme </w:t>
      </w:r>
      <w:r>
        <w:rPr>
          <w:rStyle w:val="Foreign"/>
        </w:rPr>
        <w:t>a</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69046663" w14:textId="77777777">
      <w:pPr>
        <w:pStyle w:val="Lista3"/>
      </w:pPr>
      <w:r>
        <w:t xml:space="preserve">see </w:t>
      </w:r>
      <w:r>
        <w:fldChar w:fldCharType="begin"/>
      </w:r>
      <w:r>
        <w:instrText xml:space="preserve"> REF _Ref44078634 \h  \* MERGEFORMAT </w:instrText>
      </w:r>
      <w:r>
        <w:fldChar w:fldCharType="separate"/>
      </w:r>
      <w:r>
        <w:t xml:space="preserve">Exhibit </w:t>
      </w:r>
      <w:r>
        <w:rPr>
          <w:noProof/>
        </w:rPr>
        <w:t>5.5.G</w:t>
      </w:r>
      <w:r>
        <w:fldChar w:fldCharType="end"/>
      </w:r>
      <w:r>
        <w:t xml:space="preserve"> for a fully encoded example of such deletion</w:t>
      </w:r>
    </w:p>
    <w:p w14:paraId="68D8D64E" w14:textId="77777777">
      <w:pPr>
        <w:pStyle w:val="Lista2"/>
        <w:rPr>
          <w:rStyle w:val="Foreign"/>
          <w:i w:val="0"/>
          <w:iCs w:val="0"/>
          <w:noProof w:val="0"/>
        </w:rPr>
      </w:pPr>
      <w:r>
        <w:t xml:space="preserve">if the vowel marker </w:t>
      </w:r>
      <w:r>
        <w:rPr>
          <w:rStyle w:val="Foreign"/>
        </w:rPr>
        <w:t>ā</w:t>
      </w:r>
      <w:r>
        <w:t xml:space="preserve"> is added to the second </w:t>
      </w:r>
      <w:r>
        <w:rPr>
          <w:rStyle w:val="Foreign"/>
        </w:rPr>
        <w:t>akṣara</w:t>
      </w:r>
      <w:r>
        <w:t xml:space="preserve"> of the word </w:t>
      </w:r>
      <w:r>
        <w:rPr>
          <w:rStyle w:val="Foreign"/>
        </w:rPr>
        <w:t>putraḥ</w:t>
      </w:r>
      <w:r>
        <w:t xml:space="preserve">, this changes the reading to </w:t>
      </w:r>
      <w:r>
        <w:rPr>
          <w:rStyle w:val="Foreign"/>
        </w:rPr>
        <w:t>putrāḥ</w:t>
      </w:r>
    </w:p>
    <w:p w14:paraId="61A24F37" w14:textId="77777777">
      <w:pPr>
        <w:pStyle w:val="Lista3"/>
      </w:pPr>
      <w:r>
        <w:t xml:space="preserve">which must be encoded as  </w:t>
      </w:r>
      <w:r>
        <w:rPr>
          <w:rStyle w:val="Codetext"/>
        </w:rPr>
        <w:t>putr</w:t>
      </w:r>
      <w:r>
        <w:rPr>
          <w:rStyle w:val="Code"/>
        </w:rPr>
        <w:t xml:space="preserve">&lt;subst&gt;&lt;del </w:t>
      </w:r>
      <w:r>
        <w:rPr>
          <w:rStyle w:val="Codeattribute"/>
        </w:rPr>
        <w:t>rend=</w:t>
      </w:r>
      <w:r>
        <w:rPr>
          <w:rStyle w:val="Codevalue"/>
        </w:rPr>
        <w:t>"corrected"</w:t>
      </w:r>
      <w:r>
        <w:rPr>
          <w:rStyle w:val="Code"/>
        </w:rPr>
        <w:t xml:space="preserve">&gt;a&lt;/del&gt;&lt;add </w:t>
      </w:r>
      <w:r>
        <w:rPr>
          <w:rStyle w:val="Codeattribute"/>
        </w:rPr>
        <w:t>place=</w:t>
      </w:r>
      <w:r>
        <w:rPr>
          <w:rStyle w:val="Codevalue"/>
        </w:rPr>
        <w:t>"overstrike"</w:t>
      </w:r>
      <w:r>
        <w:rPr>
          <w:rStyle w:val="Code"/>
        </w:rPr>
        <w:t>&gt;</w:t>
      </w:r>
      <w:r>
        <w:rPr>
          <w:rStyle w:val="Codetext"/>
        </w:rPr>
        <w:t>ā</w:t>
      </w:r>
      <w:r>
        <w:rPr>
          <w:rStyle w:val="Code"/>
        </w:rPr>
        <w:t>&lt;/add&gt;&lt;/subst&gt;</w:t>
      </w:r>
      <w:r>
        <w:rPr>
          <w:rStyle w:val="Codetext"/>
        </w:rPr>
        <w:t>ḥ</w:t>
      </w:r>
    </w:p>
    <w:p w14:paraId="2AC5EBDD" w14:textId="77777777">
      <w:pPr>
        <w:pStyle w:val="Lista4"/>
      </w:pPr>
      <w:r>
        <w:rPr>
          <w:b/>
          <w:bCs/>
        </w:rPr>
        <w:t>not</w:t>
      </w:r>
      <w:r>
        <w:t xml:space="preserve"> </w:t>
      </w:r>
      <w:r>
        <w:rPr>
          <w:rStyle w:val="Codetext"/>
        </w:rPr>
        <w:t>putr</w:t>
      </w:r>
      <w:r>
        <w:rPr>
          <w:rStyle w:val="Code"/>
        </w:rPr>
        <w:t>&lt;add&gt;</w:t>
      </w:r>
      <w:r>
        <w:rPr>
          <w:rStyle w:val="Codetext"/>
        </w:rPr>
        <w:t>ā</w:t>
      </w:r>
      <w:r>
        <w:rPr>
          <w:rStyle w:val="Code"/>
        </w:rPr>
        <w:t>&lt;/add&gt;</w:t>
      </w:r>
      <w:r>
        <w:rPr>
          <w:rStyle w:val="Codetext"/>
        </w:rPr>
        <w:t>ḥ</w:t>
      </w:r>
      <w:r>
        <w:t xml:space="preserve"> (which would mean that the pre-correction reading is </w:t>
      </w:r>
      <w:r>
        <w:rPr>
          <w:rStyle w:val="Foreign"/>
        </w:rPr>
        <w:t>putrḥ</w:t>
      </w:r>
      <w:r>
        <w:t>)</w:t>
      </w:r>
    </w:p>
    <w:p w14:paraId="05F652EF" w14:textId="77777777">
      <w:pPr>
        <w:pStyle w:val="Lista4"/>
        <w:rPr>
          <w:lang w:eastAsia="en-US" w:bidi="ar-SA"/>
        </w:rPr>
      </w:pPr>
      <w:r>
        <w:t xml:space="preserve">even though the scribe did not actually delete anything, on the level of graphemes the </w:t>
      </w:r>
      <w:r>
        <w:rPr>
          <w:rStyle w:val="Foreign"/>
        </w:rPr>
        <w:t>a</w:t>
      </w:r>
      <w:r>
        <w:t xml:space="preserve"> was cancelled without physical deletion (hence </w:t>
      </w:r>
      <w:r>
        <w:rPr>
          <w:rStyle w:val="Codeattribute"/>
        </w:rPr>
        <w:t>@rend=</w:t>
      </w:r>
      <w:r>
        <w:rPr>
          <w:rStyle w:val="Codevalue"/>
        </w:rPr>
        <w:t>"corrected"</w:t>
      </w:r>
      <w:r>
        <w:t xml:space="preserve"> on the </w:t>
      </w:r>
      <w:r>
        <w:rPr>
          <w:rStyle w:val="Code"/>
        </w:rPr>
        <w:t>&lt;del&gt;</w:t>
      </w:r>
      <w:r>
        <w:t xml:space="preserve"> element, §</w:t>
      </w:r>
      <w:r>
        <w:fldChar w:fldCharType="begin"/>
      </w:r>
      <w:r>
        <w:instrText xml:space="preserve"> REF _Ref227846179 \r \h </w:instrText>
      </w:r>
      <w:r>
        <w:fldChar w:fldCharType="separate"/>
      </w:r>
      <w:r>
        <w:t>5.5.1.1</w:t>
      </w:r>
      <w:r>
        <w:fldChar w:fldCharType="end"/>
      </w:r>
      <w:r>
        <w:t xml:space="preserve">), while the </w:t>
      </w:r>
      <w:r>
        <w:rPr>
          <w:rStyle w:val="Foreign"/>
        </w:rPr>
        <w:t>ā</w:t>
      </w:r>
      <w:r>
        <w:t xml:space="preserve"> was created in the same place (hence </w:t>
      </w:r>
      <w:r>
        <w:rPr>
          <w:rStyle w:val="Codeattribute"/>
        </w:rPr>
        <w:t>@place=</w:t>
      </w:r>
      <w:r>
        <w:rPr>
          <w:rStyle w:val="Codevalue"/>
        </w:rPr>
        <w:t>"overstrike"</w:t>
      </w:r>
      <w:r>
        <w:t xml:space="preserve"> on the </w:t>
      </w:r>
      <w:r>
        <w:rPr>
          <w:rStyle w:val="Code"/>
        </w:rPr>
        <w:t>&lt;add&gt;</w:t>
      </w:r>
      <w:r>
        <w:t xml:space="preserve"> element, §</w:t>
      </w:r>
      <w:r>
        <w:fldChar w:fldCharType="begin"/>
      </w:r>
      <w:r>
        <w:instrText xml:space="preserve"> REF _Ref227848664 \r \h </w:instrText>
      </w:r>
      <w:r>
        <w:fldChar w:fldCharType="separate"/>
      </w:r>
      <w:r>
        <w:t>5.5.2.1</w:t>
      </w:r>
      <w:r>
        <w:fldChar w:fldCharType="end"/>
      </w:r>
      <w:r>
        <w:t>)</w:t>
      </w:r>
    </w:p>
    <w:p w14:paraId="55D83F8A" w14:textId="77777777">
      <w:pPr>
        <w:pStyle w:val="Cmsor1"/>
      </w:pPr>
      <w:bookmarkStart w:id="518" w:name="_zf8yqisjzwlq" w:colFirst="0" w:colLast="0"/>
      <w:bookmarkStart w:id="519" w:name="_Ref231895504"/>
      <w:bookmarkStart w:id="520" w:name="_Toc243900312"/>
      <w:bookmarkEnd w:id="518"/>
      <w:r>
        <w:lastRenderedPageBreak/>
        <w:t>Legibility issues</w:t>
      </w:r>
      <w:bookmarkEnd w:id="519"/>
      <w:bookmarkEnd w:id="520"/>
    </w:p>
    <w:p w14:paraId="640A6B1F" w14:textId="77777777">
      <w:pPr>
        <w:pStyle w:val="Cmsor2"/>
      </w:pPr>
      <w:bookmarkStart w:id="521" w:name="_z6ifhw1ovfh2" w:colFirst="0" w:colLast="0"/>
      <w:bookmarkStart w:id="522" w:name="_Ref228196345"/>
      <w:bookmarkStart w:id="523" w:name="_Toc243900313"/>
      <w:bookmarkEnd w:id="521"/>
      <w:r>
        <w:t>Representing legibility issues in TEI/EpiDoc</w:t>
      </w:r>
      <w:bookmarkEnd w:id="522"/>
      <w:bookmarkEnd w:id="523"/>
    </w:p>
    <w:p w14:paraId="7EBC63DE" w14:textId="77777777">
      <w:r>
        <w:t xml:space="preserve">This section is concerned with the encoding of text which is present in the source document, or was presumably present when the source was in a pristine state, but which cannot be read with complete confidence today. Encoding what </w:t>
      </w:r>
      <w:r>
        <w:rPr>
          <w:i/>
          <w:iCs/>
        </w:rPr>
        <w:t>should</w:t>
      </w:r>
      <w:r>
        <w:t xml:space="preserve"> have been there but is (and was) not, i.e. editorial intervention, is the subject of §</w:t>
      </w:r>
      <w:r>
        <w:fldChar w:fldCharType="begin"/>
      </w:r>
      <w:r>
        <w:instrText xml:space="preserve"> REF _Ref181694670 \r \h </w:instrText>
      </w:r>
      <w:r>
        <w:fldChar w:fldCharType="separate"/>
      </w:r>
      <w:r>
        <w:t>7</w:t>
      </w:r>
      <w:r>
        <w:fldChar w:fldCharType="end"/>
      </w:r>
      <w:r>
        <w:t>. The textual loci affected by a legibility issue are tagged with phrase-level elements (§</w:t>
      </w:r>
      <w:r>
        <w:fldChar w:fldCharType="begin"/>
      </w:r>
      <w:r>
        <w:instrText xml:space="preserve"> REF _Ref224893557 \r \h </w:instrText>
      </w:r>
      <w:r>
        <w:fldChar w:fldCharType="separate"/>
      </w:r>
      <w:r>
        <w:t>2.2.2</w:t>
      </w:r>
      <w:r>
        <w:fldChar w:fldCharType="end"/>
      </w:r>
      <w:r>
        <w:t>), which are hierarchically subordinate to the block-level containers for prose and verse, therefore any continuous stretch of problematic reading that extends across a block-level boundary must be encoded with two separate phrase-level elements, one in each of the containers. Encoding hierarchy is discussed further in §</w:t>
      </w:r>
      <w:r>
        <w:fldChar w:fldCharType="begin"/>
      </w:r>
      <w:r>
        <w:instrText xml:space="preserve"> REF _Ref43978660 \r \h </w:instrText>
      </w:r>
      <w:r>
        <w:fldChar w:fldCharType="separate"/>
      </w:r>
      <w:r>
        <w:t>16.2</w:t>
      </w:r>
      <w:r>
        <w:fldChar w:fldCharType="end"/>
      </w:r>
      <w:r>
        <w:t xml:space="preserve">. </w:t>
      </w:r>
    </w:p>
    <w:p w14:paraId="4BC77AF2" w14:textId="75493A9F">
      <w:pPr>
        <w:pStyle w:val="Normlbehzs"/>
      </w:pPr>
      <w:r>
        <w:t xml:space="preserve">The TEI elements relevant to the source’s legibility are </w:t>
      </w:r>
      <w:r>
        <w:rPr>
          <w:rStyle w:val="Code"/>
        </w:rPr>
        <w:t>&lt;damage&gt;</w:t>
      </w:r>
      <w:r>
        <w:t xml:space="preserve">, </w:t>
      </w:r>
      <w:r>
        <w:rPr>
          <w:rStyle w:val="Code"/>
        </w:rPr>
        <w:t>&lt;unclear&gt;</w:t>
      </w:r>
      <w:r>
        <w:t xml:space="preserve">, </w:t>
      </w:r>
      <w:r>
        <w:rPr>
          <w:rStyle w:val="Code"/>
        </w:rPr>
        <w:t>&lt;gap&gt;</w:t>
      </w:r>
      <w:r>
        <w:t xml:space="preserve"> and </w:t>
      </w:r>
      <w:r>
        <w:rPr>
          <w:rStyle w:val="Code"/>
        </w:rPr>
        <w:t>&lt;supplied&gt;</w:t>
      </w:r>
      <w:r>
        <w:t xml:space="preserve">. Which of these applies to any given locus, and what attributes should be used on them, depends on the degree to which the source text is objectively legible and your confidence in the reading selected for your edition, as illustrated in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with the table’s labels explained below in more detail.</w:t>
      </w:r>
    </w:p>
    <w:tbl>
      <w:tblPr>
        <w:tblStyle w:val="62"/>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38"/>
        <w:gridCol w:w="2553"/>
        <w:gridCol w:w="3359"/>
        <w:gridCol w:w="2068"/>
      </w:tblGrid>
      <w:tr w14:paraId="0EE0C93B" w14:textId="77777777">
        <w:tc>
          <w:tcPr>
            <w:tcW w:w="5000" w:type="pct"/>
            <w:gridSpan w:val="4"/>
            <w:shd w:val="clear" w:color="auto" w:fill="F0F7D7"/>
            <w:tcMar>
              <w:top w:w="100" w:type="dxa"/>
              <w:left w:w="100" w:type="dxa"/>
              <w:bottom w:w="100" w:type="dxa"/>
              <w:right w:w="100" w:type="dxa"/>
            </w:tcMar>
            <w:vAlign w:val="bottom"/>
          </w:tcPr>
          <w:p w14:paraId="3EC46198" w14:textId="77777777">
            <w:pPr>
              <w:pStyle w:val="Kpalrs"/>
            </w:pPr>
            <w:bookmarkStart w:id="524" w:name="_Ref228199279"/>
            <w:r>
              <w:t xml:space="preserve">Exhibit </w:t>
            </w:r>
            <w:fldSimple w:instr=" STYLEREF 2 \s ">
              <w:r>
                <w:rPr>
                  <w:noProof/>
                </w:rPr>
                <w:t>6.1</w:t>
              </w:r>
            </w:fldSimple>
            <w:r>
              <w:t>.</w:t>
            </w:r>
            <w:fldSimple w:instr=" SEQ Exhibit \* ALPHABETIC \s 2 ">
              <w:r>
                <w:rPr>
                  <w:noProof/>
                </w:rPr>
                <w:t>A</w:t>
              </w:r>
            </w:fldSimple>
            <w:bookmarkEnd w:id="524"/>
            <w:r>
              <w:t>: encoding of legibility issues</w:t>
            </w:r>
          </w:p>
        </w:tc>
      </w:tr>
      <w:tr w14:paraId="738B3185" w14:textId="77777777">
        <w:tc>
          <w:tcPr>
            <w:tcW w:w="852" w:type="pct"/>
            <w:vMerge w:val="restart"/>
            <w:shd w:val="clear" w:color="auto" w:fill="F0F7D7"/>
            <w:tcMar>
              <w:top w:w="100" w:type="dxa"/>
              <w:left w:w="100" w:type="dxa"/>
              <w:bottom w:w="100" w:type="dxa"/>
              <w:right w:w="100" w:type="dxa"/>
            </w:tcMar>
            <w:vAlign w:val="bottom"/>
          </w:tcPr>
          <w:p w14:paraId="60949B12" w14:textId="77777777">
            <w:pPr>
              <w:pStyle w:val="Tabletext"/>
              <w:keepNext/>
              <w:keepLines/>
              <w:jc w:val="center"/>
            </w:pPr>
            <w:r>
              <w:t>Confidence in edition text</w:t>
            </w:r>
          </w:p>
        </w:tc>
        <w:tc>
          <w:tcPr>
            <w:tcW w:w="4148" w:type="pct"/>
            <w:gridSpan w:val="3"/>
            <w:shd w:val="clear" w:color="auto" w:fill="F0F7D7"/>
            <w:tcMar>
              <w:top w:w="100" w:type="dxa"/>
              <w:left w:w="100" w:type="dxa"/>
              <w:bottom w:w="100" w:type="dxa"/>
              <w:right w:w="100" w:type="dxa"/>
            </w:tcMar>
            <w:vAlign w:val="center"/>
          </w:tcPr>
          <w:p w14:paraId="400DFC0C" w14:textId="77777777">
            <w:pPr>
              <w:pStyle w:val="Tabletext"/>
              <w:keepNext/>
              <w:keepLines/>
              <w:jc w:val="center"/>
            </w:pPr>
            <w:r>
              <w:t>Status of source text</w:t>
            </w:r>
          </w:p>
        </w:tc>
      </w:tr>
      <w:tr w14:paraId="1774D858" w14:textId="77777777">
        <w:tc>
          <w:tcPr>
            <w:tcW w:w="852" w:type="pct"/>
            <w:vMerge/>
            <w:shd w:val="clear" w:color="auto" w:fill="F0F7D7"/>
            <w:tcMar>
              <w:top w:w="100" w:type="dxa"/>
              <w:left w:w="100" w:type="dxa"/>
              <w:bottom w:w="100" w:type="dxa"/>
              <w:right w:w="100" w:type="dxa"/>
            </w:tcMar>
          </w:tcPr>
          <w:p w14:paraId="3DF7C15D" w14:textId="77777777">
            <w:pPr>
              <w:pStyle w:val="Tabletext"/>
              <w:keepNext/>
              <w:keepLines/>
            </w:pPr>
          </w:p>
        </w:tc>
        <w:tc>
          <w:tcPr>
            <w:tcW w:w="1327" w:type="pct"/>
            <w:shd w:val="clear" w:color="auto" w:fill="F0F7D7"/>
            <w:tcMar>
              <w:top w:w="100" w:type="dxa"/>
              <w:left w:w="100" w:type="dxa"/>
              <w:bottom w:w="100" w:type="dxa"/>
              <w:right w:w="100" w:type="dxa"/>
            </w:tcMar>
            <w:vAlign w:val="center"/>
          </w:tcPr>
          <w:p w14:paraId="64C1E4F9" w14:textId="77777777">
            <w:pPr>
              <w:pStyle w:val="Tabletext"/>
              <w:keepNext/>
              <w:keepLines/>
              <w:jc w:val="center"/>
            </w:pPr>
            <w:r>
              <w:t>lost</w:t>
            </w:r>
          </w:p>
        </w:tc>
        <w:tc>
          <w:tcPr>
            <w:tcW w:w="1746" w:type="pct"/>
            <w:shd w:val="clear" w:color="auto" w:fill="F0F7D7"/>
            <w:tcMar>
              <w:top w:w="100" w:type="dxa"/>
              <w:left w:w="100" w:type="dxa"/>
              <w:bottom w:w="100" w:type="dxa"/>
              <w:right w:w="100" w:type="dxa"/>
            </w:tcMar>
            <w:vAlign w:val="center"/>
          </w:tcPr>
          <w:p w14:paraId="7D7A1CA3" w14:textId="77777777">
            <w:pPr>
              <w:pStyle w:val="Tabletext"/>
              <w:keepNext/>
              <w:keepLines/>
              <w:jc w:val="center"/>
            </w:pPr>
            <w:r>
              <w:t>illegible</w:t>
            </w:r>
          </w:p>
        </w:tc>
        <w:tc>
          <w:tcPr>
            <w:tcW w:w="1075" w:type="pct"/>
            <w:shd w:val="clear" w:color="auto" w:fill="F0F7D7"/>
            <w:tcMar>
              <w:top w:w="100" w:type="dxa"/>
              <w:left w:w="100" w:type="dxa"/>
              <w:bottom w:w="100" w:type="dxa"/>
              <w:right w:w="100" w:type="dxa"/>
            </w:tcMar>
            <w:vAlign w:val="center"/>
          </w:tcPr>
          <w:p w14:paraId="50A9A6E7" w14:textId="77777777">
            <w:pPr>
              <w:pStyle w:val="Tabletext"/>
              <w:keepNext/>
              <w:keepLines/>
              <w:jc w:val="center"/>
            </w:pPr>
            <w:r>
              <w:t>problematic</w:t>
            </w:r>
          </w:p>
        </w:tc>
      </w:tr>
      <w:tr w14:paraId="12E4BC4C" w14:textId="77777777">
        <w:trPr>
          <w:trHeight w:val="440"/>
        </w:trPr>
        <w:tc>
          <w:tcPr>
            <w:tcW w:w="852" w:type="pct"/>
            <w:shd w:val="clear" w:color="auto" w:fill="F0F7D7"/>
            <w:tcMar>
              <w:top w:w="100" w:type="dxa"/>
              <w:left w:w="100" w:type="dxa"/>
              <w:bottom w:w="100" w:type="dxa"/>
              <w:right w:w="100" w:type="dxa"/>
            </w:tcMar>
            <w:vAlign w:val="center"/>
          </w:tcPr>
          <w:p w14:paraId="789C5513" w14:textId="77777777">
            <w:pPr>
              <w:pStyle w:val="Tabletext"/>
              <w:keepNext/>
              <w:keepLines/>
              <w:jc w:val="right"/>
            </w:pPr>
            <w:r>
              <w:t>high</w:t>
            </w:r>
          </w:p>
        </w:tc>
        <w:tc>
          <w:tcPr>
            <w:tcW w:w="1327" w:type="pct"/>
            <w:vMerge w:val="restart"/>
            <w:tcMar>
              <w:top w:w="100" w:type="dxa"/>
              <w:left w:w="100" w:type="dxa"/>
              <w:bottom w:w="100" w:type="dxa"/>
              <w:right w:w="100" w:type="dxa"/>
            </w:tcMar>
            <w:vAlign w:val="center"/>
          </w:tcPr>
          <w:p w14:paraId="2078A115" w14:textId="77777777">
            <w:pPr>
              <w:pStyle w:val="Tabletext"/>
              <w:keepNext/>
              <w:keepLines/>
              <w:jc w:val="center"/>
              <w:rPr>
                <w:rStyle w:val="Code"/>
              </w:rPr>
            </w:pPr>
            <w:r>
              <w:rPr>
                <w:rStyle w:val="Code"/>
              </w:rPr>
              <w:t>&lt;supplied&gt;</w:t>
            </w:r>
            <w:r>
              <w:rPr>
                <w:rStyle w:val="Code"/>
              </w:rPr>
              <w:br/>
            </w:r>
            <w:r>
              <w:t xml:space="preserve">with </w:t>
            </w:r>
            <w:r>
              <w:rPr>
                <w:rStyle w:val="Codeattribute"/>
              </w:rPr>
              <w:t>@reason</w:t>
            </w:r>
            <w:r>
              <w:rPr>
                <w:rStyle w:val="Code"/>
              </w:rPr>
              <w:t>=</w:t>
            </w:r>
            <w:r>
              <w:rPr>
                <w:rStyle w:val="Codevalue"/>
              </w:rPr>
              <w:t>"lost"</w:t>
            </w:r>
          </w:p>
        </w:tc>
        <w:tc>
          <w:tcPr>
            <w:tcW w:w="1746" w:type="pct"/>
            <w:vMerge w:val="restart"/>
            <w:tcMar>
              <w:top w:w="100" w:type="dxa"/>
              <w:left w:w="100" w:type="dxa"/>
              <w:bottom w:w="100" w:type="dxa"/>
              <w:right w:w="100" w:type="dxa"/>
            </w:tcMar>
            <w:vAlign w:val="center"/>
          </w:tcPr>
          <w:p w14:paraId="4EC85AC0" w14:textId="77777777">
            <w:pPr>
              <w:pStyle w:val="Tabletext"/>
              <w:keepNext/>
              <w:keepLines/>
              <w:jc w:val="center"/>
              <w:rPr>
                <w:rStyle w:val="Code"/>
              </w:rPr>
            </w:pPr>
            <w:r>
              <w:rPr>
                <w:rStyle w:val="Code"/>
              </w:rPr>
              <w:t>&lt;unclear&gt;</w:t>
            </w:r>
          </w:p>
        </w:tc>
        <w:tc>
          <w:tcPr>
            <w:tcW w:w="1075" w:type="pct"/>
            <w:tcMar>
              <w:top w:w="100" w:type="dxa"/>
              <w:left w:w="100" w:type="dxa"/>
              <w:bottom w:w="100" w:type="dxa"/>
              <w:right w:w="100" w:type="dxa"/>
            </w:tcMar>
            <w:vAlign w:val="center"/>
          </w:tcPr>
          <w:p w14:paraId="774E5376" w14:textId="77777777">
            <w:pPr>
              <w:pStyle w:val="Tabletext"/>
              <w:keepNext/>
              <w:keepLines/>
              <w:jc w:val="center"/>
            </w:pPr>
            <w:r>
              <w:t xml:space="preserve">optional </w:t>
            </w:r>
            <w:r>
              <w:rPr>
                <w:rStyle w:val="Code"/>
              </w:rPr>
              <w:t>&lt;unclear&gt;</w:t>
            </w:r>
            <w:r>
              <w:t xml:space="preserve"> optional </w:t>
            </w:r>
            <w:r>
              <w:rPr>
                <w:rStyle w:val="Code"/>
              </w:rPr>
              <w:t>&lt;damage&gt;</w:t>
            </w:r>
          </w:p>
        </w:tc>
      </w:tr>
      <w:tr w14:paraId="146B2D65" w14:textId="77777777">
        <w:trPr>
          <w:trHeight w:val="440"/>
        </w:trPr>
        <w:tc>
          <w:tcPr>
            <w:tcW w:w="852" w:type="pct"/>
            <w:shd w:val="clear" w:color="auto" w:fill="F0F7D7"/>
            <w:tcMar>
              <w:top w:w="100" w:type="dxa"/>
              <w:left w:w="100" w:type="dxa"/>
              <w:bottom w:w="100" w:type="dxa"/>
              <w:right w:w="100" w:type="dxa"/>
            </w:tcMar>
            <w:vAlign w:val="center"/>
          </w:tcPr>
          <w:p w14:paraId="6C186EC6" w14:textId="77777777">
            <w:pPr>
              <w:pStyle w:val="Tabletext"/>
              <w:keepNext/>
              <w:keepLines/>
              <w:jc w:val="right"/>
            </w:pPr>
            <w:r>
              <w:t>reasonable</w:t>
            </w:r>
          </w:p>
        </w:tc>
        <w:tc>
          <w:tcPr>
            <w:tcW w:w="1327" w:type="pct"/>
            <w:vMerge/>
            <w:tcMar>
              <w:top w:w="100" w:type="dxa"/>
              <w:left w:w="100" w:type="dxa"/>
              <w:bottom w:w="100" w:type="dxa"/>
              <w:right w:w="100" w:type="dxa"/>
            </w:tcMar>
            <w:vAlign w:val="center"/>
          </w:tcPr>
          <w:p w14:paraId="005E807E" w14:textId="77777777">
            <w:pPr>
              <w:pStyle w:val="Tabletext"/>
              <w:keepNext/>
              <w:keepLines/>
              <w:jc w:val="center"/>
            </w:pPr>
          </w:p>
        </w:tc>
        <w:tc>
          <w:tcPr>
            <w:tcW w:w="1746" w:type="pct"/>
            <w:vMerge/>
            <w:tcMar>
              <w:top w:w="100" w:type="dxa"/>
              <w:left w:w="100" w:type="dxa"/>
              <w:bottom w:w="100" w:type="dxa"/>
              <w:right w:w="100" w:type="dxa"/>
            </w:tcMar>
            <w:vAlign w:val="center"/>
          </w:tcPr>
          <w:p w14:paraId="44741E3E" w14:textId="77777777">
            <w:pPr>
              <w:pStyle w:val="Tabletext"/>
              <w:keepNext/>
              <w:keepLines/>
              <w:jc w:val="center"/>
            </w:pPr>
          </w:p>
        </w:tc>
        <w:tc>
          <w:tcPr>
            <w:tcW w:w="1075" w:type="pct"/>
            <w:tcMar>
              <w:top w:w="100" w:type="dxa"/>
              <w:left w:w="100" w:type="dxa"/>
              <w:bottom w:w="100" w:type="dxa"/>
              <w:right w:w="100" w:type="dxa"/>
            </w:tcMar>
            <w:vAlign w:val="center"/>
          </w:tcPr>
          <w:p w14:paraId="35B8FA68" w14:textId="77777777">
            <w:pPr>
              <w:pStyle w:val="Tabletext"/>
              <w:keepNext/>
              <w:keepLines/>
              <w:jc w:val="center"/>
              <w:rPr>
                <w:rStyle w:val="Code"/>
              </w:rPr>
            </w:pPr>
            <w:r>
              <w:rPr>
                <w:rStyle w:val="Code"/>
              </w:rPr>
              <w:t>&lt;unclear&gt;</w:t>
            </w:r>
          </w:p>
        </w:tc>
      </w:tr>
      <w:tr w14:paraId="6ECBDF1B" w14:textId="77777777">
        <w:trPr>
          <w:trHeight w:val="440"/>
        </w:trPr>
        <w:tc>
          <w:tcPr>
            <w:tcW w:w="852" w:type="pct"/>
            <w:shd w:val="clear" w:color="auto" w:fill="F0F7D7"/>
            <w:tcMar>
              <w:top w:w="100" w:type="dxa"/>
              <w:left w:w="100" w:type="dxa"/>
              <w:bottom w:w="100" w:type="dxa"/>
              <w:right w:w="100" w:type="dxa"/>
            </w:tcMar>
            <w:vAlign w:val="center"/>
          </w:tcPr>
          <w:p w14:paraId="6EB92559" w14:textId="77777777">
            <w:pPr>
              <w:pStyle w:val="Tabletext"/>
              <w:keepNext/>
              <w:keepLines/>
              <w:jc w:val="right"/>
            </w:pPr>
            <w:r>
              <w:t>tentative</w:t>
            </w:r>
          </w:p>
        </w:tc>
        <w:tc>
          <w:tcPr>
            <w:tcW w:w="1327" w:type="pct"/>
            <w:tcMar>
              <w:top w:w="100" w:type="dxa"/>
              <w:left w:w="100" w:type="dxa"/>
              <w:bottom w:w="100" w:type="dxa"/>
              <w:right w:w="100" w:type="dxa"/>
            </w:tcMar>
            <w:vAlign w:val="center"/>
          </w:tcPr>
          <w:p w14:paraId="4FDAC73C" w14:textId="77777777">
            <w:pPr>
              <w:pStyle w:val="Tabletext"/>
              <w:keepNext/>
              <w:keepLines/>
              <w:jc w:val="center"/>
              <w:rPr>
                <w:rStyle w:val="Code"/>
              </w:rPr>
            </w:pPr>
            <w:r>
              <w:rPr>
                <w:rStyle w:val="Code"/>
              </w:rPr>
              <w:t>&lt;supplied&gt;</w:t>
            </w:r>
          </w:p>
          <w:p w14:paraId="171A2509" w14:textId="77777777">
            <w:pPr>
              <w:pStyle w:val="Tabletext"/>
              <w:keepNext/>
              <w:keepLines/>
              <w:jc w:val="center"/>
              <w:rPr>
                <w:rStyle w:val="Code"/>
              </w:rPr>
            </w:pPr>
            <w:r>
              <w:t xml:space="preserve">with </w:t>
            </w:r>
            <w:r>
              <w:rPr>
                <w:rStyle w:val="Codeattribute"/>
              </w:rPr>
              <w:t>@reason</w:t>
            </w:r>
            <w:r>
              <w:rPr>
                <w:rStyle w:val="Code"/>
              </w:rPr>
              <w:t>=</w:t>
            </w:r>
            <w:r>
              <w:rPr>
                <w:rStyle w:val="Codevalue"/>
              </w:rPr>
              <w:t>"lost"</w:t>
            </w:r>
            <w:r>
              <w:rPr>
                <w:rStyle w:val="Code"/>
              </w:rPr>
              <w:t xml:space="preserve"> </w:t>
            </w:r>
          </w:p>
          <w:p w14:paraId="610B94BF" w14:textId="77777777">
            <w:pPr>
              <w:pStyle w:val="Tabletext"/>
              <w:keepNext/>
              <w:keepLines/>
              <w:jc w:val="center"/>
              <w:rPr>
                <w:rStyle w:val="Code"/>
              </w:rPr>
            </w:pPr>
            <w:r>
              <w:t xml:space="preserve">and </w:t>
            </w:r>
            <w:r>
              <w:rPr>
                <w:rStyle w:val="Codeattribute"/>
              </w:rPr>
              <w:t>@cert</w:t>
            </w:r>
            <w:r>
              <w:rPr>
                <w:rStyle w:val="Code"/>
              </w:rPr>
              <w:t>=</w:t>
            </w:r>
            <w:r>
              <w:rPr>
                <w:rStyle w:val="Codevalue"/>
              </w:rPr>
              <w:t>"low"</w:t>
            </w:r>
          </w:p>
        </w:tc>
        <w:tc>
          <w:tcPr>
            <w:tcW w:w="1746" w:type="pct"/>
            <w:tcMar>
              <w:top w:w="100" w:type="dxa"/>
              <w:left w:w="100" w:type="dxa"/>
              <w:bottom w:w="100" w:type="dxa"/>
              <w:right w:w="100" w:type="dxa"/>
            </w:tcMar>
            <w:vAlign w:val="center"/>
          </w:tcPr>
          <w:p w14:paraId="1456525C" w14:textId="77777777">
            <w:pPr>
              <w:pStyle w:val="Tabletext"/>
              <w:keepNext/>
              <w:keepLines/>
              <w:jc w:val="center"/>
              <w:rPr>
                <w:rStyle w:val="Code"/>
              </w:rPr>
            </w:pPr>
            <w:r>
              <w:rPr>
                <w:rStyle w:val="Code"/>
              </w:rPr>
              <w:t>&lt;unclear&gt;</w:t>
            </w:r>
          </w:p>
          <w:p w14:paraId="4EA24746" w14:textId="77777777">
            <w:pPr>
              <w:pStyle w:val="Tabletext"/>
              <w:keepNext/>
              <w:keepLines/>
              <w:jc w:val="center"/>
              <w:rPr>
                <w:rStyle w:val="Code"/>
              </w:rPr>
            </w:pPr>
            <w:r>
              <w:t xml:space="preserve">with </w:t>
            </w:r>
            <w:r>
              <w:rPr>
                <w:rStyle w:val="Codeattribute"/>
              </w:rPr>
              <w:t>@cert</w:t>
            </w:r>
            <w:r>
              <w:rPr>
                <w:rStyle w:val="Code"/>
              </w:rPr>
              <w:t>=</w:t>
            </w:r>
            <w:r>
              <w:rPr>
                <w:rStyle w:val="Codevalue"/>
              </w:rPr>
              <w:t>"low"</w:t>
            </w:r>
          </w:p>
        </w:tc>
        <w:tc>
          <w:tcPr>
            <w:tcW w:w="1075" w:type="pct"/>
            <w:tcMar>
              <w:top w:w="100" w:type="dxa"/>
              <w:left w:w="100" w:type="dxa"/>
              <w:bottom w:w="100" w:type="dxa"/>
              <w:right w:w="100" w:type="dxa"/>
            </w:tcMar>
            <w:vAlign w:val="center"/>
          </w:tcPr>
          <w:p w14:paraId="42951694" w14:textId="77777777">
            <w:pPr>
              <w:pStyle w:val="Tabletext"/>
              <w:keepNext/>
              <w:keepLines/>
              <w:jc w:val="center"/>
              <w:rPr>
                <w:rStyle w:val="Code"/>
              </w:rPr>
            </w:pPr>
            <w:r>
              <w:rPr>
                <w:rStyle w:val="Code"/>
              </w:rPr>
              <w:t>&lt;unclear&gt;</w:t>
            </w:r>
          </w:p>
          <w:p w14:paraId="6C9016E9" w14:textId="77777777">
            <w:pPr>
              <w:pStyle w:val="Tabletext"/>
              <w:keepNext/>
              <w:keepLines/>
              <w:jc w:val="center"/>
              <w:rPr>
                <w:rStyle w:val="Code"/>
              </w:rPr>
            </w:pPr>
            <w:r>
              <w:t xml:space="preserve">with </w:t>
            </w:r>
            <w:r>
              <w:rPr>
                <w:rStyle w:val="Codeattribute"/>
              </w:rPr>
              <w:t>@cert</w:t>
            </w:r>
            <w:r>
              <w:rPr>
                <w:rStyle w:val="Code"/>
              </w:rPr>
              <w:t>=</w:t>
            </w:r>
            <w:r>
              <w:rPr>
                <w:rStyle w:val="Codevalue"/>
              </w:rPr>
              <w:t>"low"</w:t>
            </w:r>
          </w:p>
        </w:tc>
      </w:tr>
      <w:tr w14:paraId="308A7144" w14:textId="77777777">
        <w:tc>
          <w:tcPr>
            <w:tcW w:w="852" w:type="pct"/>
            <w:shd w:val="clear" w:color="auto" w:fill="F0F7D7"/>
            <w:tcMar>
              <w:top w:w="100" w:type="dxa"/>
              <w:left w:w="100" w:type="dxa"/>
              <w:bottom w:w="100" w:type="dxa"/>
              <w:right w:w="100" w:type="dxa"/>
            </w:tcMar>
            <w:vAlign w:val="center"/>
          </w:tcPr>
          <w:p w14:paraId="1E3AEF65" w14:textId="77777777">
            <w:pPr>
              <w:pStyle w:val="Tabletext"/>
              <w:jc w:val="right"/>
            </w:pPr>
            <w:r>
              <w:t>nil</w:t>
            </w:r>
          </w:p>
        </w:tc>
        <w:tc>
          <w:tcPr>
            <w:tcW w:w="1327" w:type="pct"/>
            <w:tcMar>
              <w:top w:w="100" w:type="dxa"/>
              <w:left w:w="100" w:type="dxa"/>
              <w:bottom w:w="100" w:type="dxa"/>
              <w:right w:w="100" w:type="dxa"/>
            </w:tcMar>
            <w:vAlign w:val="center"/>
          </w:tcPr>
          <w:p w14:paraId="55FEAE69" w14:textId="77777777">
            <w:pPr>
              <w:pStyle w:val="Tabletext"/>
              <w:jc w:val="center"/>
              <w:rPr>
                <w:rStyle w:val="Code"/>
              </w:rPr>
            </w:pPr>
            <w:r>
              <w:rPr>
                <w:rStyle w:val="Code"/>
              </w:rPr>
              <w:t>&lt;gap&gt;</w:t>
            </w:r>
          </w:p>
          <w:p w14:paraId="2675DF3E" w14:textId="77777777">
            <w:pPr>
              <w:pStyle w:val="Tabletext"/>
              <w:jc w:val="center"/>
              <w:rPr>
                <w:rStyle w:val="Code"/>
              </w:rPr>
            </w:pPr>
            <w:r>
              <w:t xml:space="preserve">with </w:t>
            </w:r>
            <w:r>
              <w:rPr>
                <w:rStyle w:val="Codeattribute"/>
              </w:rPr>
              <w:t>@reason</w:t>
            </w:r>
            <w:r>
              <w:rPr>
                <w:rStyle w:val="Code"/>
              </w:rPr>
              <w:t>=</w:t>
            </w:r>
            <w:r>
              <w:rPr>
                <w:rStyle w:val="Codevalue"/>
              </w:rPr>
              <w:t>"lost"</w:t>
            </w:r>
          </w:p>
        </w:tc>
        <w:tc>
          <w:tcPr>
            <w:tcW w:w="1746" w:type="pct"/>
            <w:tcMar>
              <w:top w:w="100" w:type="dxa"/>
              <w:left w:w="100" w:type="dxa"/>
              <w:bottom w:w="100" w:type="dxa"/>
              <w:right w:w="100" w:type="dxa"/>
            </w:tcMar>
            <w:vAlign w:val="center"/>
          </w:tcPr>
          <w:p w14:paraId="130212FC" w14:textId="77777777">
            <w:pPr>
              <w:pStyle w:val="Tabletext"/>
              <w:jc w:val="center"/>
              <w:rPr>
                <w:rStyle w:val="Code"/>
              </w:rPr>
            </w:pPr>
            <w:r>
              <w:rPr>
                <w:rStyle w:val="Code"/>
              </w:rPr>
              <w:t>&lt;gap&gt;</w:t>
            </w:r>
          </w:p>
          <w:p w14:paraId="519F0FA2" w14:textId="77777777">
            <w:pPr>
              <w:pStyle w:val="Tabletext"/>
              <w:jc w:val="center"/>
              <w:rPr>
                <w:rStyle w:val="Code"/>
              </w:rPr>
            </w:pPr>
            <w:r>
              <w:t xml:space="preserve">with </w:t>
            </w:r>
            <w:r>
              <w:rPr>
                <w:rStyle w:val="Codeattribute"/>
              </w:rPr>
              <w:t>@reason</w:t>
            </w:r>
            <w:r>
              <w:rPr>
                <w:rStyle w:val="Code"/>
              </w:rPr>
              <w:t>=</w:t>
            </w:r>
            <w:r>
              <w:rPr>
                <w:rStyle w:val="Codevalue"/>
              </w:rPr>
              <w:t>"illegible"</w:t>
            </w:r>
          </w:p>
        </w:tc>
        <w:tc>
          <w:tcPr>
            <w:tcW w:w="1075" w:type="pct"/>
            <w:tcMar>
              <w:top w:w="100" w:type="dxa"/>
              <w:left w:w="100" w:type="dxa"/>
              <w:bottom w:w="100" w:type="dxa"/>
              <w:right w:w="100" w:type="dxa"/>
            </w:tcMar>
            <w:vAlign w:val="center"/>
          </w:tcPr>
          <w:p w14:paraId="5E279BA2" w14:textId="77777777">
            <w:pPr>
              <w:pStyle w:val="Tabletext"/>
              <w:jc w:val="center"/>
            </w:pPr>
            <w:r>
              <w:t>NA</w:t>
            </w:r>
          </w:p>
        </w:tc>
      </w:tr>
    </w:tbl>
    <w:p w14:paraId="4A280842" w14:textId="77777777">
      <w:pPr>
        <w:pStyle w:val="Lista"/>
      </w:pPr>
      <w:r>
        <w:t xml:space="preserve">the </w:t>
      </w:r>
      <w:r>
        <w:rPr>
          <w:b/>
          <w:bCs/>
        </w:rPr>
        <w:t>status of the text in the source document</w:t>
      </w:r>
      <w:r>
        <w:t xml:space="preserve"> as an objective, physical entity</w:t>
      </w:r>
    </w:p>
    <w:p w14:paraId="7CD19B8C" w14:textId="77777777">
      <w:pPr>
        <w:pStyle w:val="Lista2"/>
      </w:pPr>
      <w:r>
        <w:rPr>
          <w:b/>
          <w:bCs/>
        </w:rPr>
        <w:t>lost</w:t>
      </w:r>
      <w:r>
        <w:t>: the support is gone or at least its surface layer is completely destroyed so that all vestiges of writing are obliterated</w:t>
      </w:r>
    </w:p>
    <w:p w14:paraId="10494652" w14:textId="77777777">
      <w:pPr>
        <w:pStyle w:val="Lista2"/>
      </w:pPr>
      <w:r>
        <w:rPr>
          <w:b/>
          <w:bCs/>
        </w:rPr>
        <w:t>illegible</w:t>
      </w:r>
      <w:r>
        <w:t>: the support is extant, but the glyphs cannot be made out with any degree of confidence</w:t>
      </w:r>
    </w:p>
    <w:p w14:paraId="661B6006" w14:textId="77777777">
      <w:pPr>
        <w:pStyle w:val="Lista2"/>
      </w:pPr>
      <w:r>
        <w:rPr>
          <w:b/>
          <w:bCs/>
        </w:rPr>
        <w:t>problematic</w:t>
      </w:r>
      <w:r>
        <w:t>: the glyphs can be made out at least tentatively, but if taken out of context, their reading would be equivocal</w:t>
      </w:r>
    </w:p>
    <w:p w14:paraId="433FB4C6" w14:textId="77777777">
      <w:pPr>
        <w:pStyle w:val="Lista"/>
        <w:rPr>
          <w:b/>
          <w:bCs/>
        </w:rPr>
      </w:pPr>
      <w:r>
        <w:rPr>
          <w:b/>
          <w:bCs/>
        </w:rPr>
        <w:t>confidence in the accuracy of your edition’s text (reading or restoration informed by context and expertise)</w:t>
      </w:r>
    </w:p>
    <w:p w14:paraId="7E06EDA9" w14:textId="77777777">
      <w:pPr>
        <w:pStyle w:val="Lista2"/>
      </w:pPr>
      <w:r>
        <w:rPr>
          <w:b/>
          <w:bCs/>
        </w:rPr>
        <w:t>high</w:t>
      </w:r>
      <w:r>
        <w:t>: your reading or restoration is quite certainly identical to what was actually written, or if not 100% accurate then differing only in trivial details (for instance, there may have been orthographic variation or a scribal error in the source)</w:t>
      </w:r>
    </w:p>
    <w:p w14:paraId="6AD87583" w14:textId="77777777">
      <w:pPr>
        <w:pStyle w:val="Lista2"/>
      </w:pPr>
      <w:r>
        <w:rPr>
          <w:b/>
          <w:bCs/>
        </w:rPr>
        <w:t>reasonable</w:t>
      </w:r>
      <w:r>
        <w:t>: your reading/restoration is likely to be correct, but there is a chance of a non-trivial alternative reading being possible</w:t>
      </w:r>
    </w:p>
    <w:p w14:paraId="0D210C04" w14:textId="77777777">
      <w:pPr>
        <w:pStyle w:val="Lista2"/>
      </w:pPr>
      <w:r>
        <w:rPr>
          <w:b/>
          <w:bCs/>
        </w:rPr>
        <w:t>tentative</w:t>
      </w:r>
      <w:r>
        <w:t>: your reading/restoration is a best guess or a diagnostic conjecture, with a fair chance that the actually engraved text differed from it in a non-trivial way</w:t>
      </w:r>
    </w:p>
    <w:p w14:paraId="47D6BECF" w14:textId="77777777">
      <w:pPr>
        <w:pStyle w:val="Lista2"/>
      </w:pPr>
      <w:r>
        <w:rPr>
          <w:b/>
          <w:bCs/>
        </w:rPr>
        <w:t>nil</w:t>
      </w:r>
      <w:r>
        <w:t>: the text cannot be read or restored with any confidence, so you prefer not to venture a guess</w:t>
      </w:r>
    </w:p>
    <w:p w14:paraId="1462DE5F" w14:textId="77777777"/>
    <w:p w14:paraId="2FF9ADD1" w14:textId="77777777">
      <w:r>
        <w:t xml:space="preserve">The element </w:t>
      </w:r>
      <w:r>
        <w:rPr>
          <w:rStyle w:val="Code"/>
        </w:rPr>
        <w:t>&lt;unclear&gt;</w:t>
      </w:r>
      <w:r>
        <w:t xml:space="preserve"> (§</w:t>
      </w:r>
      <w:r>
        <w:fldChar w:fldCharType="begin"/>
      </w:r>
      <w:r>
        <w:instrText xml:space="preserve"> REF _Ref43981505 \r \h </w:instrText>
      </w:r>
      <w:r>
        <w:fldChar w:fldCharType="separate"/>
      </w:r>
      <w:r>
        <w:t>6.3</w:t>
      </w:r>
      <w:r>
        <w:fldChar w:fldCharType="end"/>
      </w:r>
      <w:r>
        <w:t xml:space="preserve">) in principle stands for text that has been read at least tentatively from the source but which might not be readable with full confidence when removed from its context. Unclarity is </w:t>
      </w:r>
      <w:r>
        <w:lastRenderedPageBreak/>
        <w:t>usually a result of damage to the support, but it may also be a consequence of the eccentric or poor execution of the original writing. The latter can be distinguished from the former by the addition of an attribute (§</w:t>
      </w:r>
      <w:r>
        <w:fldChar w:fldCharType="begin"/>
      </w:r>
      <w:r>
        <w:instrText xml:space="preserve"> REF _Ref227942295 \r \h </w:instrText>
      </w:r>
      <w:r>
        <w:fldChar w:fldCharType="separate"/>
      </w:r>
      <w:r>
        <w:t>6.3.1.2</w:t>
      </w:r>
      <w:r>
        <w:fldChar w:fldCharType="end"/>
      </w:r>
      <w:r>
        <w:t xml:space="preserve">), but the overall method of the encoding is indifferent to the reason why a locus is not perfectly legible. In DHARMA practice, </w:t>
      </w:r>
      <w:r>
        <w:rPr>
          <w:rStyle w:val="Code"/>
        </w:rPr>
        <w:t>&lt;unclear&gt;</w:t>
      </w:r>
      <w:r>
        <w:t xml:space="preserve"> is not required when the text in context has been read with complete confidence even if some ambiguity might apply to the glyphs taken out of context. Loci affected by damage that does not impede reading may be tagged with </w:t>
      </w:r>
      <w:r>
        <w:rPr>
          <w:rStyle w:val="Code"/>
        </w:rPr>
        <w:t>&lt;damage&gt;</w:t>
      </w:r>
      <w:r>
        <w:t xml:space="preserve"> (§</w:t>
      </w:r>
      <w:r>
        <w:fldChar w:fldCharType="begin"/>
      </w:r>
      <w:r>
        <w:instrText xml:space="preserve"> REF _Ref43987823 \r \h </w:instrText>
      </w:r>
      <w:r>
        <w:fldChar w:fldCharType="separate"/>
      </w:r>
      <w:r>
        <w:t>6.2</w:t>
      </w:r>
      <w:r>
        <w:fldChar w:fldCharType="end"/>
      </w:r>
      <w:r>
        <w:t>), although this is not usually done in DHARMA practice.</w:t>
      </w:r>
    </w:p>
    <w:p w14:paraId="188DF376" w14:textId="77777777">
      <w:pPr>
        <w:pStyle w:val="Normlbehzs"/>
      </w:pPr>
      <w:r>
        <w:t xml:space="preserve">When you have no reading or restoration whatsoever for a particular locus, the edition obviously cannot contain text for that locus, but the presence and extent of a lacuna must be indicated in some way. This is done with the element </w:t>
      </w:r>
      <w:r>
        <w:rPr>
          <w:rStyle w:val="Code"/>
        </w:rPr>
        <w:t>&lt;gap&gt;</w:t>
      </w:r>
      <w:r>
        <w:t>, which stands as a placeholder for text that is not available. The use of this element for various kinds of lacunae is discussed in detail in §</w:t>
      </w:r>
      <w:r>
        <w:fldChar w:fldCharType="begin"/>
      </w:r>
      <w:r>
        <w:instrText xml:space="preserve"> REF _Ref228460110 \r \h </w:instrText>
      </w:r>
      <w:r>
        <w:fldChar w:fldCharType="separate"/>
      </w:r>
      <w:r>
        <w:t>6.5</w:t>
      </w:r>
      <w:r>
        <w:fldChar w:fldCharType="end"/>
      </w:r>
      <w:r>
        <w:t>. Our practice, in accordance with EpiDoc, distinguishes two kinds of lacuna based on the condition of the support: if the source text is altogether gone, then the gap is classified as “lost”, while if writing is present at least vestigially, it is classified as “illegible”.</w:t>
      </w:r>
    </w:p>
    <w:p w14:paraId="18C1A2C1" w14:textId="77777777">
      <w:pPr>
        <w:pStyle w:val="Normlbehzs"/>
      </w:pPr>
      <w:r>
        <w:t xml:space="preserve">When the text is altogether lost from the source but can be at least tentatively restored by the editor (on the basis of expertise, context and related texts), the element </w:t>
      </w:r>
      <w:r>
        <w:rPr>
          <w:rStyle w:val="Code"/>
        </w:rPr>
        <w:t>&lt;gap&gt;</w:t>
      </w:r>
      <w:r>
        <w:t xml:space="preserve"> is not applicable because the edition does contain text for the locus. Instead, the element </w:t>
      </w:r>
      <w:r>
        <w:rPr>
          <w:rStyle w:val="Code"/>
        </w:rPr>
        <w:t>&lt;supplied&gt;</w:t>
      </w:r>
      <w:r>
        <w:t xml:space="preserve"> (§</w:t>
      </w:r>
      <w:r>
        <w:fldChar w:fldCharType="begin"/>
      </w:r>
      <w:r>
        <w:instrText xml:space="preserve"> REF _Ref228459751 \r \h </w:instrText>
      </w:r>
      <w:r>
        <w:fldChar w:fldCharType="separate"/>
      </w:r>
      <w:r>
        <w:t>6.4</w:t>
      </w:r>
      <w:r>
        <w:fldChar w:fldCharType="end"/>
      </w:r>
      <w:r>
        <w:t xml:space="preserve">) is added to tag text as an editorial restoration. Importantly, EpiDoc does not allow the use of </w:t>
      </w:r>
      <w:r>
        <w:rPr>
          <w:rStyle w:val="Code"/>
        </w:rPr>
        <w:t>&lt;supplied&gt;</w:t>
      </w:r>
      <w:r>
        <w:t xml:space="preserve"> when text, however effaced, is still present in the source. While a lacuna may be either “lost” or “illegible,” a stretch of restored text must always be “lost.” The rationale behind this is that if any vestiges remain, and these can be reconstructed on the basis of context, then they meet the definition of </w:t>
      </w:r>
      <w:r>
        <w:rPr>
          <w:rStyle w:val="Code"/>
        </w:rPr>
        <w:t>&lt;unclear&gt;</w:t>
      </w:r>
      <w:r>
        <w:t xml:space="preserve"> and ought to be marked up as such. Although we feel that a meaningful and potentially helpful distinction can be made between “conjecturally restored text not explicitly ruled out by vestiges” and “text restored on the basis of vestiges,” our encoding practice shall follow established EpiDoc convention.</w:t>
      </w:r>
      <w:r>
        <w:rPr>
          <w:rStyle w:val="Lbjegyzet-hivatkozs"/>
        </w:rPr>
        <w:footnoteReference w:id="26"/>
      </w:r>
      <w:r>
        <w:t xml:space="preserve"> Therefore, as shown in the middle column of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xml:space="preserve">, when editorial text is present at a locus that is illegible rather than lost, this text mut be marked up as </w:t>
      </w:r>
      <w:r>
        <w:rPr>
          <w:rStyle w:val="Code"/>
        </w:rPr>
        <w:t>&lt;unclear&gt;</w:t>
      </w:r>
      <w:r>
        <w:t xml:space="preserve"> rather than as </w:t>
      </w:r>
      <w:r>
        <w:rPr>
          <w:rStyle w:val="Code"/>
        </w:rPr>
        <w:t xml:space="preserve">&lt;supplied </w:t>
      </w:r>
      <w:r>
        <w:rPr>
          <w:rStyle w:val="Codeattribute"/>
        </w:rPr>
        <w:t>reason</w:t>
      </w:r>
      <w:r>
        <w:rPr>
          <w:rStyle w:val="Code"/>
        </w:rPr>
        <w:t>=</w:t>
      </w:r>
      <w:r>
        <w:rPr>
          <w:rStyle w:val="Codevalue"/>
        </w:rPr>
        <w:t>"lost"</w:t>
      </w:r>
      <w:r>
        <w:t>.</w:t>
      </w:r>
    </w:p>
    <w:p w14:paraId="578D7205" w14:textId="77777777">
      <w:pPr>
        <w:pStyle w:val="Normlbehzs"/>
      </w:pPr>
      <w:r>
        <w:t xml:space="preserve">Whenever text (either read or restored) is present at a locus, low editorial confidence in the accuracy of that text is to be indicated by adding the attribute </w:t>
      </w:r>
      <w:r>
        <w:rPr>
          <w:rStyle w:val="Codeattribute"/>
        </w:rPr>
        <w:t>@cert</w:t>
      </w:r>
      <w:r>
        <w:rPr>
          <w:rStyle w:val="Code"/>
        </w:rPr>
        <w:t>=</w:t>
      </w:r>
      <w:r>
        <w:rPr>
          <w:rStyle w:val="Codevalue"/>
        </w:rPr>
        <w:t>"low"</w:t>
      </w:r>
      <w:r>
        <w:t xml:space="preserve"> to the phrase-level container.</w:t>
      </w:r>
    </w:p>
    <w:p w14:paraId="685C1496" w14:textId="77777777">
      <w:pPr>
        <w:pStyle w:val="Cmsor2"/>
      </w:pPr>
      <w:bookmarkStart w:id="525" w:name="_qwn6j8iel73t" w:colFirst="0" w:colLast="0"/>
      <w:bookmarkStart w:id="526" w:name="_Ref43987823"/>
      <w:bookmarkStart w:id="527" w:name="_Toc243900314"/>
      <w:bookmarkEnd w:id="525"/>
      <w:r>
        <w:t>Damage not impeding legibility</w:t>
      </w:r>
      <w:bookmarkEnd w:id="526"/>
      <w:bookmarkEnd w:id="527"/>
    </w:p>
    <w:p w14:paraId="2F8EB87A" w14:textId="77777777">
      <w:r>
        <w:t xml:space="preserve">When the source text is to some extent effaced by damage but this does not affect its legibility, the element </w:t>
      </w:r>
      <w:r>
        <w:rPr>
          <w:rStyle w:val="Code"/>
        </w:rPr>
        <w:t>&lt;damage&gt;</w:t>
      </w:r>
      <w:r>
        <w:t xml:space="preserve"> may be used to wrap any contiguous stretch of text affected by damage. We find that this complicates the encoding (especially when in interaction with other tags) without providing any noticeable advantage, and therefore recommend that conspicuous patches of weathering or loss be described for human readers in your annotation, but not encoded in the edition. If you do wish to use </w:t>
      </w:r>
      <w:r>
        <w:rPr>
          <w:rStyle w:val="Code"/>
        </w:rPr>
        <w:t>&lt;damage&gt;</w:t>
      </w:r>
      <w:r>
        <w:t>, keep in mind that it does not replace the encoding of legibility issues discussed in the other parts of this section, only augments them.</w:t>
      </w:r>
    </w:p>
    <w:p w14:paraId="1147EF13" w14:textId="77777777">
      <w:pPr>
        <w:pStyle w:val="Cmsor2"/>
      </w:pPr>
      <w:bookmarkStart w:id="528" w:name="_x58d7yl7rh7w" w:colFirst="0" w:colLast="0"/>
      <w:bookmarkStart w:id="529" w:name="_Ref43981505"/>
      <w:bookmarkStart w:id="530" w:name="_Toc243900315"/>
      <w:bookmarkEnd w:id="528"/>
      <w:r>
        <w:t>Unclear readings</w:t>
      </w:r>
      <w:bookmarkEnd w:id="529"/>
      <w:bookmarkEnd w:id="530"/>
    </w:p>
    <w:p w14:paraId="0FAB5BB6" w14:textId="77777777">
      <w:pPr>
        <w:pStyle w:val="Cmsor3"/>
      </w:pPr>
      <w:bookmarkStart w:id="531" w:name="_tcav1hmvdct4" w:colFirst="0" w:colLast="0"/>
      <w:bookmarkStart w:id="532" w:name="_Ref232089485"/>
      <w:bookmarkStart w:id="533" w:name="_Toc243900316"/>
      <w:bookmarkEnd w:id="531"/>
      <w:r>
        <w:t>Encoding unclear text</w:t>
      </w:r>
      <w:bookmarkEnd w:id="532"/>
      <w:bookmarkEnd w:id="533"/>
    </w:p>
    <w:p w14:paraId="3BEA043F" w14:textId="77777777">
      <w:r>
        <w:t>Unclear text is text that can be read in the source with some confidence, but not with complete certainty on account of damage or unusual glyph formation.</w:t>
      </w:r>
    </w:p>
    <w:p w14:paraId="1BB1C865" w14:textId="77777777">
      <w:pPr>
        <w:pStyle w:val="Lista"/>
      </w:pPr>
      <w:r>
        <w:t xml:space="preserve">use the element </w:t>
      </w:r>
      <w:r>
        <w:rPr>
          <w:rStyle w:val="Code"/>
        </w:rPr>
        <w:t>&lt;unclear&gt;</w:t>
      </w:r>
      <w:r>
        <w:t xml:space="preserve"> for unclear readings with the following attributes</w:t>
      </w:r>
    </w:p>
    <w:p w14:paraId="0E618690" w14:textId="77777777">
      <w:pPr>
        <w:pStyle w:val="Lista2"/>
      </w:pPr>
      <w:r>
        <w:t xml:space="preserve">as applicable, </w:t>
      </w:r>
      <w:r>
        <w:rPr>
          <w:rStyle w:val="Codeattribute"/>
        </w:rPr>
        <w:t>@reason</w:t>
      </w:r>
      <w:r>
        <w:t xml:space="preserve"> to indicate that the reading issue is due to unusual execution rather than to damage, as per §</w:t>
      </w:r>
      <w:r>
        <w:fldChar w:fldCharType="begin"/>
      </w:r>
      <w:r>
        <w:instrText xml:space="preserve"> REF _Ref227942295 \r \h </w:instrText>
      </w:r>
      <w:r>
        <w:fldChar w:fldCharType="separate"/>
      </w:r>
      <w:r>
        <w:t>6.3.1.2</w:t>
      </w:r>
      <w:r>
        <w:fldChar w:fldCharType="end"/>
      </w:r>
    </w:p>
    <w:p w14:paraId="4E73FACF" w14:textId="77777777">
      <w:pPr>
        <w:pStyle w:val="Lista2"/>
      </w:pPr>
      <w:r>
        <w:lastRenderedPageBreak/>
        <w:t xml:space="preserve">as applicable, </w:t>
      </w:r>
      <w:r>
        <w:rPr>
          <w:rStyle w:val="Codeattribute"/>
        </w:rPr>
        <w:t>@cert</w:t>
      </w:r>
      <w:r>
        <w:t xml:space="preserve"> to indicate that the editorial reading is tentative, as per §</w:t>
      </w:r>
      <w:r>
        <w:fldChar w:fldCharType="begin"/>
      </w:r>
      <w:r>
        <w:instrText xml:space="preserve"> REF _Ref43987867 \r \h </w:instrText>
      </w:r>
      <w:r>
        <w:fldChar w:fldCharType="separate"/>
      </w:r>
      <w:r>
        <w:t>6.3.1.3</w:t>
      </w:r>
      <w:r>
        <w:fldChar w:fldCharType="end"/>
      </w:r>
    </w:p>
    <w:p w14:paraId="5269AF64" w14:textId="77777777">
      <w:pPr>
        <w:pStyle w:val="Lista"/>
      </w:pPr>
      <w:r>
        <w:t xml:space="preserve">when marking up text as unclear, you must keep in mind that the EpiDoc schema permits only text and the XML element </w:t>
      </w:r>
      <w:r>
        <w:rPr>
          <w:rStyle w:val="Code"/>
        </w:rPr>
        <w:t>&lt;g&gt;</w:t>
      </w:r>
      <w:r>
        <w:t xml:space="preserve"> within </w:t>
      </w:r>
      <w:r>
        <w:rPr>
          <w:rStyle w:val="Code"/>
        </w:rPr>
        <w:t>&lt;unclear&gt;</w:t>
      </w:r>
    </w:p>
    <w:p w14:paraId="3B7A6127" w14:textId="77777777">
      <w:pPr>
        <w:pStyle w:val="Lista2"/>
      </w:pPr>
      <w:r>
        <w:t xml:space="preserve">therefore, if a stretch of text you wish to mark up as unclear incorporates or overlaps with another stretch that needs different markup (for instance editorial intervention), you will need to split the stretches of text tagged with </w:t>
      </w:r>
      <w:r>
        <w:rPr>
          <w:rStyle w:val="Code"/>
        </w:rPr>
        <w:t>&lt;unclear&gt;</w:t>
      </w:r>
      <w:r>
        <w:t xml:space="preserve"> accordingly</w:t>
      </w:r>
    </w:p>
    <w:p w14:paraId="60EDD621" w14:textId="77777777">
      <w:pPr>
        <w:pStyle w:val="Lista2"/>
      </w:pPr>
      <w:r>
        <w:t>see §</w:t>
      </w:r>
      <w:r>
        <w:fldChar w:fldCharType="begin"/>
      </w:r>
      <w:r>
        <w:instrText xml:space="preserve"> REF _Ref232072486 \r \h </w:instrText>
      </w:r>
      <w:r>
        <w:fldChar w:fldCharType="separate"/>
      </w:r>
      <w:r>
        <w:t>16.2.7</w:t>
      </w:r>
      <w:r>
        <w:fldChar w:fldCharType="end"/>
      </w:r>
      <w:r>
        <w:t xml:space="preserve"> for further discussion and examples</w:t>
      </w:r>
    </w:p>
    <w:p w14:paraId="1F3C9C56" w14:textId="77777777">
      <w:pPr>
        <w:pStyle w:val="Cmsor4"/>
      </w:pPr>
      <w:r>
        <w:t xml:space="preserve">When to use </w:t>
      </w:r>
      <w:r>
        <w:rPr>
          <w:rStyle w:val="Code"/>
        </w:rPr>
        <w:t>&lt;unclear&gt;</w:t>
      </w:r>
    </w:p>
    <w:p w14:paraId="73465BBE" w14:textId="77777777">
      <w:pPr>
        <w:pStyle w:val="Lista"/>
      </w:pPr>
      <w:r>
        <w:t xml:space="preserve">as defined in EpiDoc, the element </w:t>
      </w:r>
      <w:r>
        <w:rPr>
          <w:rStyle w:val="Code"/>
        </w:rPr>
        <w:t>&lt;unclear&gt;</w:t>
      </w:r>
      <w:r>
        <w:t xml:space="preserve"> stands for any grapheme “of which at least traces survive, but not adequately to identify the letter unambiguously outside of its context”</w:t>
      </w:r>
      <w:r>
        <w:rPr>
          <w:rStyle w:val="Lbjegyzet-hivatkozs"/>
        </w:rPr>
        <w:footnoteReference w:id="27"/>
      </w:r>
    </w:p>
    <w:p w14:paraId="6D3A7351" w14:textId="77777777">
      <w:pPr>
        <w:pStyle w:val="Lista"/>
      </w:pPr>
      <w:r>
        <w:t>therefore, this encoding is applicable to all of the following situations</w:t>
      </w:r>
    </w:p>
    <w:p w14:paraId="7666EED2" w14:textId="77777777">
      <w:pPr>
        <w:pStyle w:val="Lista2"/>
      </w:pPr>
      <w:r>
        <w:t>“I’m not quite sure this bit of text is correct”</w:t>
      </w:r>
    </w:p>
    <w:p w14:paraId="65E4ECFE" w14:textId="77777777">
      <w:pPr>
        <w:pStyle w:val="Lista3"/>
      </w:pPr>
      <w:r>
        <w:t>this is the basic situation where most of us would intuitively want to tag a locus as unclear</w:t>
      </w:r>
    </w:p>
    <w:p w14:paraId="1A64AC1C" w14:textId="77777777">
      <w:pPr>
        <w:pStyle w:val="Lista2"/>
      </w:pPr>
      <w:r>
        <w:t>“this bit of text is entirely illegible in the source, but I can restore it”</w:t>
      </w:r>
    </w:p>
    <w:p w14:paraId="232B6DDD" w14:textId="77777777">
      <w:pPr>
        <w:pStyle w:val="Lista3"/>
      </w:pPr>
      <w:r>
        <w:t>as discussed in §</w:t>
      </w:r>
      <w:r>
        <w:fldChar w:fldCharType="begin"/>
      </w:r>
      <w:r>
        <w:instrText xml:space="preserve"> REF _Ref228196345 \r \h </w:instrText>
      </w:r>
      <w:r>
        <w:fldChar w:fldCharType="separate"/>
      </w:r>
      <w:r>
        <w:t>6.1</w:t>
      </w:r>
      <w:r>
        <w:fldChar w:fldCharType="end"/>
      </w:r>
      <w:r>
        <w:t xml:space="preserve">, such a restoration cannot be encoded as </w:t>
      </w:r>
      <w:r>
        <w:rPr>
          <w:rStyle w:val="Code"/>
        </w:rPr>
        <w:t>&lt;supplied&gt;</w:t>
      </w:r>
      <w:r>
        <w:t xml:space="preserve"> and must instead be encoded as </w:t>
      </w:r>
      <w:r>
        <w:rPr>
          <w:rStyle w:val="Code"/>
        </w:rPr>
        <w:t>&lt;unclear&gt;</w:t>
      </w:r>
      <w:r>
        <w:t xml:space="preserve"> </w:t>
      </w:r>
    </w:p>
    <w:p w14:paraId="542279E5" w14:textId="77777777">
      <w:pPr>
        <w:pStyle w:val="Lista2"/>
      </w:pPr>
      <w:r>
        <w:t>“this bit of text could conceivably be something else if the context was not there to help”</w:t>
      </w:r>
    </w:p>
    <w:p w14:paraId="49AB3263" w14:textId="77777777">
      <w:pPr>
        <w:pStyle w:val="Lista3"/>
      </w:pPr>
      <w:r>
        <w:t xml:space="preserve">although </w:t>
      </w:r>
      <w:r>
        <w:rPr>
          <w:rStyle w:val="Code"/>
        </w:rPr>
        <w:t>&lt;unclear&gt;</w:t>
      </w:r>
      <w:r>
        <w:t xml:space="preserve"> would in principle be required in all such situations, in DHARMA practice we prefer leaving its use to the editor’s discretion and recommend not adding this tag to trivial cases of potential out-of-context ambiguity</w:t>
      </w:r>
    </w:p>
    <w:p w14:paraId="47B8E4E5" w14:textId="77777777">
      <w:pPr>
        <w:pStyle w:val="Lista3"/>
      </w:pPr>
      <w:r>
        <w:t xml:space="preserve">the rationale for this is that individual graphs lifted out of their context would often be somewhat ambiguous in the source documents we work with (due to full or partial homography in the particular writing system, to careless execution by the scribe, or to damage to the support), but cluttering the edition with </w:t>
      </w:r>
      <w:r>
        <w:rPr>
          <w:rStyle w:val="Code"/>
        </w:rPr>
        <w:t>&lt;unclear&gt;</w:t>
      </w:r>
      <w:r>
        <w:t xml:space="preserve"> markup would distract attention from spots where damage </w:t>
      </w:r>
      <w:r>
        <w:rPr>
          <w:noProof/>
        </w:rPr>
        <w:t>(</w:t>
      </w:r>
      <w:r>
        <w:t>or form) casts genuine doubt on a reading</w:t>
      </w:r>
    </w:p>
    <w:p w14:paraId="1B31F25F" w14:textId="77777777">
      <w:pPr>
        <w:pStyle w:val="Cmsor4"/>
      </w:pPr>
      <w:bookmarkStart w:id="534" w:name="_Ref227942295"/>
      <w:r>
        <w:t>The reason of unclarity</w:t>
      </w:r>
      <w:bookmarkEnd w:id="534"/>
    </w:p>
    <w:p w14:paraId="662BDD6F" w14:textId="77777777">
      <w:pPr>
        <w:rPr>
          <w:lang w:eastAsia="en-US" w:bidi="ar-SA"/>
        </w:rPr>
      </w:pPr>
      <w:r>
        <w:rPr>
          <w:lang w:eastAsia="en-US" w:bidi="ar-SA"/>
        </w:rPr>
        <w:t xml:space="preserve">The reason why a locus is deemed unclear is understood by default to be damage to the support, which may or may not be aggravated by the careless execution of the writing. In situations where the support is quite pristine but the reading is nonetheless unclear because the glyphs are unfinished, clumsily executed, or take an unusual or idiosyncratic shape, add </w:t>
      </w:r>
      <w:r>
        <w:t xml:space="preserve">the attribute </w:t>
      </w:r>
      <w:r>
        <w:rPr>
          <w:rStyle w:val="Codeattribute"/>
        </w:rPr>
        <w:t>@reason</w:t>
      </w:r>
      <w:r>
        <w:t xml:space="preserve"> with the value </w:t>
      </w:r>
      <w:r>
        <w:rPr>
          <w:rStyle w:val="Codevalue"/>
        </w:rPr>
        <w:t>"eccentric_ductus"</w:t>
      </w:r>
      <w:r>
        <w:t xml:space="preserve"> to the </w:t>
      </w:r>
      <w:r>
        <w:rPr>
          <w:rStyle w:val="Code"/>
        </w:rPr>
        <w:t>&lt;unclear&gt;</w:t>
      </w:r>
      <w:r>
        <w:t xml:space="preserve"> element.</w:t>
      </w:r>
    </w:p>
    <w:p w14:paraId="3BDACAA2" w14:textId="77777777">
      <w:pPr>
        <w:pStyle w:val="Lista"/>
      </w:pPr>
      <w:r>
        <w:t xml:space="preserve">e.g. </w:t>
      </w:r>
      <w:r>
        <w:rPr>
          <w:rStyle w:val="Code"/>
        </w:rPr>
        <w:t xml:space="preserve">&lt;unclear </w:t>
      </w:r>
      <w:r>
        <w:rPr>
          <w:rStyle w:val="Codeattribute"/>
        </w:rPr>
        <w:t>reason</w:t>
      </w:r>
      <w:r>
        <w:rPr>
          <w:rStyle w:val="Code"/>
        </w:rPr>
        <w:t>=</w:t>
      </w:r>
      <w:r>
        <w:rPr>
          <w:rStyle w:val="Codevalue"/>
        </w:rPr>
        <w:t>"eccentric_ductus"</w:t>
      </w:r>
      <w:r>
        <w:rPr>
          <w:rStyle w:val="Code"/>
        </w:rPr>
        <w:t>&gt;</w:t>
      </w:r>
      <w:r>
        <w:rPr>
          <w:rStyle w:val="Codetext"/>
        </w:rPr>
        <w:t>jñ</w:t>
      </w:r>
      <w:r>
        <w:rPr>
          <w:rStyle w:val="Code"/>
        </w:rPr>
        <w:t>&lt;/unclear&gt;</w:t>
      </w:r>
      <w:r>
        <w:rPr>
          <w:rStyle w:val="Codetext"/>
        </w:rPr>
        <w:t>āna</w:t>
      </w:r>
    </w:p>
    <w:p w14:paraId="539C847D" w14:textId="77777777">
      <w:pPr>
        <w:pStyle w:val="Lista"/>
      </w:pPr>
      <w:r>
        <w:t xml:space="preserve">when damage and eccentric ductus are </w:t>
      </w:r>
      <w:r>
        <w:rPr>
          <w:noProof/>
        </w:rPr>
        <w:t>(</w:t>
      </w:r>
      <w:r>
        <w:t xml:space="preserve">or may be) simultaneously present, use </w:t>
      </w:r>
      <w:r>
        <w:rPr>
          <w:rStyle w:val="Code"/>
        </w:rPr>
        <w:t>&lt;unclear&gt;</w:t>
      </w:r>
      <w:r>
        <w:t xml:space="preserve"> with or without this attribute depending on what you consider to be the primary reason for the lack of clarity</w:t>
      </w:r>
    </w:p>
    <w:p w14:paraId="36938EDF" w14:textId="77777777">
      <w:pPr>
        <w:pStyle w:val="Lista2"/>
      </w:pPr>
      <w:r>
        <w:t xml:space="preserve">when in doubt, prefer </w:t>
      </w:r>
      <w:r>
        <w:rPr>
          <w:rStyle w:val="Code"/>
        </w:rPr>
        <w:t>&lt;unclear&gt;</w:t>
      </w:r>
      <w:r>
        <w:t xml:space="preserve"> without this attribute</w:t>
      </w:r>
    </w:p>
    <w:p w14:paraId="55DCC439" w14:textId="77777777">
      <w:pPr>
        <w:pStyle w:val="Cmsor4"/>
      </w:pPr>
      <w:bookmarkStart w:id="535" w:name="_gpk9nikrok6m" w:colFirst="0" w:colLast="0"/>
      <w:bookmarkStart w:id="536" w:name="_Ref43987867"/>
      <w:bookmarkEnd w:id="535"/>
      <w:r>
        <w:t>Tentative readings</w:t>
      </w:r>
      <w:bookmarkEnd w:id="536"/>
    </w:p>
    <w:p w14:paraId="116095ED" w14:textId="77777777">
      <w:r>
        <w:t xml:space="preserve">By default, the element </w:t>
      </w:r>
      <w:r>
        <w:rPr>
          <w:rStyle w:val="Code"/>
        </w:rPr>
        <w:t>&lt;unclear&gt;</w:t>
      </w:r>
      <w:r>
        <w:t xml:space="preserve"> only expresses potential ambiguity when taken out of context, without saying anything about the degree of confidence in a reading. As discussed in §</w:t>
      </w:r>
      <w:r>
        <w:fldChar w:fldCharType="begin"/>
      </w:r>
      <w:r>
        <w:instrText xml:space="preserve"> REF _Ref228196345 \r \h </w:instrText>
      </w:r>
      <w:r>
        <w:fldChar w:fldCharType="separate"/>
      </w:r>
      <w:r>
        <w:t>6.1</w:t>
      </w:r>
      <w:r>
        <w:fldChar w:fldCharType="end"/>
      </w:r>
      <w:r>
        <w:t xml:space="preserve"> and shown in </w:t>
      </w:r>
      <w:r>
        <w:fldChar w:fldCharType="begin"/>
      </w:r>
      <w:r>
        <w:instrText xml:space="preserve"> REF _Ref228199279 \h </w:instrText>
      </w:r>
      <w:r>
        <w:fldChar w:fldCharType="separate"/>
      </w:r>
      <w:r>
        <w:t xml:space="preserve">Exhibit </w:t>
      </w:r>
      <w:r>
        <w:rPr>
          <w:noProof/>
        </w:rPr>
        <w:t>6.1</w:t>
      </w:r>
      <w:r>
        <w:t>.</w:t>
      </w:r>
      <w:r>
        <w:rPr>
          <w:noProof/>
        </w:rPr>
        <w:t>A</w:t>
      </w:r>
      <w:r>
        <w:fldChar w:fldCharType="end"/>
      </w:r>
      <w:r>
        <w:t xml:space="preserve">, the default assumption is that the locus has been read with high or reasonable confidence. When the reading of a locus is tentative, add the attribute </w:t>
      </w:r>
      <w:r>
        <w:rPr>
          <w:rStyle w:val="Codeattribute"/>
        </w:rPr>
        <w:t>@cert</w:t>
      </w:r>
      <w:r>
        <w:t xml:space="preserve"> with the value </w:t>
      </w:r>
      <w:r>
        <w:rPr>
          <w:rStyle w:val="Codevalue"/>
        </w:rPr>
        <w:t>"low"</w:t>
      </w:r>
      <w:r>
        <w:t xml:space="preserve"> to the </w:t>
      </w:r>
      <w:r>
        <w:rPr>
          <w:rStyle w:val="Code"/>
        </w:rPr>
        <w:t>&lt;unclear&gt;</w:t>
      </w:r>
      <w:r>
        <w:t xml:space="preserve"> element.</w:t>
      </w:r>
    </w:p>
    <w:p w14:paraId="4164690F" w14:textId="77777777">
      <w:pPr>
        <w:pStyle w:val="Lista"/>
      </w:pPr>
      <w:r>
        <w:t xml:space="preserve">e.g. </w:t>
      </w:r>
      <w:r>
        <w:rPr>
          <w:rStyle w:val="Codetext"/>
        </w:rPr>
        <w:t>mahā</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puruṣa</w:t>
      </w:r>
      <w:r>
        <w:rPr>
          <w:rStyle w:val="Code"/>
        </w:rPr>
        <w:t>&lt;/unclear&gt;</w:t>
      </w:r>
    </w:p>
    <w:p w14:paraId="441F349F" w14:textId="77777777">
      <w:pPr>
        <w:pStyle w:val="Lista"/>
      </w:pPr>
      <w:r>
        <w:t xml:space="preserve">no additional degrees of confidence shall be represented in markup, so </w:t>
      </w:r>
      <w:r>
        <w:rPr>
          <w:rStyle w:val="Codevalue"/>
        </w:rPr>
        <w:t>"low"</w:t>
      </w:r>
      <w:r>
        <w:t xml:space="preserve"> here may stand for anything between “not quite confident” to “desperate conjecture”</w:t>
      </w:r>
    </w:p>
    <w:p w14:paraId="7C329F3C" w14:textId="77777777">
      <w:pPr>
        <w:pStyle w:val="Lista2"/>
      </w:pPr>
      <w:r>
        <w:t>however, it is preferable to save desperate conjectures for your commentary or apparatus, and within the edition, only encode readings in which you have some confidence</w:t>
      </w:r>
    </w:p>
    <w:p w14:paraId="3D13BB15" w14:textId="77777777">
      <w:pPr>
        <w:pStyle w:val="Lista"/>
      </w:pPr>
      <w:r>
        <w:lastRenderedPageBreak/>
        <w:t xml:space="preserve">note that while a low certainty expressed by this attribute is often a consequence of extensive damage, the </w:t>
      </w:r>
      <w:r>
        <w:rPr>
          <w:b/>
          <w:bCs/>
        </w:rPr>
        <w:t>degree of legibility</w:t>
      </w:r>
      <w:r>
        <w:t xml:space="preserve"> is not in direct correlation to the necessity of adding this attribute, thus:</w:t>
      </w:r>
    </w:p>
    <w:p w14:paraId="38FCD8E4" w14:textId="77777777">
      <w:pPr>
        <w:pStyle w:val="Lista2"/>
      </w:pPr>
      <w:r>
        <w:t xml:space="preserve">even very badly damaged text may be marked up with plain </w:t>
      </w:r>
      <w:r>
        <w:rPr>
          <w:rStyle w:val="Code"/>
        </w:rPr>
        <w:t>&lt;unclear&gt;</w:t>
      </w:r>
      <w:r>
        <w:t xml:space="preserve"> if it can be confidently supplied in the context; whereas</w:t>
      </w:r>
    </w:p>
    <w:p w14:paraId="57196883" w14:textId="77777777">
      <w:pPr>
        <w:pStyle w:val="Lista2"/>
      </w:pPr>
      <w:r>
        <w:t xml:space="preserve">even text that is only slightly affected by damage or awkward execution may need to be marked up as </w:t>
      </w:r>
      <w:r>
        <w:rPr>
          <w:rStyle w:val="Code"/>
        </w:rPr>
        <w:t xml:space="preserve">&lt;unclear </w:t>
      </w:r>
      <w:r>
        <w:rPr>
          <w:rStyle w:val="Codeattribute"/>
        </w:rPr>
        <w:t>cert</w:t>
      </w:r>
      <w:r>
        <w:rPr>
          <w:rStyle w:val="Code"/>
        </w:rPr>
        <w:t>=</w:t>
      </w:r>
      <w:r>
        <w:rPr>
          <w:rStyle w:val="Codevalue"/>
        </w:rPr>
        <w:t>"low"</w:t>
      </w:r>
      <w:r>
        <w:rPr>
          <w:rStyle w:val="Code"/>
        </w:rPr>
        <w:t>&gt;</w:t>
      </w:r>
      <w:r>
        <w:t xml:space="preserve"> if the context permits a variety of plausible alternative readings, as may easily be the case in unintelligible or only partly understood contexts </w:t>
      </w:r>
      <w:r>
        <w:rPr>
          <w:noProof/>
        </w:rPr>
        <w:t>(</w:t>
      </w:r>
      <w:r>
        <w:t>e.g. names, words foreign to the language of the inscription, or in case of extensive damage to the context)</w:t>
      </w:r>
    </w:p>
    <w:p w14:paraId="04CB4096" w14:textId="77777777">
      <w:pPr>
        <w:pStyle w:val="Cmsor3"/>
      </w:pPr>
      <w:bookmarkStart w:id="537" w:name="_is1q03k2vcu2" w:colFirst="0" w:colLast="0"/>
      <w:bookmarkStart w:id="538" w:name="_Ref43987339"/>
      <w:bookmarkStart w:id="539" w:name="_Toc243900317"/>
      <w:bookmarkEnd w:id="537"/>
      <w:r>
        <w:t xml:space="preserve">Encoding ambivalent </w:t>
      </w:r>
      <w:bookmarkEnd w:id="538"/>
      <w:r>
        <w:t>text</w:t>
      </w:r>
      <w:bookmarkEnd w:id="539"/>
    </w:p>
    <w:p w14:paraId="0479698D" w14:textId="77777777">
      <w:r>
        <w:t xml:space="preserve">If a damaged or malformed glyph affords a limited number of alternative interpretations and the context does not allow you to select the most likely candidate, each alternative may be listed in individual </w:t>
      </w:r>
      <w:r>
        <w:rPr>
          <w:rStyle w:val="Code"/>
        </w:rPr>
        <w:t>&lt;unclear&gt;</w:t>
      </w:r>
      <w:r>
        <w:t xml:space="preserve"> tags, wrapping the list in the </w:t>
      </w:r>
      <w:r>
        <w:rPr>
          <w:rStyle w:val="Code"/>
        </w:rPr>
        <w:t>&lt;choice&gt;</w:t>
      </w:r>
      <w:r>
        <w:t xml:space="preserve"> element to show that only one of these is actually present at the given locus.</w:t>
      </w:r>
    </w:p>
    <w:p w14:paraId="40D2FC65" w14:textId="77777777">
      <w:pPr>
        <w:pStyle w:val="Lista"/>
      </w:pPr>
      <w:r>
        <w:t xml:space="preserve">e.g. </w:t>
      </w:r>
      <w:r>
        <w:rPr>
          <w:rStyle w:val="Codetext"/>
        </w:rPr>
        <w:t>s</w:t>
      </w:r>
      <w:r>
        <w:rPr>
          <w:rStyle w:val="Code"/>
        </w:rPr>
        <w:t>&lt;choice&gt;&lt;unclear&gt;</w:t>
      </w:r>
      <w:r>
        <w:rPr>
          <w:rStyle w:val="Codetext"/>
        </w:rPr>
        <w:t>th</w:t>
      </w:r>
      <w:r>
        <w:rPr>
          <w:rStyle w:val="Code"/>
        </w:rPr>
        <w:t>&lt;/unclear&gt;&lt;unclear&gt;v&lt;/unclear&gt;&lt;/choice&gt;</w:t>
      </w:r>
      <w:r>
        <w:rPr>
          <w:rStyle w:val="Codetext"/>
        </w:rPr>
        <w:t>a</w:t>
      </w:r>
      <w:r>
        <w:t xml:space="preserve"> for an </w:t>
      </w:r>
      <w:r>
        <w:rPr>
          <w:rStyle w:val="Foreign"/>
        </w:rPr>
        <w:t>akṣara</w:t>
      </w:r>
      <w:r>
        <w:t xml:space="preserve"> that might be read as </w:t>
      </w:r>
      <w:r>
        <w:rPr>
          <w:rStyle w:val="Foreign"/>
        </w:rPr>
        <w:t>stha</w:t>
      </w:r>
      <w:r>
        <w:t xml:space="preserve"> or </w:t>
      </w:r>
      <w:r>
        <w:rPr>
          <w:rStyle w:val="Foreign"/>
        </w:rPr>
        <w:t>sva</w:t>
      </w:r>
    </w:p>
    <w:p w14:paraId="7929950A" w14:textId="77777777">
      <w:pPr>
        <w:pStyle w:val="Lista"/>
      </w:pPr>
      <w:r>
        <w:t xml:space="preserve">in this usage, </w:t>
      </w:r>
      <w:r>
        <w:rPr>
          <w:rStyle w:val="Code"/>
        </w:rPr>
        <w:t>&lt;unclear&gt;</w:t>
      </w:r>
      <w:r>
        <w:t xml:space="preserve"> shall be used without </w:t>
      </w:r>
      <w:r>
        <w:rPr>
          <w:rStyle w:val="Codeattribute"/>
        </w:rPr>
        <w:t>@cert</w:t>
      </w:r>
      <w:r>
        <w:t xml:space="preserve"> (§</w:t>
      </w:r>
      <w:r>
        <w:fldChar w:fldCharType="begin"/>
      </w:r>
      <w:r>
        <w:instrText xml:space="preserve"> REF _Ref228200185 \r \h </w:instrText>
      </w:r>
      <w:r>
        <w:fldChar w:fldCharType="separate"/>
      </w:r>
      <w:r>
        <w:t>6.3.2.2</w:t>
      </w:r>
      <w:r>
        <w:fldChar w:fldCharType="end"/>
      </w:r>
      <w:r>
        <w:t xml:space="preserve">), but </w:t>
      </w:r>
      <w:r>
        <w:rPr>
          <w:rStyle w:val="Codeattribute"/>
        </w:rPr>
        <w:t>@reason</w:t>
      </w:r>
      <w:r>
        <w:t xml:space="preserve"> may be added if applicable (§</w:t>
      </w:r>
      <w:r>
        <w:fldChar w:fldCharType="begin"/>
      </w:r>
      <w:r>
        <w:instrText xml:space="preserve"> REF _Ref227942295 \r \h </w:instrText>
      </w:r>
      <w:r>
        <w:fldChar w:fldCharType="separate"/>
      </w:r>
      <w:r>
        <w:t>6.3.1.2</w:t>
      </w:r>
      <w:r>
        <w:fldChar w:fldCharType="end"/>
      </w:r>
      <w:r>
        <w:t>)</w:t>
      </w:r>
    </w:p>
    <w:p w14:paraId="4B47A57B" w14:textId="77777777">
      <w:pPr>
        <w:pStyle w:val="Lista"/>
      </w:pPr>
      <w:r>
        <w:t>since the encoding of alternative readings for an ambivalent locus impedes the readability and (especially) the searchability of the edition, this encoding should be used considerately and may in many circumstances be replaced by simply encoding the most likely alternative as unclear (§</w:t>
      </w:r>
      <w:r>
        <w:fldChar w:fldCharType="begin"/>
      </w:r>
      <w:r>
        <w:instrText xml:space="preserve"> REF _Ref228201766 \r \h </w:instrText>
      </w:r>
      <w:r>
        <w:fldChar w:fldCharType="separate"/>
      </w:r>
      <w:r>
        <w:t>6.3.2.1</w:t>
      </w:r>
      <w:r>
        <w:fldChar w:fldCharType="end"/>
      </w:r>
      <w:r>
        <w:t>)</w:t>
      </w:r>
    </w:p>
    <w:p w14:paraId="16A43B79" w14:textId="77777777">
      <w:pPr>
        <w:pStyle w:val="Lista"/>
      </w:pPr>
      <w:r>
        <w:t xml:space="preserve">the text outside this encoding and the text within each of the alternative </w:t>
      </w:r>
      <w:r>
        <w:rPr>
          <w:rStyle w:val="Code"/>
        </w:rPr>
        <w:t>&lt;unclear&gt;</w:t>
      </w:r>
      <w:r>
        <w:t xml:space="preserve"> elements must be entered with care, making sure that all of the possible alternative readings are accurately reproduced even when the ambivalence gives rise to complications such as</w:t>
      </w:r>
    </w:p>
    <w:p w14:paraId="358A57FD" w14:textId="77777777">
      <w:pPr>
        <w:pStyle w:val="Lista2"/>
      </w:pPr>
      <w:r>
        <w:t xml:space="preserve">a different number of graphemes in the alternatives, e.g. </w:t>
      </w:r>
      <w:r>
        <w:rPr>
          <w:rStyle w:val="Codetext"/>
        </w:rPr>
        <w:t>g</w:t>
      </w:r>
      <w:r>
        <w:rPr>
          <w:rStyle w:val="Code"/>
        </w:rPr>
        <w:t>&lt;choice&gt;&lt;unclear&gt;</w:t>
      </w:r>
      <w:r>
        <w:rPr>
          <w:rStyle w:val="Codetext"/>
        </w:rPr>
        <w:t>r̥</w:t>
      </w:r>
      <w:r>
        <w:rPr>
          <w:rStyle w:val="Code"/>
        </w:rPr>
        <w:t>&lt;/unclear&gt;&lt;unclear&gt;</w:t>
      </w:r>
      <w:r>
        <w:rPr>
          <w:rStyle w:val="Codetext"/>
        </w:rPr>
        <w:t>ra</w:t>
      </w:r>
      <w:r>
        <w:rPr>
          <w:rStyle w:val="Code"/>
        </w:rPr>
        <w:t>&lt;/unclear&gt;&lt;/choice&gt;</w:t>
      </w:r>
      <w:r>
        <w:rPr>
          <w:rStyle w:val="Codetext"/>
        </w:rPr>
        <w:t>ha</w:t>
      </w:r>
      <w:r>
        <w:t xml:space="preserve"> for a locus that could be read as </w:t>
      </w:r>
      <w:r>
        <w:rPr>
          <w:rStyle w:val="Foreign"/>
        </w:rPr>
        <w:t>gr̥ha</w:t>
      </w:r>
      <w:r>
        <w:t xml:space="preserve"> or </w:t>
      </w:r>
      <w:r>
        <w:rPr>
          <w:rStyle w:val="Foreign"/>
        </w:rPr>
        <w:t>graha</w:t>
      </w:r>
    </w:p>
    <w:p w14:paraId="175E663F" w14:textId="77777777">
      <w:pPr>
        <w:pStyle w:val="Lista2"/>
      </w:pPr>
      <w:r>
        <w:t xml:space="preserve">different editorial spacing or hyphenation applicable to the alternatives, e.g. </w:t>
      </w:r>
      <w:r>
        <w:rPr>
          <w:rStyle w:val="Codetext"/>
        </w:rPr>
        <w:t>tath</w:t>
      </w:r>
      <w:r>
        <w:rPr>
          <w:rStyle w:val="Code"/>
        </w:rPr>
        <w:t>&lt;choice&gt;&lt;unclear&gt;</w:t>
      </w:r>
      <w:r>
        <w:rPr>
          <w:rStyle w:val="Codetext"/>
        </w:rPr>
        <w:t>āp</w:t>
      </w:r>
      <w:r>
        <w:rPr>
          <w:rStyle w:val="Code"/>
        </w:rPr>
        <w:t>&lt;/unclear&gt;&lt;unclear&gt;</w:t>
      </w:r>
      <w:r>
        <w:rPr>
          <w:rStyle w:val="Codetext"/>
        </w:rPr>
        <w:t>ā</w:t>
      </w:r>
      <w:r>
        <w:rPr>
          <w:rStyle w:val="Code"/>
        </w:rPr>
        <w:t xml:space="preserve"> </w:t>
      </w:r>
      <w:r>
        <w:rPr>
          <w:rStyle w:val="Codetext"/>
        </w:rPr>
        <w:t>h</w:t>
      </w:r>
      <w:r>
        <w:rPr>
          <w:rStyle w:val="Code"/>
        </w:rPr>
        <w:t>&lt;/unclear&gt;&lt;/choice&gt;</w:t>
      </w:r>
      <w:r>
        <w:rPr>
          <w:rStyle w:val="Codetext"/>
        </w:rPr>
        <w:t>i</w:t>
      </w:r>
      <w:r>
        <w:t xml:space="preserve"> for a locus that could be read as </w:t>
      </w:r>
      <w:r>
        <w:rPr>
          <w:rStyle w:val="Foreign"/>
        </w:rPr>
        <w:t>tathāpi</w:t>
      </w:r>
      <w:r>
        <w:t xml:space="preserve"> (</w:t>
      </w:r>
      <w:proofErr w:type="spellStart"/>
      <w:r>
        <w:rPr>
          <w:rStyle w:val="Foreign"/>
        </w:rPr>
        <w:t>tathā</w:t>
      </w:r>
      <w:proofErr w:type="spellEnd"/>
      <w:r>
        <w:rPr>
          <w:rStyle w:val="Foreign"/>
        </w:rPr>
        <w:t>*api</w:t>
      </w:r>
      <w:r>
        <w:t xml:space="preserve"> in inseparable sandhi) or </w:t>
      </w:r>
      <w:r>
        <w:rPr>
          <w:rStyle w:val="Foreign"/>
        </w:rPr>
        <w:t>tathā hi</w:t>
      </w:r>
      <w:r>
        <w:t xml:space="preserve"> (two separable words)</w:t>
      </w:r>
    </w:p>
    <w:p w14:paraId="1B85307E" w14:textId="77777777">
      <w:pPr>
        <w:pStyle w:val="Lista3"/>
      </w:pPr>
      <w:r>
        <w:t>see §</w:t>
      </w:r>
      <w:r>
        <w:fldChar w:fldCharType="begin"/>
      </w:r>
      <w:r>
        <w:instrText xml:space="preserve"> REF _Ref232068629 \r \h </w:instrText>
      </w:r>
      <w:r>
        <w:fldChar w:fldCharType="separate"/>
      </w:r>
      <w:r>
        <w:t>7.8.1.1</w:t>
      </w:r>
      <w:r>
        <w:fldChar w:fldCharType="end"/>
      </w:r>
      <w:r>
        <w:t xml:space="preserve"> about avoiding spaces at the beginning or end of a text-containing element</w:t>
      </w:r>
    </w:p>
    <w:p w14:paraId="5FA20EB0" w14:textId="77777777">
      <w:pPr>
        <w:pStyle w:val="Lista2"/>
      </w:pPr>
      <w:r>
        <w:t>see also §</w:t>
      </w:r>
      <w:r>
        <w:fldChar w:fldCharType="begin"/>
      </w:r>
      <w:r>
        <w:instrText xml:space="preserve"> REF _Ref228275185 \r \h </w:instrText>
      </w:r>
      <w:r>
        <w:fldChar w:fldCharType="separate"/>
      </w:r>
      <w:r>
        <w:t>6.3.3</w:t>
      </w:r>
      <w:r>
        <w:fldChar w:fldCharType="end"/>
      </w:r>
      <w:r>
        <w:t xml:space="preserve"> on good practice</w:t>
      </w:r>
    </w:p>
    <w:p w14:paraId="671A69A0" w14:textId="77777777">
      <w:pPr>
        <w:pStyle w:val="Lista"/>
      </w:pPr>
      <w:r>
        <w:t xml:space="preserve">ambivalence involving more than two alternatives may be marked up by adding further </w:t>
      </w:r>
      <w:r>
        <w:rPr>
          <w:rStyle w:val="Code"/>
        </w:rPr>
        <w:t>&lt;unclear&gt;</w:t>
      </w:r>
      <w:r>
        <w:t xml:space="preserve"> elements within </w:t>
      </w:r>
      <w:r>
        <w:rPr>
          <w:rStyle w:val="Code"/>
        </w:rPr>
        <w:t>&lt;choice&gt;</w:t>
      </w:r>
    </w:p>
    <w:p w14:paraId="7B530A58" w14:textId="77777777">
      <w:pPr>
        <w:pStyle w:val="Lista2"/>
      </w:pPr>
      <w:r>
        <w:t xml:space="preserve">it is, however, recommended that you limit the number of alternatives to no more than two, and in the rare case where a higher number of genuinely plausible alternatives are possible, instead record the single most likely one as </w:t>
      </w:r>
      <w:r>
        <w:rPr>
          <w:rStyle w:val="Code"/>
        </w:rPr>
        <w:t>&lt;unclear&gt;</w:t>
      </w:r>
      <w:r>
        <w:t xml:space="preserve"> and mention the others in your commentary or apparatus</w:t>
      </w:r>
    </w:p>
    <w:p w14:paraId="3BC0CF66" w14:textId="77777777">
      <w:pPr>
        <w:pStyle w:val="Cmsor4"/>
      </w:pPr>
      <w:bookmarkStart w:id="540" w:name="_Ref228201766"/>
      <w:r>
        <w:t>Trivial ambivalence</w:t>
      </w:r>
      <w:bookmarkEnd w:id="540"/>
    </w:p>
    <w:p w14:paraId="6EE15897" w14:textId="77777777">
      <w:r>
        <w:t>As for unclear markup in general, feel free to ignore trivial ambivalence that can be resolved confidently on the basis of the context.</w:t>
      </w:r>
    </w:p>
    <w:p w14:paraId="56107F35" w14:textId="77777777">
      <w:pPr>
        <w:pStyle w:val="Lista"/>
      </w:pPr>
      <w:r>
        <w:t xml:space="preserve">in particular, when some pairs of glyphs look very similar </w:t>
      </w:r>
      <w:r>
        <w:rPr>
          <w:noProof/>
        </w:rPr>
        <w:t>(</w:t>
      </w:r>
      <w:r>
        <w:t xml:space="preserve">or wholly identical) in the script of your inscription, it is recommended that you record the expected reading without any markup or with a single </w:t>
      </w:r>
      <w:r>
        <w:rPr>
          <w:rStyle w:val="Code"/>
        </w:rPr>
        <w:t>&lt;unclear&gt;</w:t>
      </w:r>
      <w:r>
        <w:t xml:space="preserve"> element, e.g.</w:t>
      </w:r>
    </w:p>
    <w:p w14:paraId="51ECF2E3" w14:textId="77777777">
      <w:pPr>
        <w:pStyle w:val="Lista2"/>
      </w:pPr>
      <w:r>
        <w:t xml:space="preserve">if a word might be read as </w:t>
      </w:r>
      <w:r>
        <w:rPr>
          <w:rStyle w:val="Foreign"/>
        </w:rPr>
        <w:t>ṣahārāja</w:t>
      </w:r>
      <w:r>
        <w:t xml:space="preserve"> in an inscription where </w:t>
      </w:r>
      <w:r>
        <w:rPr>
          <w:rStyle w:val="Foreign"/>
        </w:rPr>
        <w:t>ṣa</w:t>
      </w:r>
      <w:r>
        <w:t xml:space="preserve"> and </w:t>
      </w:r>
      <w:r>
        <w:rPr>
          <w:rStyle w:val="Foreign"/>
        </w:rPr>
        <w:t>ma</w:t>
      </w:r>
      <w:r>
        <w:t xml:space="preserve"> are very similar, simply record </w:t>
      </w:r>
      <w:r>
        <w:rPr>
          <w:rStyle w:val="Codetext"/>
        </w:rPr>
        <w:t>mahārāja</w:t>
      </w:r>
      <w:r>
        <w:t xml:space="preserve"> or </w:t>
      </w:r>
      <w:r>
        <w:rPr>
          <w:rStyle w:val="Code"/>
        </w:rPr>
        <w:t>&lt;unclear&gt;</w:t>
      </w:r>
      <w:r>
        <w:rPr>
          <w:rStyle w:val="Codetext"/>
        </w:rPr>
        <w:t>m</w:t>
      </w:r>
      <w:r>
        <w:rPr>
          <w:rStyle w:val="Code"/>
        </w:rPr>
        <w:t>&lt;/unclear&gt;</w:t>
      </w:r>
      <w:r>
        <w:rPr>
          <w:rStyle w:val="Codetext"/>
        </w:rPr>
        <w:t>ahārāja</w:t>
      </w:r>
    </w:p>
    <w:p w14:paraId="0A2ED81E" w14:textId="77777777">
      <w:pPr>
        <w:pStyle w:val="Lista2"/>
      </w:pPr>
      <w:r>
        <w:t xml:space="preserve">if a word might be read as </w:t>
      </w:r>
      <w:r>
        <w:rPr>
          <w:rStyle w:val="Foreign"/>
        </w:rPr>
        <w:t>sambatsara</w:t>
      </w:r>
      <w:r>
        <w:t xml:space="preserve"> in an inscription where </w:t>
      </w:r>
      <w:r>
        <w:rPr>
          <w:rStyle w:val="Foreign"/>
        </w:rPr>
        <w:t>ba</w:t>
      </w:r>
      <w:r>
        <w:t xml:space="preserve"> and </w:t>
      </w:r>
      <w:r>
        <w:rPr>
          <w:rStyle w:val="Foreign"/>
        </w:rPr>
        <w:t>va</w:t>
      </w:r>
      <w:r>
        <w:t xml:space="preserve"> are very similar, simply record </w:t>
      </w:r>
      <w:r>
        <w:rPr>
          <w:rStyle w:val="Codetext"/>
        </w:rPr>
        <w:t>samvatsara</w:t>
      </w:r>
      <w:r>
        <w:t xml:space="preserve"> or </w:t>
      </w:r>
      <w:r>
        <w:rPr>
          <w:rStyle w:val="Codetext"/>
        </w:rPr>
        <w:t>sam</w:t>
      </w:r>
      <w:r>
        <w:rPr>
          <w:rStyle w:val="Code"/>
        </w:rPr>
        <w:t>&lt;unclear&gt;v&lt;/unclear&gt;</w:t>
      </w:r>
      <w:r>
        <w:rPr>
          <w:rStyle w:val="Codetext"/>
        </w:rPr>
        <w:t>atsara</w:t>
      </w:r>
    </w:p>
    <w:p w14:paraId="4225AEB8" w14:textId="77777777">
      <w:pPr>
        <w:pStyle w:val="Lista"/>
        <w:rPr>
          <w:i/>
          <w:iCs/>
          <w:noProof/>
        </w:rPr>
      </w:pPr>
      <w:r>
        <w:t xml:space="preserve">however, if a possible alternative reading alters the meaning in a non-trivial way, then the ambivalence should normally be marked up </w:t>
      </w:r>
      <w:r>
        <w:rPr>
          <w:noProof/>
        </w:rPr>
        <w:t>(</w:t>
      </w:r>
      <w:r>
        <w:t>unless you are absolutely confident that it is ruled out e.g. by sandhi or by the wider context)</w:t>
      </w:r>
    </w:p>
    <w:p w14:paraId="3AACAF0C" w14:textId="77777777">
      <w:pPr>
        <w:pStyle w:val="Lista2"/>
        <w:rPr>
          <w:i/>
          <w:iCs/>
          <w:noProof/>
        </w:rPr>
      </w:pPr>
      <w:r>
        <w:lastRenderedPageBreak/>
        <w:t xml:space="preserve">e.g. if </w:t>
      </w:r>
      <w:r>
        <w:rPr>
          <w:rStyle w:val="Foreign"/>
        </w:rPr>
        <w:t>Adharma</w:t>
      </w:r>
      <w:r>
        <w:t xml:space="preserve"> or </w:t>
      </w:r>
      <w:r>
        <w:rPr>
          <w:rStyle w:val="Foreign"/>
        </w:rPr>
        <w:t>sudharma</w:t>
      </w:r>
      <w:r>
        <w:t xml:space="preserve"> are both possible because the </w:t>
      </w:r>
      <w:r>
        <w:rPr>
          <w:rStyle w:val="Foreign"/>
        </w:rPr>
        <w:t>akṣara</w:t>
      </w:r>
      <w:r>
        <w:t xml:space="preserve">s </w:t>
      </w:r>
      <w:r>
        <w:rPr>
          <w:rStyle w:val="Foreign"/>
        </w:rPr>
        <w:t>A</w:t>
      </w:r>
      <w:r>
        <w:t xml:space="preserve"> and </w:t>
      </w:r>
      <w:r>
        <w:rPr>
          <w:rStyle w:val="Foreign"/>
        </w:rPr>
        <w:t>su</w:t>
      </w:r>
      <w:r>
        <w:t xml:space="preserve"> are very similar in the document</w:t>
      </w:r>
    </w:p>
    <w:p w14:paraId="0DC42FE9" w14:textId="77777777">
      <w:pPr>
        <w:pStyle w:val="Lista"/>
      </w:pPr>
      <w:r>
        <w:t>even non-trivial alternatives may be left unencoded if you consider one to be much more likely than others, or if the locus is poorly understood and several alternatives are equally feasible</w:t>
      </w:r>
    </w:p>
    <w:p w14:paraId="3A6EBB3C" w14:textId="77777777">
      <w:pPr>
        <w:pStyle w:val="Lista2"/>
      </w:pPr>
      <w:r>
        <w:t>in such cases, simply encode the most likely reading as unclear</w:t>
      </w:r>
    </w:p>
    <w:p w14:paraId="4511D279" w14:textId="77777777">
      <w:pPr>
        <w:pStyle w:val="Lista2"/>
      </w:pPr>
      <w:r>
        <w:t>also keep in mind that those readers of your edition who are interested in possible alternatives can be expected to be familiar enough with the script in question to be able to work out those possible alternatives once they have received indication that a certain reading is unclear</w:t>
      </w:r>
    </w:p>
    <w:p w14:paraId="57C45874" w14:textId="77777777">
      <w:pPr>
        <w:pStyle w:val="Cmsor4"/>
      </w:pPr>
      <w:bookmarkStart w:id="541" w:name="_Ref228200185"/>
      <w:r>
        <w:t>The probability of alternative readings</w:t>
      </w:r>
      <w:bookmarkEnd w:id="541"/>
    </w:p>
    <w:p w14:paraId="22823495" w14:textId="77777777">
      <w:r>
        <w:t xml:space="preserve">By DHARMA convention, alternative readings for ambivalent loci shall be listed in order of decreasing probability (as judged by the editor). Although it is technically possible to assign specific probabilities to each alternative, we see no advantage to complicating our encoding with such information. The attribute </w:t>
      </w:r>
      <w:r>
        <w:rPr>
          <w:rStyle w:val="Codeattribute"/>
        </w:rPr>
        <w:t>@cert</w:t>
      </w:r>
      <w:r>
        <w:t xml:space="preserve"> shall be likewise avoided in ambivalent readings, because using it on both alternatives would be pointless, while using it only on the less likely alternative would not add more information than what is already implied by the order of alternatives.</w:t>
      </w:r>
    </w:p>
    <w:p w14:paraId="7827F4D1" w14:textId="77777777">
      <w:pPr>
        <w:pStyle w:val="Cmsor3"/>
      </w:pPr>
      <w:bookmarkStart w:id="542" w:name="_ke7xgc7f3fhh" w:colFirst="0" w:colLast="0"/>
      <w:bookmarkStart w:id="543" w:name="_Ref228275185"/>
      <w:bookmarkStart w:id="544" w:name="_Toc243900318"/>
      <w:bookmarkEnd w:id="542"/>
      <w:r>
        <w:t>Good practice in encoding unclear readings</w:t>
      </w:r>
      <w:bookmarkEnd w:id="543"/>
      <w:bookmarkEnd w:id="544"/>
    </w:p>
    <w:p w14:paraId="2FE7FB13" w14:textId="77777777">
      <w:r>
        <w:t xml:space="preserve">Since our editions are in Romanised transliteration, </w:t>
      </w:r>
      <w:r>
        <w:rPr>
          <w:rStyle w:val="Code"/>
        </w:rPr>
        <w:t>&lt;unclear&gt;</w:t>
      </w:r>
      <w:r>
        <w:t xml:space="preserve"> encoding can and must precisely target the graphemes affected by a reading issue. </w:t>
      </w:r>
    </w:p>
    <w:p w14:paraId="7197D932" w14:textId="77777777">
      <w:pPr>
        <w:pStyle w:val="Lista"/>
      </w:pPr>
      <w:r>
        <w:t xml:space="preserve">if only a certain glyph component of the original script is unclear or ambiguous, then do not use tags around the transliteration of the entire </w:t>
      </w:r>
      <w:r>
        <w:rPr>
          <w:rStyle w:val="Foreign"/>
        </w:rPr>
        <w:t>akṣara</w:t>
      </w:r>
      <w:r>
        <w:t>, e.g.</w:t>
      </w:r>
    </w:p>
    <w:p w14:paraId="69745670" w14:textId="77777777">
      <w:pPr>
        <w:pStyle w:val="Lista2"/>
      </w:pPr>
      <w:r>
        <w:t xml:space="preserve">e.g. </w:t>
      </w:r>
      <w:r>
        <w:rPr>
          <w:rStyle w:val="Codetext"/>
        </w:rPr>
        <w:t>sph</w:t>
      </w:r>
      <w:r>
        <w:rPr>
          <w:rStyle w:val="Code"/>
        </w:rPr>
        <w:t>&lt;unclear&gt;</w:t>
      </w:r>
      <w:r>
        <w:rPr>
          <w:rStyle w:val="Codetext"/>
        </w:rPr>
        <w:t>u</w:t>
      </w:r>
      <w:r>
        <w:rPr>
          <w:rStyle w:val="Code"/>
        </w:rPr>
        <w:t>&lt;/unclear&gt;</w:t>
      </w:r>
      <w:r>
        <w:rPr>
          <w:rStyle w:val="Codetext"/>
        </w:rPr>
        <w:t>rad</w:t>
      </w:r>
      <w:r>
        <w:t xml:space="preserve"> and NOT </w:t>
      </w:r>
      <w:r>
        <w:rPr>
          <w:rStyle w:val="Code"/>
        </w:rPr>
        <w:t>&lt;unclear&gt;</w:t>
      </w:r>
      <w:r>
        <w:rPr>
          <w:rStyle w:val="Codetext"/>
        </w:rPr>
        <w:t>sphu</w:t>
      </w:r>
      <w:r>
        <w:rPr>
          <w:rStyle w:val="Code"/>
        </w:rPr>
        <w:t>&lt;/unclear&gt;</w:t>
      </w:r>
      <w:r>
        <w:rPr>
          <w:rStyle w:val="Codetext"/>
        </w:rPr>
        <w:t>rad</w:t>
      </w:r>
      <w:r>
        <w:t xml:space="preserve"> (unless </w:t>
      </w:r>
      <w:r>
        <w:rPr>
          <w:rStyle w:val="Foreign"/>
        </w:rPr>
        <w:t>s</w:t>
      </w:r>
      <w:r>
        <w:t xml:space="preserve">, </w:t>
      </w:r>
      <w:r>
        <w:rPr>
          <w:rStyle w:val="Foreign"/>
        </w:rPr>
        <w:t>ph</w:t>
      </w:r>
      <w:r>
        <w:t xml:space="preserve"> and </w:t>
      </w:r>
      <w:r>
        <w:rPr>
          <w:rStyle w:val="Foreign"/>
        </w:rPr>
        <w:t>u</w:t>
      </w:r>
      <w:r>
        <w:t xml:space="preserve"> are all unclear)</w:t>
      </w:r>
    </w:p>
    <w:p w14:paraId="2F24E985" w14:textId="77777777">
      <w:pPr>
        <w:pStyle w:val="Lista"/>
      </w:pPr>
      <w:r>
        <w:t xml:space="preserve">when unclarity applies to several graphemes which are contiguous in the reading order represented in transliteration, use a single </w:t>
      </w:r>
      <w:r>
        <w:rPr>
          <w:rStyle w:val="Code"/>
        </w:rPr>
        <w:t>&lt;unclear&gt;</w:t>
      </w:r>
      <w:r>
        <w:t xml:space="preserve"> element around them even if they belong to different </w:t>
      </w:r>
      <w:r>
        <w:rPr>
          <w:rStyle w:val="Foreign"/>
        </w:rPr>
        <w:t>akṣara</w:t>
      </w:r>
      <w:r>
        <w:t>s in the source and even if they are not physically adjacent</w:t>
      </w:r>
    </w:p>
    <w:p w14:paraId="361F5D32" w14:textId="77777777">
      <w:pPr>
        <w:pStyle w:val="Lista2"/>
      </w:pPr>
      <w:r>
        <w:t xml:space="preserve">e.g. </w:t>
      </w:r>
      <w:r>
        <w:rPr>
          <w:rStyle w:val="Codetext"/>
        </w:rPr>
        <w:t>mitr</w:t>
      </w:r>
      <w:r>
        <w:rPr>
          <w:rStyle w:val="Code"/>
        </w:rPr>
        <w:t>&lt;unclear&gt;</w:t>
      </w:r>
      <w:r>
        <w:rPr>
          <w:rStyle w:val="Codetext"/>
        </w:rPr>
        <w:t>eṇ</w:t>
      </w:r>
      <w:r>
        <w:rPr>
          <w:rStyle w:val="Code"/>
        </w:rPr>
        <w:t>&lt;/unclear&gt;</w:t>
      </w:r>
      <w:r>
        <w:rPr>
          <w:rStyle w:val="Codetext"/>
        </w:rPr>
        <w:t>a</w:t>
      </w:r>
      <w:r>
        <w:t xml:space="preserve"> and NOT </w:t>
      </w:r>
      <w:r>
        <w:rPr>
          <w:rStyle w:val="Codetext"/>
        </w:rPr>
        <w:t>mitr</w:t>
      </w:r>
      <w:r>
        <w:rPr>
          <w:rStyle w:val="Code"/>
        </w:rPr>
        <w:t>&lt;/unclear&gt;</w:t>
      </w:r>
      <w:r>
        <w:rPr>
          <w:rStyle w:val="Codetext"/>
        </w:rPr>
        <w:t>e</w:t>
      </w:r>
      <w:r>
        <w:rPr>
          <w:rStyle w:val="Code"/>
        </w:rPr>
        <w:t>&lt;unclear&gt;&lt;unclear&gt;</w:t>
      </w:r>
      <w:r>
        <w:rPr>
          <w:rStyle w:val="Codetext"/>
        </w:rPr>
        <w:t>ṇ</w:t>
      </w:r>
      <w:r>
        <w:rPr>
          <w:rStyle w:val="Code"/>
        </w:rPr>
        <w:t>&lt;/unclear&gt;</w:t>
      </w:r>
      <w:r>
        <w:rPr>
          <w:rStyle w:val="Codetext"/>
        </w:rPr>
        <w:t>a</w:t>
      </w:r>
      <w:r>
        <w:t xml:space="preserve"> (even if </w:t>
      </w:r>
      <w:r>
        <w:rPr>
          <w:rStyle w:val="Foreign"/>
        </w:rPr>
        <w:t>e</w:t>
      </w:r>
      <w:r>
        <w:t xml:space="preserve"> is to the left of the clear </w:t>
      </w:r>
      <w:r>
        <w:rPr>
          <w:rStyle w:val="Foreign"/>
        </w:rPr>
        <w:t>tr</w:t>
      </w:r>
      <w:r>
        <w:t xml:space="preserve"> while </w:t>
      </w:r>
      <w:r>
        <w:rPr>
          <w:rStyle w:val="Foreign"/>
        </w:rPr>
        <w:t>ṇ</w:t>
      </w:r>
      <w:r>
        <w:t xml:space="preserve"> is to its right), nor </w:t>
      </w:r>
      <w:r>
        <w:rPr>
          <w:rStyle w:val="Codetext"/>
        </w:rPr>
        <w:t>mi</w:t>
      </w:r>
      <w:r>
        <w:rPr>
          <w:rStyle w:val="Code"/>
        </w:rPr>
        <w:t>&lt;unclear&gt;</w:t>
      </w:r>
      <w:r>
        <w:rPr>
          <w:rStyle w:val="Codetext"/>
        </w:rPr>
        <w:t>treṇa</w:t>
      </w:r>
      <w:r>
        <w:rPr>
          <w:rStyle w:val="Code"/>
        </w:rPr>
        <w:t>&lt;/unclear&gt;</w:t>
      </w:r>
      <w:r>
        <w:t xml:space="preserve"> (unless </w:t>
      </w:r>
      <w:r>
        <w:rPr>
          <w:rStyle w:val="Foreign"/>
        </w:rPr>
        <w:t>t</w:t>
      </w:r>
      <w:r>
        <w:t xml:space="preserve">, </w:t>
      </w:r>
      <w:r>
        <w:rPr>
          <w:rStyle w:val="Foreign"/>
        </w:rPr>
        <w:t>r</w:t>
      </w:r>
      <w:r>
        <w:t xml:space="preserve">, </w:t>
      </w:r>
      <w:r>
        <w:rPr>
          <w:rStyle w:val="Foreign"/>
        </w:rPr>
        <w:t>e</w:t>
      </w:r>
      <w:r>
        <w:t xml:space="preserve">, </w:t>
      </w:r>
      <w:r>
        <w:rPr>
          <w:rStyle w:val="Foreign"/>
        </w:rPr>
        <w:t>ṇ</w:t>
      </w:r>
      <w:r>
        <w:t xml:space="preserve"> and</w:t>
      </w:r>
      <w:r>
        <w:rPr>
          <w:rStyle w:val="Foreign"/>
        </w:rPr>
        <w:t xml:space="preserve"> a</w:t>
      </w:r>
      <w:r>
        <w:t xml:space="preserve"> are all unclear)</w:t>
      </w:r>
    </w:p>
    <w:p w14:paraId="6C4724BF" w14:textId="77777777">
      <w:pPr>
        <w:pStyle w:val="Lista"/>
      </w:pPr>
      <w:r>
        <w:rPr>
          <w:noProof/>
        </w:rPr>
        <w:t>sub-</w:t>
      </w:r>
      <w:r>
        <w:rPr>
          <w:rStyle w:val="Foreign"/>
        </w:rPr>
        <w:t>akṣara</w:t>
      </w:r>
      <w:r>
        <w:t xml:space="preserve"> markup for identifying specific glyph components (§</w:t>
      </w:r>
      <w:r>
        <w:fldChar w:fldCharType="begin"/>
      </w:r>
      <w:r>
        <w:instrText xml:space="preserve"> REF _Ref228202081 \r \h </w:instrText>
      </w:r>
      <w:r>
        <w:fldChar w:fldCharType="separate"/>
      </w:r>
      <w:r>
        <w:t>5.1.2</w:t>
      </w:r>
      <w:r>
        <w:fldChar w:fldCharType="end"/>
      </w:r>
      <w:r>
        <w:t>) is normally not necessary and should be avoided in such cases, since the graphetic position of the individual graphs can be inferred from the context</w:t>
      </w:r>
    </w:p>
    <w:p w14:paraId="0059AE93" w14:textId="77777777">
      <w:pPr>
        <w:pStyle w:val="Lista"/>
      </w:pPr>
      <w:r>
        <w:t xml:space="preserve">in general, rather than using complicated encoding involving multiple alternative readings, rely on the expertise of the readers of your edition to figure out the exact locus of doubt within a complex original glyph and its possible implications, even in cases such as </w:t>
      </w:r>
    </w:p>
    <w:p w14:paraId="0B8AE232" w14:textId="77777777">
      <w:pPr>
        <w:pStyle w:val="Lista2"/>
      </w:pPr>
      <w:r>
        <w:t>doubt concerning the presence of a graph</w:t>
      </w:r>
    </w:p>
    <w:p w14:paraId="6A1452C2" w14:textId="77777777">
      <w:pPr>
        <w:pStyle w:val="Lista3"/>
      </w:pPr>
      <w:r>
        <w:t xml:space="preserve">encoding the default vowel of an </w:t>
      </w:r>
      <w:r>
        <w:rPr>
          <w:rStyle w:val="Foreign"/>
        </w:rPr>
        <w:t>akṣara</w:t>
      </w:r>
      <w:r>
        <w:t xml:space="preserve"> as unclear (with low certainty if relevant) will tell the reader that a vowel marker might be present, e.g.</w:t>
      </w:r>
    </w:p>
    <w:p w14:paraId="28B7C658" w14:textId="77777777">
      <w:pPr>
        <w:pStyle w:val="Lista4"/>
      </w:pPr>
      <w:r>
        <w:rPr>
          <w:rStyle w:val="Codetext"/>
        </w:rPr>
        <w:t>k</w:t>
      </w:r>
      <w:r>
        <w:rPr>
          <w:rStyle w:val="Code"/>
        </w:rPr>
        <w:t>&lt;unclear&gt;</w:t>
      </w:r>
      <w:r>
        <w:rPr>
          <w:rStyle w:val="Codetext"/>
        </w:rPr>
        <w:t>a</w:t>
      </w:r>
      <w:r>
        <w:rPr>
          <w:rStyle w:val="Code"/>
        </w:rPr>
        <w:t>&lt;/unclear&gt;</w:t>
      </w:r>
      <w:r>
        <w:t xml:space="preserve"> can signify a </w:t>
      </w:r>
      <w:r>
        <w:rPr>
          <w:rStyle w:val="Foreign"/>
        </w:rPr>
        <w:t>k</w:t>
      </w:r>
      <w:r>
        <w:t xml:space="preserve"> with plenty of damage around it, which may obscure a vowel mark</w:t>
      </w:r>
    </w:p>
    <w:p w14:paraId="2D40DB69" w14:textId="77777777">
      <w:pPr>
        <w:pStyle w:val="Lista3"/>
      </w:pPr>
      <w:r>
        <w:t>encoding a component as unclear (with low certainty if relevant) will tell the reader that the component may be absent or may be a similar-looking component that represents a different grapheme, e.g.</w:t>
      </w:r>
    </w:p>
    <w:p w14:paraId="2C2E22E3" w14:textId="77777777">
      <w:pPr>
        <w:pStyle w:val="Lista4"/>
      </w:pPr>
      <w:r>
        <w:rPr>
          <w:rStyle w:val="Code"/>
        </w:rPr>
        <w:t>sa&lt;unclear&gt;</w:t>
      </w:r>
      <w:r>
        <w:rPr>
          <w:rStyle w:val="Codetext"/>
        </w:rPr>
        <w:t>ṁ</w:t>
      </w:r>
      <w:r>
        <w:rPr>
          <w:rStyle w:val="Code"/>
        </w:rPr>
        <w:t>&lt;/unclear&gt;</w:t>
      </w:r>
      <w:r>
        <w:t xml:space="preserve"> can signify a probable </w:t>
      </w:r>
      <w:r>
        <w:rPr>
          <w:rStyle w:val="Foreign"/>
        </w:rPr>
        <w:t>saṁ</w:t>
      </w:r>
      <w:r>
        <w:t xml:space="preserve"> where the </w:t>
      </w:r>
      <w:r>
        <w:rPr>
          <w:rStyle w:val="Foreign"/>
        </w:rPr>
        <w:t>anusvāra</w:t>
      </w:r>
      <w:r>
        <w:t xml:space="preserve"> may be absent (in which case the reading is </w:t>
      </w:r>
      <w:r>
        <w:rPr>
          <w:rStyle w:val="Foreign"/>
        </w:rPr>
        <w:t>sa</w:t>
      </w:r>
      <w:r>
        <w:t xml:space="preserve">) or may be something else (such as a </w:t>
      </w:r>
      <w:r>
        <w:rPr>
          <w:rStyle w:val="Foreign"/>
        </w:rPr>
        <w:t>visarga</w:t>
      </w:r>
      <w:r>
        <w:t xml:space="preserve"> or a punctuation mark)</w:t>
      </w:r>
    </w:p>
    <w:p w14:paraId="00FD2CD8" w14:textId="77777777">
      <w:pPr>
        <w:pStyle w:val="Lista4"/>
      </w:pPr>
      <w:r>
        <w:rPr>
          <w:rStyle w:val="Code"/>
        </w:rPr>
        <w:t>g&lt;unclear&gt;</w:t>
      </w:r>
      <w:r>
        <w:rPr>
          <w:rStyle w:val="Codetext"/>
        </w:rPr>
        <w:t>r̥</w:t>
      </w:r>
      <w:r>
        <w:rPr>
          <w:rStyle w:val="Code"/>
        </w:rPr>
        <w:t>&lt;/unclear&gt;</w:t>
      </w:r>
      <w:r>
        <w:t xml:space="preserve"> can signify a probable </w:t>
      </w:r>
      <w:r>
        <w:rPr>
          <w:rStyle w:val="Foreign"/>
        </w:rPr>
        <w:t>gr̥</w:t>
      </w:r>
      <w:r>
        <w:t xml:space="preserve"> where the </w:t>
      </w:r>
      <w:r>
        <w:rPr>
          <w:rStyle w:val="Foreign"/>
        </w:rPr>
        <w:t>r̥</w:t>
      </w:r>
      <w:r>
        <w:t xml:space="preserve"> marker may be absent (in which case the reading is </w:t>
      </w:r>
      <w:r>
        <w:rPr>
          <w:rStyle w:val="Foreign"/>
        </w:rPr>
        <w:t>ga</w:t>
      </w:r>
      <w:r>
        <w:t xml:space="preserve">) or may be something else (such as a consonantal subscript </w:t>
      </w:r>
      <w:r>
        <w:rPr>
          <w:rStyle w:val="Foreign"/>
        </w:rPr>
        <w:t>r</w:t>
      </w:r>
      <w:r>
        <w:t xml:space="preserve">, in which case the reading is </w:t>
      </w:r>
      <w:r>
        <w:rPr>
          <w:rStyle w:val="Foreign"/>
        </w:rPr>
        <w:t>gra</w:t>
      </w:r>
      <w:r>
        <w:t>)</w:t>
      </w:r>
    </w:p>
    <w:p w14:paraId="0BAE0DCC" w14:textId="77777777">
      <w:pPr>
        <w:pStyle w:val="Lista"/>
      </w:pPr>
      <w:r>
        <w:t>the informed reader can also be expected to work out that unclarity affecting a specific graph may</w:t>
      </w:r>
    </w:p>
    <w:p w14:paraId="2F540ED9" w14:textId="77777777">
      <w:pPr>
        <w:pStyle w:val="Lista2"/>
      </w:pPr>
      <w:r>
        <w:t>affect the position of the corresponding grapheme in the reading order, e.g.</w:t>
      </w:r>
    </w:p>
    <w:p w14:paraId="46CA619A" w14:textId="77777777">
      <w:pPr>
        <w:pStyle w:val="Lista3"/>
      </w:pPr>
      <w:r>
        <w:rPr>
          <w:rStyle w:val="Code"/>
        </w:rPr>
        <w:lastRenderedPageBreak/>
        <w:t xml:space="preserve">&lt;unclear </w:t>
      </w:r>
      <w:r>
        <w:rPr>
          <w:rStyle w:val="Codeattribute"/>
        </w:rPr>
        <w:t>cert</w:t>
      </w:r>
      <w:r>
        <w:rPr>
          <w:rStyle w:val="Code"/>
        </w:rPr>
        <w:t>=</w:t>
      </w:r>
      <w:r>
        <w:rPr>
          <w:rStyle w:val="Codevalue"/>
        </w:rPr>
        <w:t>"low"</w:t>
      </w:r>
      <w:r>
        <w:rPr>
          <w:rStyle w:val="Code"/>
        </w:rPr>
        <w:t>&gt;</w:t>
      </w:r>
      <w:r>
        <w:rPr>
          <w:rStyle w:val="Codetext"/>
        </w:rPr>
        <w:t>r</w:t>
      </w:r>
      <w:r>
        <w:rPr>
          <w:rStyle w:val="Code"/>
        </w:rPr>
        <w:t>&lt;/unclear&gt;ddha</w:t>
      </w:r>
      <w:r>
        <w:t xml:space="preserve"> can signify a probable </w:t>
      </w:r>
      <w:r>
        <w:rPr>
          <w:rStyle w:val="Foreign"/>
        </w:rPr>
        <w:t>rddha</w:t>
      </w:r>
      <w:r>
        <w:t xml:space="preserve"> where there is a fair chance that the superscript </w:t>
      </w:r>
      <w:r>
        <w:rPr>
          <w:rStyle w:val="Foreign"/>
        </w:rPr>
        <w:t>r</w:t>
      </w:r>
      <w:r>
        <w:t xml:space="preserve"> is absent (in which case the reading is </w:t>
      </w:r>
      <w:r>
        <w:rPr>
          <w:rStyle w:val="Foreign"/>
        </w:rPr>
        <w:t>ddha</w:t>
      </w:r>
      <w:r>
        <w:t xml:space="preserve">) or is something else (such as a vowel marker for </w:t>
      </w:r>
      <w:r>
        <w:rPr>
          <w:rStyle w:val="Foreign"/>
        </w:rPr>
        <w:t>ā</w:t>
      </w:r>
      <w:r>
        <w:t xml:space="preserve">, in which case the reading is </w:t>
      </w:r>
      <w:r>
        <w:rPr>
          <w:rStyle w:val="Foreign"/>
        </w:rPr>
        <w:t>ddhā</w:t>
      </w:r>
      <w:r>
        <w:t>)</w:t>
      </w:r>
    </w:p>
    <w:p w14:paraId="5D0F2D11" w14:textId="77777777">
      <w:pPr>
        <w:pStyle w:val="Lista3"/>
      </w:pPr>
      <w:r>
        <w:t xml:space="preserve">affect the way in which the </w:t>
      </w:r>
      <w:r>
        <w:rPr>
          <w:rStyle w:val="Foreign"/>
        </w:rPr>
        <w:t>akṣara</w:t>
      </w:r>
      <w:r>
        <w:rPr>
          <w:rStyle w:val="Foreign"/>
          <w:i w:val="0"/>
          <w:iCs w:val="0"/>
        </w:rPr>
        <w:t>s</w:t>
      </w:r>
      <w:r>
        <w:t xml:space="preserve"> of the source are constituted, e.g.</w:t>
      </w:r>
    </w:p>
    <w:p w14:paraId="2A40DEB6" w14:textId="77777777">
      <w:pPr>
        <w:pStyle w:val="Lista4"/>
      </w:pPr>
      <w:r>
        <w:rPr>
          <w:rStyle w:val="Codetext"/>
        </w:rPr>
        <w:t>k</w:t>
      </w:r>
      <w:r>
        <w:rPr>
          <w:rStyle w:val="Code"/>
        </w:rPr>
        <w:t>&lt;unclear&gt;</w:t>
      </w:r>
      <w:r>
        <w:rPr>
          <w:rStyle w:val="Codetext"/>
        </w:rPr>
        <w:t>ā</w:t>
      </w:r>
      <w:r>
        <w:rPr>
          <w:rStyle w:val="Code"/>
        </w:rPr>
        <w:t>&lt;/unclear&gt;</w:t>
      </w:r>
      <w:r>
        <w:t xml:space="preserve"> representing the sequence </w:t>
      </w:r>
      <w:r>
        <w:rPr>
          <w:rStyle w:val="ForeignTamilScript"/>
          <w:cs/>
        </w:rPr>
        <w:t>கா</w:t>
      </w:r>
      <w:r>
        <w:rPr>
          <w:cs/>
        </w:rPr>
        <w:t xml:space="preserve"> </w:t>
      </w:r>
      <w:r>
        <w:t xml:space="preserve">in Tamil, where what has been interpreted as an </w:t>
      </w:r>
      <w:r>
        <w:rPr>
          <w:rStyle w:val="Foreign"/>
        </w:rPr>
        <w:t>ā</w:t>
      </w:r>
      <w:r>
        <w:t xml:space="preserve"> marker may instead be a separate </w:t>
      </w:r>
      <w:r>
        <w:rPr>
          <w:rStyle w:val="Foreign"/>
        </w:rPr>
        <w:t>akṣara</w:t>
      </w:r>
      <w:r>
        <w:t xml:space="preserve"> </w:t>
      </w:r>
      <w:r>
        <w:rPr>
          <w:rStyle w:val="ForeignTamilScript"/>
          <w:cs/>
        </w:rPr>
        <w:t>ர</w:t>
      </w:r>
      <w:r>
        <w:rPr>
          <w:cs/>
          <w:lang w:bidi="ta-IN"/>
        </w:rPr>
        <w:t xml:space="preserve"> </w:t>
      </w:r>
      <w:r>
        <w:rPr>
          <w:rStyle w:val="Foreign"/>
        </w:rPr>
        <w:t>ra</w:t>
      </w:r>
    </w:p>
    <w:p w14:paraId="15ACB76C" w14:textId="77777777">
      <w:pPr>
        <w:pStyle w:val="Lista4"/>
      </w:pPr>
      <w:r>
        <w:rPr>
          <w:rStyle w:val="Codetext"/>
        </w:rPr>
        <w:t>p</w:t>
      </w:r>
      <w:r>
        <w:rPr>
          <w:rStyle w:val="Code"/>
        </w:rPr>
        <w:t>&lt;unclear&gt;</w:t>
      </w:r>
      <w:r>
        <w:rPr>
          <w:rStyle w:val="Codetext"/>
        </w:rPr>
        <w:t>ā</w:t>
      </w:r>
      <w:r>
        <w:rPr>
          <w:rStyle w:val="Code"/>
        </w:rPr>
        <w:t>&lt;/unclear&gt;</w:t>
      </w:r>
      <w:r>
        <w:rPr>
          <w:rStyle w:val="Codetext"/>
        </w:rPr>
        <w:t>ta</w:t>
      </w:r>
      <w:r>
        <w:t xml:space="preserve"> representing the sequence </w:t>
      </w:r>
      <w:r>
        <w:rPr>
          <w:rStyle w:val="ForeignDevanagariScript"/>
          <w:cs/>
        </w:rPr>
        <w:t>पात</w:t>
      </w:r>
      <w:r>
        <w:t xml:space="preserve"> in premodern Nagari that employs a </w:t>
      </w:r>
      <w:r>
        <w:rPr>
          <w:rStyle w:val="Foreign"/>
        </w:rPr>
        <w:t>pr̥ṣṭhamātrā</w:t>
      </w:r>
      <w:r>
        <w:t xml:space="preserve"> form of </w:t>
      </w:r>
      <w:r>
        <w:rPr>
          <w:rStyle w:val="Foreign"/>
        </w:rPr>
        <w:t>e</w:t>
      </w:r>
      <w:r>
        <w:t xml:space="preserve">, so that what has been interpreted as </w:t>
      </w:r>
      <w:r>
        <w:rPr>
          <w:rStyle w:val="Foreign"/>
        </w:rPr>
        <w:t>pāta</w:t>
      </w:r>
      <w:r>
        <w:t xml:space="preserve"> may instead be </w:t>
      </w:r>
      <w:r>
        <w:rPr>
          <w:rStyle w:val="Foreign"/>
        </w:rPr>
        <w:t>pate</w:t>
      </w:r>
    </w:p>
    <w:p w14:paraId="1E0572C4" w14:textId="77777777">
      <w:pPr>
        <w:pStyle w:val="Lista"/>
      </w:pPr>
      <w:r>
        <w:t>however, when you deem it desirable to encode such ambivalences explicitly, include the complete sequences affected by the ambivalence in spite of the blanket instruction to tag only the specific graphs affected by a reading issue, e.g.</w:t>
      </w:r>
    </w:p>
    <w:p w14:paraId="52109C73" w14:textId="77777777">
      <w:pPr>
        <w:pStyle w:val="Lista3"/>
        <w:rPr>
          <w:rStyle w:val="Codetext"/>
          <w:rFonts w:ascii="Gentium" w:hAnsi="Gentium" w:cs="Tiro Devanagari Sanskrit"/>
          <w:noProof w:val="0"/>
          <w:color w:val="auto"/>
          <w:shd w:val="clear" w:color="auto" w:fill="auto"/>
        </w:rPr>
      </w:pPr>
      <w:r>
        <w:rPr>
          <w:rStyle w:val="Code"/>
        </w:rPr>
        <w:t>&lt;choice&gt;&lt;unclear&gt;</w:t>
      </w:r>
      <w:r>
        <w:rPr>
          <w:rStyle w:val="Codetext"/>
        </w:rPr>
        <w:t>rddha</w:t>
      </w:r>
      <w:r>
        <w:rPr>
          <w:rStyle w:val="Code"/>
        </w:rPr>
        <w:t>&lt;/unclear&gt;&lt;unclear&gt;</w:t>
      </w:r>
      <w:r>
        <w:rPr>
          <w:rStyle w:val="Codetext"/>
        </w:rPr>
        <w:t>ddhā</w:t>
      </w:r>
      <w:r>
        <w:rPr>
          <w:rStyle w:val="Code"/>
        </w:rPr>
        <w:t>&lt;/unclear&gt;&lt;/choice&gt;</w:t>
      </w:r>
    </w:p>
    <w:p w14:paraId="624EBA0C" w14:textId="77777777">
      <w:pPr>
        <w:pStyle w:val="Lista3"/>
      </w:pPr>
      <w:r>
        <w:rPr>
          <w:rStyle w:val="Codetext"/>
        </w:rPr>
        <w:t>k</w:t>
      </w:r>
      <w:r>
        <w:rPr>
          <w:rStyle w:val="Code"/>
        </w:rPr>
        <w:t>&lt;choice&gt;&lt;unclear&gt;</w:t>
      </w:r>
      <w:r>
        <w:rPr>
          <w:rStyle w:val="Codetext"/>
        </w:rPr>
        <w:t>ā</w:t>
      </w:r>
      <w:r>
        <w:rPr>
          <w:rStyle w:val="Code"/>
        </w:rPr>
        <w:t>&lt;/unclear&gt;&lt;unclear&gt;</w:t>
      </w:r>
      <w:r>
        <w:rPr>
          <w:rStyle w:val="Codetext"/>
        </w:rPr>
        <w:t>ara</w:t>
      </w:r>
      <w:r>
        <w:rPr>
          <w:rStyle w:val="Code"/>
        </w:rPr>
        <w:t>&lt;/unclear&gt;&lt;/choice&gt;</w:t>
      </w:r>
      <w:r>
        <w:rPr>
          <w:rStyle w:val="Lbjegyzet-hivatkozs"/>
        </w:rPr>
        <w:footnoteReference w:id="28"/>
      </w:r>
    </w:p>
    <w:p w14:paraId="01444923" w14:textId="77777777">
      <w:pPr>
        <w:pStyle w:val="Lista3"/>
      </w:pPr>
      <w:r>
        <w:rPr>
          <w:rStyle w:val="Codetext"/>
        </w:rPr>
        <w:t>p</w:t>
      </w:r>
      <w:r>
        <w:rPr>
          <w:rStyle w:val="Code"/>
        </w:rPr>
        <w:t>&lt;choice&gt;&lt;unclear&gt;</w:t>
      </w:r>
      <w:r>
        <w:rPr>
          <w:rStyle w:val="Codetext"/>
        </w:rPr>
        <w:t>āta</w:t>
      </w:r>
      <w:r>
        <w:rPr>
          <w:rStyle w:val="Code"/>
        </w:rPr>
        <w:t>&lt;/unclear&gt;&lt;unclear&gt;</w:t>
      </w:r>
      <w:r>
        <w:rPr>
          <w:rStyle w:val="Codetext"/>
        </w:rPr>
        <w:t>ate</w:t>
      </w:r>
      <w:r>
        <w:rPr>
          <w:rStyle w:val="Code"/>
        </w:rPr>
        <w:t>&lt;/unclear&gt;&lt;/choice&gt;</w:t>
      </w:r>
    </w:p>
    <w:p w14:paraId="33B670F9" w14:textId="77777777">
      <w:pPr>
        <w:pStyle w:val="Cmsor2"/>
      </w:pPr>
      <w:bookmarkStart w:id="545" w:name="_advce1m7uke1" w:colFirst="0" w:colLast="0"/>
      <w:bookmarkStart w:id="546" w:name="_Ref228459751"/>
      <w:bookmarkStart w:id="547" w:name="_Toc243900319"/>
      <w:bookmarkStart w:id="548" w:name="_Ref43979611"/>
      <w:bookmarkEnd w:id="545"/>
      <w:r>
        <w:t>Editorial restoration</w:t>
      </w:r>
      <w:bookmarkEnd w:id="546"/>
      <w:bookmarkEnd w:id="547"/>
    </w:p>
    <w:p w14:paraId="7918CF34" w14:textId="77777777">
      <w:pPr>
        <w:rPr>
          <w:lang w:eastAsia="en-US" w:bidi="ar-SA"/>
        </w:rPr>
      </w:pPr>
      <w:r>
        <w:t>An editorial restoration is a stretch of text which the editor believes was probably present in the source document, but which could not be read at all in the source. Although conceptually a restored lacuna is a particular kind of lacuna, the two require different encoding approaches because a restoration contains text while an unrestored lacuna does not. Unrestored lacunae will be addressed in §</w:t>
      </w:r>
      <w:r>
        <w:fldChar w:fldCharType="begin"/>
      </w:r>
      <w:r>
        <w:instrText xml:space="preserve"> REF _Ref228460110 \r \h </w:instrText>
      </w:r>
      <w:r>
        <w:fldChar w:fldCharType="separate"/>
      </w:r>
      <w:r>
        <w:t>6.5</w:t>
      </w:r>
      <w:r>
        <w:fldChar w:fldCharType="end"/>
      </w:r>
      <w:r>
        <w:t>.</w:t>
      </w:r>
    </w:p>
    <w:p w14:paraId="47D205EC" w14:textId="77777777">
      <w:pPr>
        <w:pStyle w:val="Lista"/>
      </w:pPr>
      <w:bookmarkStart w:id="549" w:name="_ck6yxgbwhraw" w:colFirst="0" w:colLast="0"/>
      <w:bookmarkEnd w:id="549"/>
      <w:r>
        <w:t xml:space="preserve">where you as editor restore parts of the text that can no longer be made out in the original, the restored segments must be wrapped in the element </w:t>
      </w:r>
      <w:r>
        <w:rPr>
          <w:rStyle w:val="Code"/>
        </w:rPr>
        <w:t>&lt;supplied&gt;</w:t>
      </w:r>
      <w:r>
        <w:t>, with the following attributes</w:t>
      </w:r>
    </w:p>
    <w:p w14:paraId="5F3A12E9" w14:textId="77777777">
      <w:pPr>
        <w:pStyle w:val="Lista2"/>
        <w:rPr>
          <w:rStyle w:val="Codeattribute"/>
          <w:rFonts w:ascii="Gentium" w:hAnsi="Gentium" w:cs="Tiro Devanagari Sanskrit"/>
          <w:noProof w:val="0"/>
          <w:color w:val="auto"/>
          <w:shd w:val="clear" w:color="auto" w:fill="auto"/>
        </w:rPr>
      </w:pPr>
      <w:r>
        <w:t xml:space="preserve">mandatorily, </w:t>
      </w:r>
      <w:r>
        <w:rPr>
          <w:rStyle w:val="Codeattribute"/>
        </w:rPr>
        <w:t>@reason</w:t>
      </w:r>
      <w:r>
        <w:t xml:space="preserve"> to indicate why a restoration was necessary, as per §</w:t>
      </w:r>
      <w:r>
        <w:fldChar w:fldCharType="begin"/>
      </w:r>
      <w:r>
        <w:instrText xml:space="preserve"> REF _Ref228461596 \r \h </w:instrText>
      </w:r>
      <w:r>
        <w:fldChar w:fldCharType="separate"/>
      </w:r>
      <w:r>
        <w:t>6.4.1</w:t>
      </w:r>
      <w:r>
        <w:fldChar w:fldCharType="end"/>
      </w:r>
    </w:p>
    <w:p w14:paraId="51F46F3A" w14:textId="77777777">
      <w:pPr>
        <w:pStyle w:val="Lista2"/>
      </w:pPr>
      <w:r>
        <w:t xml:space="preserve">as applicable, </w:t>
      </w:r>
      <w:r>
        <w:rPr>
          <w:rStyle w:val="Codeattribute"/>
        </w:rPr>
        <w:t>@cert</w:t>
      </w:r>
      <w:r>
        <w:t xml:space="preserve"> to indicate that the editorial restoration is tentative, as per §</w:t>
      </w:r>
      <w:r>
        <w:fldChar w:fldCharType="begin"/>
      </w:r>
      <w:r>
        <w:instrText xml:space="preserve"> REF _Ref228460700 \r \h </w:instrText>
      </w:r>
      <w:r>
        <w:fldChar w:fldCharType="separate"/>
      </w:r>
      <w:r>
        <w:t>6.4.2</w:t>
      </w:r>
      <w:r>
        <w:fldChar w:fldCharType="end"/>
      </w:r>
    </w:p>
    <w:p w14:paraId="295BE434" w14:textId="77777777">
      <w:pPr>
        <w:pStyle w:val="Lista2"/>
      </w:pPr>
      <w:r>
        <w:t xml:space="preserve">as applicable, </w:t>
      </w:r>
      <w:r>
        <w:rPr>
          <w:rStyle w:val="Codeattribute"/>
        </w:rPr>
        <w:t>@evidence</w:t>
      </w:r>
      <w:r>
        <w:t xml:space="preserve"> to record the basis of the restoration, as per §</w:t>
      </w:r>
      <w:r>
        <w:fldChar w:fldCharType="begin"/>
      </w:r>
      <w:r>
        <w:instrText xml:space="preserve"> REF _Ref228460743 \r \h </w:instrText>
      </w:r>
      <w:r>
        <w:fldChar w:fldCharType="separate"/>
      </w:r>
      <w:r>
        <w:t>6.4.3</w:t>
      </w:r>
      <w:r>
        <w:fldChar w:fldCharType="end"/>
      </w:r>
    </w:p>
    <w:p w14:paraId="454E7A74" w14:textId="77777777">
      <w:pPr>
        <w:pStyle w:val="Lista"/>
      </w:pPr>
      <w:r>
        <w:t>bear in mind that, as discussed in §</w:t>
      </w:r>
      <w:r>
        <w:fldChar w:fldCharType="begin"/>
      </w:r>
      <w:r>
        <w:instrText xml:space="preserve"> REF _Ref228196345 \r \h </w:instrText>
      </w:r>
      <w:r>
        <w:fldChar w:fldCharType="separate"/>
      </w:r>
      <w:r>
        <w:t>6.1</w:t>
      </w:r>
      <w:r>
        <w:fldChar w:fldCharType="end"/>
      </w:r>
      <w:r>
        <w:t xml:space="preserve">, restoration with </w:t>
      </w:r>
      <w:r>
        <w:rPr>
          <w:rStyle w:val="Code"/>
        </w:rPr>
        <w:t>&lt;supplied&gt;</w:t>
      </w:r>
      <w:r>
        <w:t xml:space="preserve"> is for cases where a restoration is not based on what can be made out of the original writing</w:t>
      </w:r>
    </w:p>
    <w:p w14:paraId="6EBC8CA1" w14:textId="77777777">
      <w:pPr>
        <w:pStyle w:val="Lista2"/>
      </w:pPr>
      <w:r>
        <w:t xml:space="preserve">if vestiges of text can be made out to a degree sufficient to corroborate a restoration, then </w:t>
      </w:r>
      <w:r>
        <w:rPr>
          <w:noProof/>
        </w:rPr>
        <w:t>(</w:t>
      </w:r>
      <w:r>
        <w:t>regardless of how scant these vestiges are) the text should be treated as an unclear reading rather than a restoration</w:t>
      </w:r>
    </w:p>
    <w:p w14:paraId="526BEA2F" w14:textId="77777777">
      <w:pPr>
        <w:pStyle w:val="Lista3"/>
      </w:pPr>
      <w:r>
        <w:t xml:space="preserve">e.g.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pitr̥</w:t>
      </w:r>
      <w:r>
        <w:rPr>
          <w:rStyle w:val="Code"/>
        </w:rPr>
        <w:t>&lt;/supplied&gt;&lt;unclear&gt;</w:t>
      </w:r>
      <w:r>
        <w:rPr>
          <w:rStyle w:val="Codetext"/>
        </w:rPr>
        <w:t>bhiḥ</w:t>
      </w:r>
      <w:r>
        <w:rPr>
          <w:rStyle w:val="Code"/>
        </w:rPr>
        <w:t>&lt;/unclear&gt;</w:t>
      </w:r>
      <w:r>
        <w:rPr>
          <w:rStyle w:val="Codetext"/>
        </w:rPr>
        <w:t xml:space="preserve"> saha pacyate</w:t>
      </w:r>
      <w:r>
        <w:t xml:space="preserve"> </w:t>
      </w:r>
      <w:r>
        <w:rPr>
          <w:noProof/>
        </w:rPr>
        <w:t>(</w:t>
      </w:r>
      <w:r>
        <w:t xml:space="preserve">where vestiges give some confirmation for </w:t>
      </w:r>
      <w:r>
        <w:rPr>
          <w:rStyle w:val="Foreign"/>
        </w:rPr>
        <w:t>bhiḥ</w:t>
      </w:r>
      <w:r>
        <w:t xml:space="preserve">, whereas </w:t>
      </w:r>
      <w:r>
        <w:rPr>
          <w:rStyle w:val="Foreign"/>
        </w:rPr>
        <w:t>pitr̥</w:t>
      </w:r>
      <w:r>
        <w:t xml:space="preserve"> is wholly gone)</w:t>
      </w:r>
    </w:p>
    <w:p w14:paraId="1103E3EB" w14:textId="77777777">
      <w:pPr>
        <w:pStyle w:val="Cmsor3"/>
      </w:pPr>
      <w:bookmarkStart w:id="550" w:name="_Ref228461596"/>
      <w:bookmarkStart w:id="551" w:name="_Ref228864988"/>
      <w:bookmarkStart w:id="552" w:name="_Toc243900320"/>
      <w:r>
        <w:t>The reason for a restoration</w:t>
      </w:r>
      <w:bookmarkEnd w:id="550"/>
      <w:bookmarkEnd w:id="551"/>
      <w:bookmarkEnd w:id="552"/>
    </w:p>
    <w:p w14:paraId="5D4B75DA" w14:textId="77777777">
      <w:r>
        <w:t xml:space="preserve">The mandatory attribute </w:t>
      </w:r>
      <w:r>
        <w:rPr>
          <w:rStyle w:val="Codeattribute"/>
        </w:rPr>
        <w:t>@reason</w:t>
      </w:r>
      <w:r>
        <w:t xml:space="preserve">, indicating why a the editor has supplied text, normally takes the value </w:t>
      </w:r>
      <w:r>
        <w:rPr>
          <w:rStyle w:val="Codevalue"/>
        </w:rPr>
        <w:t>"lost"</w:t>
      </w:r>
      <w:r>
        <w:t xml:space="preserve"> in restored lacunae, meaning that text was supplied because the writing is entirely obliterated.</w:t>
      </w:r>
    </w:p>
    <w:p w14:paraId="32F510FA" w14:textId="77777777">
      <w:pPr>
        <w:pStyle w:val="Lista"/>
      </w:pPr>
      <w:r>
        <w:t xml:space="preserve">e.g.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sodra</w:t>
      </w:r>
      <w:r>
        <w:rPr>
          <w:rStyle w:val="Code"/>
        </w:rPr>
        <w:t>&lt;/supplied&gt;</w:t>
      </w:r>
      <w:r>
        <w:rPr>
          <w:rStyle w:val="Codetext"/>
        </w:rPr>
        <w:t>ṅgaḥ soparikaro</w:t>
      </w:r>
    </w:p>
    <w:p w14:paraId="7E99060E" w14:textId="77777777">
      <w:pPr>
        <w:pStyle w:val="Lista"/>
      </w:pPr>
      <w:r>
        <w:t xml:space="preserve">instead of </w:t>
      </w:r>
      <w:r>
        <w:rPr>
          <w:rStyle w:val="Codevalue"/>
        </w:rPr>
        <w:t>"lost"</w:t>
      </w:r>
      <w:r>
        <w:t xml:space="preserve">, you may use the value </w:t>
      </w:r>
      <w:r>
        <w:rPr>
          <w:rStyle w:val="Codevalue"/>
        </w:rPr>
        <w:t>"undefined"</w:t>
      </w:r>
      <w:r>
        <w:t xml:space="preserve"> if and only if</w:t>
      </w:r>
    </w:p>
    <w:p w14:paraId="4F8A52FA" w14:textId="77777777">
      <w:pPr>
        <w:pStyle w:val="Lista2"/>
      </w:pPr>
      <w:r>
        <w:t>you are encoding your digital edition (or an apparatus reading) from a printed edition without access to the original inscription or a visual representation of it</w:t>
      </w:r>
    </w:p>
    <w:p w14:paraId="089E1F75" w14:textId="77777777">
      <w:pPr>
        <w:pStyle w:val="Lista2"/>
      </w:pPr>
      <w:r>
        <w:rPr>
          <w:rStyle w:val="Foreign"/>
        </w:rPr>
        <w:t>and</w:t>
      </w:r>
      <w:r>
        <w:t xml:space="preserve"> the previous editor gives no clear indication whether the supplied text was omitted </w:t>
      </w:r>
      <w:r>
        <w:rPr>
          <w:noProof/>
        </w:rPr>
        <w:t>(</w:t>
      </w:r>
      <w:r>
        <w:t>for which see §</w:t>
      </w:r>
      <w:r>
        <w:fldChar w:fldCharType="begin"/>
      </w:r>
      <w:r>
        <w:instrText xml:space="preserve"> REF _Ref229056324 \r \h </w:instrText>
      </w:r>
      <w:r>
        <w:fldChar w:fldCharType="separate"/>
      </w:r>
      <w:r>
        <w:t>7.5.3</w:t>
      </w:r>
      <w:r>
        <w:fldChar w:fldCharType="end"/>
      </w:r>
      <w:r>
        <w:t>) or lost</w:t>
      </w:r>
    </w:p>
    <w:p w14:paraId="35298ECA" w14:textId="77777777">
      <w:pPr>
        <w:pStyle w:val="Lista2"/>
      </w:pPr>
      <w:r>
        <w:rPr>
          <w:rStyle w:val="Foreign"/>
        </w:rPr>
        <w:t>and</w:t>
      </w:r>
      <w:r>
        <w:t xml:space="preserve"> you cannot make a reasonable guess as to which of these is actually the case</w:t>
      </w:r>
    </w:p>
    <w:p w14:paraId="1657B992" w14:textId="77777777">
      <w:pPr>
        <w:pStyle w:val="Lista"/>
      </w:pPr>
      <w:r>
        <w:t xml:space="preserve">other possible values of </w:t>
      </w:r>
      <w:r>
        <w:rPr>
          <w:rStyle w:val="Codeattribute"/>
        </w:rPr>
        <w:t>@reason</w:t>
      </w:r>
      <w:r>
        <w:t xml:space="preserve"> on </w:t>
      </w:r>
      <w:r>
        <w:rPr>
          <w:rStyle w:val="Code"/>
        </w:rPr>
        <w:t>&lt;supplied&gt;</w:t>
      </w:r>
      <w:r>
        <w:t xml:space="preserve"> are not applicable to the restoration of lacunae (but to the correction of scribal omission, §</w:t>
      </w:r>
      <w:r>
        <w:fldChar w:fldCharType="begin"/>
      </w:r>
      <w:r>
        <w:instrText xml:space="preserve"> REF _Ref229056324 \r \h </w:instrText>
      </w:r>
      <w:r>
        <w:fldChar w:fldCharType="separate"/>
      </w:r>
      <w:r>
        <w:t>7.5.3</w:t>
      </w:r>
      <w:r>
        <w:fldChar w:fldCharType="end"/>
      </w:r>
      <w:r>
        <w:t>; to supplying editorial punctuation, §</w:t>
      </w:r>
      <w:r>
        <w:fldChar w:fldCharType="begin"/>
      </w:r>
      <w:r>
        <w:instrText xml:space="preserve"> REF _Ref229060537 \r \h </w:instrText>
      </w:r>
      <w:r>
        <w:fldChar w:fldCharType="separate"/>
      </w:r>
      <w:r>
        <w:t>7.8.3</w:t>
      </w:r>
      <w:r>
        <w:fldChar w:fldCharType="end"/>
      </w:r>
      <w:r>
        <w:t>; and to adding clarifications to a translation, §</w:t>
      </w:r>
      <w:r>
        <w:fldChar w:fldCharType="begin"/>
      </w:r>
      <w:r>
        <w:instrText xml:space="preserve"> REF _Ref43990269 \r \h </w:instrText>
      </w:r>
      <w:r>
        <w:fldChar w:fldCharType="separate"/>
      </w:r>
      <w:r>
        <w:t>11.4</w:t>
      </w:r>
      <w:r>
        <w:fldChar w:fldCharType="end"/>
      </w:r>
      <w:r>
        <w:t>)</w:t>
      </w:r>
    </w:p>
    <w:p w14:paraId="3E76D5E1" w14:textId="77777777">
      <w:pPr>
        <w:pStyle w:val="Cmsor3"/>
      </w:pPr>
      <w:bookmarkStart w:id="553" w:name="_Ref228460700"/>
      <w:bookmarkStart w:id="554" w:name="_Toc243900321"/>
      <w:r>
        <w:lastRenderedPageBreak/>
        <w:t>Tentative restoration</w:t>
      </w:r>
      <w:bookmarkEnd w:id="553"/>
      <w:bookmarkEnd w:id="554"/>
    </w:p>
    <w:p w14:paraId="6FF7E949" w14:textId="77777777">
      <w:r>
        <w:t>Text supplied by the editor is conventionally understood to be reasonably confident, but it can always involve a degree of uncertainty, especially as regards trivial details such as orthographic variation.</w:t>
      </w:r>
    </w:p>
    <w:p w14:paraId="14BD797A" w14:textId="77777777">
      <w:pPr>
        <w:pStyle w:val="Lista"/>
      </w:pPr>
      <w:r>
        <w:t xml:space="preserve">when a restoration is particularly tentative, add the attribute </w:t>
      </w:r>
      <w:r>
        <w:rPr>
          <w:rStyle w:val="Codeattribute"/>
        </w:rPr>
        <w:t>@cert</w:t>
      </w:r>
      <w:r>
        <w:t xml:space="preserve"> with the value </w:t>
      </w:r>
      <w:r>
        <w:rPr>
          <w:rStyle w:val="Codevalue"/>
        </w:rPr>
        <w:t>"low"</w:t>
      </w:r>
      <w:r>
        <w:t xml:space="preserve"> to the </w:t>
      </w:r>
      <w:r>
        <w:rPr>
          <w:rStyle w:val="Code"/>
        </w:rPr>
        <w:t>&lt;supplied&gt;</w:t>
      </w:r>
      <w:r>
        <w:t xml:space="preserve"> element</w:t>
      </w:r>
    </w:p>
    <w:p w14:paraId="43E9FCC9" w14:textId="77777777">
      <w:pPr>
        <w:pStyle w:val="Lista2"/>
      </w:pPr>
      <w:r>
        <w:t xml:space="preserve">e.g. </w:t>
      </w:r>
      <w:r>
        <w:rPr>
          <w:rStyle w:val="Codetext"/>
        </w:rPr>
        <w:t>mahā</w:t>
      </w:r>
      <w:r>
        <w:rPr>
          <w:rStyle w:val="Code"/>
        </w:rPr>
        <w:t xml:space="preserve">&lt;supplied </w:t>
      </w:r>
      <w:r>
        <w:rPr>
          <w:rStyle w:val="Codeattribute"/>
        </w:rPr>
        <w:t>reason</w:t>
      </w:r>
      <w:r>
        <w:rPr>
          <w:rStyle w:val="Code"/>
        </w:rPr>
        <w:t>=</w:t>
      </w:r>
      <w:r>
        <w:rPr>
          <w:rStyle w:val="Codevalue"/>
        </w:rPr>
        <w:t>"lost"</w:t>
      </w:r>
      <w:r>
        <w:rPr>
          <w:rStyle w:val="Code"/>
        </w:rPr>
        <w:t xml:space="preserve"> </w:t>
      </w:r>
      <w:r>
        <w:rPr>
          <w:rStyle w:val="Codeattribute"/>
        </w:rPr>
        <w:t>cert</w:t>
      </w:r>
      <w:r>
        <w:rPr>
          <w:rStyle w:val="Code"/>
        </w:rPr>
        <w:t>=</w:t>
      </w:r>
      <w:r>
        <w:rPr>
          <w:rStyle w:val="Codevalue"/>
        </w:rPr>
        <w:t>"low"</w:t>
      </w:r>
      <w:r>
        <w:rPr>
          <w:rStyle w:val="Code"/>
        </w:rPr>
        <w:t>&gt;</w:t>
      </w:r>
      <w:r>
        <w:rPr>
          <w:rStyle w:val="Codetext"/>
        </w:rPr>
        <w:t>puruṣa</w:t>
      </w:r>
      <w:r>
        <w:rPr>
          <w:rStyle w:val="Code"/>
        </w:rPr>
        <w:t>&lt;/supplied&gt;</w:t>
      </w:r>
    </w:p>
    <w:p w14:paraId="02937F18" w14:textId="77777777">
      <w:pPr>
        <w:pStyle w:val="Lista"/>
      </w:pPr>
      <w:r>
        <w:t xml:space="preserve">no additional degrees of confidence shall be represented in markup, so </w:t>
      </w:r>
      <w:r>
        <w:rPr>
          <w:rStyle w:val="Codevalue"/>
        </w:rPr>
        <w:t>"low"</w:t>
      </w:r>
      <w:r>
        <w:t xml:space="preserve"> here may stand for anything between “not quite confident” to “desperate conjecture”</w:t>
      </w:r>
    </w:p>
    <w:p w14:paraId="6F7F678D" w14:textId="77777777">
      <w:pPr>
        <w:pStyle w:val="Lista2"/>
      </w:pPr>
      <w:r>
        <w:t>however, it is preferable to save desperate conjectures for your commentary or apparatus, and within the edition, only encode restorations in which you have some confidence</w:t>
      </w:r>
    </w:p>
    <w:p w14:paraId="05B47009" w14:textId="77777777">
      <w:pPr>
        <w:pStyle w:val="Cmsor3"/>
      </w:pPr>
      <w:bookmarkStart w:id="555" w:name="_1tkql41gk7ns" w:colFirst="0" w:colLast="0"/>
      <w:bookmarkStart w:id="556" w:name="_Ref228460743"/>
      <w:bookmarkStart w:id="557" w:name="_Toc243900322"/>
      <w:bookmarkEnd w:id="555"/>
      <w:r>
        <w:t>The basis of restoration</w:t>
      </w:r>
      <w:bookmarkEnd w:id="556"/>
      <w:bookmarkEnd w:id="557"/>
    </w:p>
    <w:p w14:paraId="763AAB5C" w14:textId="77777777">
      <w:r>
        <w:t>By default, editorial restoration will be assumed to be based on conjecture. Conjectural restoration thus needs no explicit encoding beyond that outlined above.</w:t>
      </w:r>
    </w:p>
    <w:p w14:paraId="43CCDB10" w14:textId="77777777">
      <w:pPr>
        <w:pStyle w:val="Lista"/>
      </w:pPr>
      <w:r>
        <w:t xml:space="preserve">the attribute </w:t>
      </w:r>
      <w:r>
        <w:rPr>
          <w:rStyle w:val="Codeattribute"/>
        </w:rPr>
        <w:t>@evidence</w:t>
      </w:r>
      <w:r>
        <w:t xml:space="preserve"> may be added to </w:t>
      </w:r>
      <w:r>
        <w:rPr>
          <w:rStyle w:val="Code"/>
        </w:rPr>
        <w:t>&lt;supplied&gt;</w:t>
      </w:r>
      <w:r>
        <w:t xml:space="preserve"> to indicate a restoration based on something other than conjecture, with the following permitted values:</w:t>
      </w:r>
    </w:p>
    <w:p w14:paraId="24FCCB5B" w14:textId="77777777">
      <w:pPr>
        <w:pStyle w:val="Lista"/>
      </w:pPr>
      <w:r>
        <w:rPr>
          <w:rStyle w:val="Codevalue"/>
        </w:rPr>
        <w:t>"parallel"</w:t>
      </w:r>
      <w:r>
        <w:t xml:space="preserve"> for restoration on the basis of one or more specific parallel texts</w:t>
      </w:r>
    </w:p>
    <w:p w14:paraId="11123409" w14:textId="77777777">
      <w:pPr>
        <w:pStyle w:val="Lista2"/>
      </w:pPr>
      <w:r>
        <w:t>if your edition includes a restoration of this type, the parallel text</w:t>
      </w:r>
      <w:r>
        <w:rPr>
          <w:noProof/>
        </w:rPr>
        <w:t>(</w:t>
      </w:r>
      <w:r>
        <w:t>s) used as evidence shall be identified in the commentary to your edition</w:t>
      </w:r>
    </w:p>
    <w:p w14:paraId="0262E5CF" w14:textId="77777777">
      <w:pPr>
        <w:pStyle w:val="Lista3"/>
      </w:pPr>
      <w:r>
        <w:t xml:space="preserve">such identification shall be in a human-readable form, but if the parallel text has been encoded for DHARMA, then the edition should be referred to </w:t>
      </w:r>
      <w:r>
        <w:rPr>
          <w:noProof/>
        </w:rPr>
        <w:t>(</w:t>
      </w:r>
      <w:r>
        <w:t>§</w:t>
      </w:r>
      <w:r>
        <w:fldChar w:fldCharType="begin"/>
      </w:r>
      <w:r>
        <w:instrText xml:space="preserve"> REF _Ref148531705 \r \h </w:instrText>
      </w:r>
      <w:r>
        <w:fldChar w:fldCharType="separate"/>
      </w:r>
      <w:r>
        <w:t>14.6.4.1</w:t>
      </w:r>
      <w:r>
        <w:fldChar w:fldCharType="end"/>
      </w:r>
      <w:r>
        <w:t>)</w:t>
      </w:r>
    </w:p>
    <w:p w14:paraId="2716F3F1" w14:textId="77777777">
      <w:pPr>
        <w:pStyle w:val="Lista2"/>
      </w:pPr>
      <w:r>
        <w:t>parallel texts are not necessarily complete and identical copies of the text being edited, but include partial parallels, where passages such as a genealogical list or a stanza occur in more than one text</w:t>
      </w:r>
    </w:p>
    <w:p w14:paraId="369931CE" w14:textId="77777777">
      <w:pPr>
        <w:pStyle w:val="Lista2"/>
      </w:pPr>
      <w:r>
        <w:t xml:space="preserve">however, partial parallelisms that occur widely in a given corpus, especially if they are short and/or they occur with some variation, are better understood as contextual knowledge supporting conjecture, and restorations based on such convergence should be encoded without </w:t>
      </w:r>
      <w:r>
        <w:rPr>
          <w:rStyle w:val="Codeattribute"/>
        </w:rPr>
        <w:t>@evidence</w:t>
      </w:r>
    </w:p>
    <w:p w14:paraId="2E1880BB" w14:textId="77777777">
      <w:pPr>
        <w:pStyle w:val="Lista"/>
      </w:pPr>
      <w:r>
        <w:rPr>
          <w:rStyle w:val="Codevalue"/>
        </w:rPr>
        <w:t>"previouseditor"</w:t>
      </w:r>
      <w:r>
        <w:t xml:space="preserve"> for restoration based on the testimony of a previous editor, when the text can no longer be made out at present</w:t>
      </w:r>
    </w:p>
    <w:p w14:paraId="7D0F580D" w14:textId="77777777">
      <w:pPr>
        <w:pStyle w:val="Lista2"/>
      </w:pPr>
      <w:r>
        <w:t xml:space="preserve">note that there is no facility to distinguish between multiple previous editors within this tag; if such a distinction is necessary, it shall be made in the apparatus attached to your edition </w:t>
      </w:r>
      <w:r>
        <w:rPr>
          <w:noProof/>
        </w:rPr>
        <w:t>(</w:t>
      </w:r>
      <w:r>
        <w:t>§</w:t>
      </w:r>
      <w:r>
        <w:fldChar w:fldCharType="begin"/>
      </w:r>
      <w:r>
        <w:instrText xml:space="preserve"> REF _Ref43978773 \w \h  \* MERGEFORMAT </w:instrText>
      </w:r>
      <w:r>
        <w:fldChar w:fldCharType="separate"/>
      </w:r>
      <w:r>
        <w:t>10</w:t>
      </w:r>
      <w:r>
        <w:fldChar w:fldCharType="end"/>
      </w:r>
      <w:r>
        <w:t>)</w:t>
      </w:r>
    </w:p>
    <w:p w14:paraId="50B1EDEC" w14:textId="77777777">
      <w:pPr>
        <w:pStyle w:val="Lista2"/>
      </w:pPr>
      <w:r>
        <w:t xml:space="preserve">likewise, alternative conjectural restorations should be recorded in the apparatus </w:t>
      </w:r>
      <w:r>
        <w:rPr>
          <w:noProof/>
        </w:rPr>
        <w:t>(</w:t>
      </w:r>
      <w:r>
        <w:t xml:space="preserve">if at all); </w:t>
      </w:r>
      <w:r>
        <w:rPr>
          <w:rStyle w:val="Codeattribute"/>
        </w:rPr>
        <w:t>@evidence</w:t>
      </w:r>
      <w:r>
        <w:rPr>
          <w:rStyle w:val="Code"/>
        </w:rPr>
        <w:t>=</w:t>
      </w:r>
      <w:r>
        <w:rPr>
          <w:rStyle w:val="Codevalue"/>
        </w:rPr>
        <w:t>"previouseditor"</w:t>
      </w:r>
      <w:r>
        <w:t xml:space="preserve"> is only for cases where an earlier editor reports an actual reading for text now lost</w:t>
      </w:r>
    </w:p>
    <w:p w14:paraId="550152AC" w14:textId="77777777">
      <w:pPr>
        <w:pStyle w:val="Lista2"/>
      </w:pPr>
      <w:r>
        <w:t>if you are working from a previous edition and have no visual documentation of an entire inscription or a sizeable part of one, then the text should not be marked up as supplied at all; instead, treat it as a regular part of the edition and clarify the situation in your commentary</w:t>
      </w:r>
    </w:p>
    <w:p w14:paraId="2ECD6574" w14:textId="77777777">
      <w:pPr>
        <w:pStyle w:val="Cmsor2"/>
      </w:pPr>
      <w:bookmarkStart w:id="558" w:name="_Ref228460110"/>
      <w:bookmarkStart w:id="559" w:name="_Toc243900323"/>
      <w:r>
        <w:t>Lacunae</w:t>
      </w:r>
      <w:bookmarkEnd w:id="548"/>
      <w:bookmarkEnd w:id="558"/>
      <w:bookmarkEnd w:id="559"/>
    </w:p>
    <w:p w14:paraId="18B9EC3C" w14:textId="77777777">
      <w:pPr>
        <w:pStyle w:val="Cmsor3"/>
      </w:pPr>
      <w:bookmarkStart w:id="560" w:name="_lo8gk73ax0q" w:colFirst="0" w:colLast="0"/>
      <w:bookmarkStart w:id="561" w:name="_Ref228888638"/>
      <w:bookmarkStart w:id="562" w:name="_Toc243900324"/>
      <w:bookmarkEnd w:id="560"/>
      <w:r>
        <w:t>Encoding lacunae</w:t>
      </w:r>
      <w:bookmarkEnd w:id="561"/>
      <w:bookmarkEnd w:id="562"/>
    </w:p>
    <w:p w14:paraId="2FA86C26" w14:textId="77777777">
      <w:r>
        <w:t xml:space="preserve">To encode a lacuna, i.e. a stretch where your edition contains no text because the source could not be read at all and could not be restored even tentatively, use the element </w:t>
      </w:r>
      <w:r>
        <w:rPr>
          <w:rStyle w:val="Code"/>
        </w:rPr>
        <w:t>&lt;gap&gt;</w:t>
      </w:r>
      <w:r>
        <w:t xml:space="preserve">. </w:t>
      </w:r>
    </w:p>
    <w:p w14:paraId="6B49CA0A" w14:textId="77777777">
      <w:pPr>
        <w:pStyle w:val="Lista"/>
      </w:pPr>
      <w:r>
        <w:t xml:space="preserve">use </w:t>
      </w:r>
      <w:r>
        <w:rPr>
          <w:rStyle w:val="Code"/>
        </w:rPr>
        <w:t>&lt;gap&gt;</w:t>
      </w:r>
      <w:r>
        <w:t xml:space="preserve"> for lacunae</w:t>
      </w:r>
      <w:r>
        <w:rPr>
          <w:rStyle w:val="Lbjegyzet-hivatkozs"/>
        </w:rPr>
        <w:footnoteReference w:id="29"/>
      </w:r>
      <w:r>
        <w:t xml:space="preserve"> with the following attributes</w:t>
      </w:r>
    </w:p>
    <w:p w14:paraId="08D8D27B" w14:textId="77777777">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010F5B14" w14:textId="77777777">
      <w:pPr>
        <w:pStyle w:val="Lista2"/>
      </w:pPr>
      <w:r>
        <w:t xml:space="preserve">mandatorily, </w:t>
      </w:r>
      <w:r>
        <w:rPr>
          <w:rStyle w:val="Codeattribute"/>
        </w:rPr>
        <w:t>@unit</w:t>
      </w:r>
      <w:r>
        <w:t xml:space="preserve"> combined with either </w:t>
      </w:r>
      <w:r>
        <w:rPr>
          <w:rStyle w:val="Codeattribute"/>
        </w:rPr>
        <w:t>@extent</w:t>
      </w:r>
      <w:r>
        <w:t xml:space="preserve"> or </w:t>
      </w:r>
      <w:r>
        <w:rPr>
          <w:rStyle w:val="Codeattribute"/>
        </w:rPr>
        <w:t>@quantity</w:t>
      </w:r>
      <w:r>
        <w:t xml:space="preserve"> as per §</w:t>
      </w:r>
      <w:r>
        <w:fldChar w:fldCharType="begin"/>
      </w:r>
      <w:r>
        <w:instrText xml:space="preserve"> REF _Ref228262228 \r \h </w:instrText>
      </w:r>
      <w:r>
        <w:fldChar w:fldCharType="separate"/>
      </w:r>
      <w:r>
        <w:t>6.5.1.2</w:t>
      </w:r>
      <w:r>
        <w:fldChar w:fldCharType="end"/>
      </w:r>
    </w:p>
    <w:p w14:paraId="4525D00D" w14:textId="77777777">
      <w:pPr>
        <w:pStyle w:val="Lista2"/>
      </w:pPr>
      <w:r>
        <w:t xml:space="preserve">as applicable, </w:t>
      </w:r>
      <w:r>
        <w:rPr>
          <w:rStyle w:val="Codeattribute"/>
        </w:rPr>
        <w:t>@precision</w:t>
      </w:r>
      <w:r>
        <w:t xml:space="preserve"> as per §</w:t>
      </w:r>
      <w:r>
        <w:fldChar w:fldCharType="begin"/>
      </w:r>
      <w:r>
        <w:instrText xml:space="preserve"> REF _Ref228262228 \r \h </w:instrText>
      </w:r>
      <w:r>
        <w:fldChar w:fldCharType="separate"/>
      </w:r>
      <w:r>
        <w:t>6.5.1.2</w:t>
      </w:r>
      <w:r>
        <w:fldChar w:fldCharType="end"/>
      </w:r>
    </w:p>
    <w:p w14:paraId="56AB6EFF" w14:textId="77777777">
      <w:pPr>
        <w:pStyle w:val="Lista"/>
      </w:pPr>
      <w:r>
        <w:lastRenderedPageBreak/>
        <w:t>since a gap is, by definition, a point where text is not available, this element can never contain text</w:t>
      </w:r>
    </w:p>
    <w:p w14:paraId="09CDFDA3" w14:textId="77777777">
      <w:pPr>
        <w:pStyle w:val="Lista2"/>
      </w:pPr>
      <w:r>
        <w:t xml:space="preserve">restored lacunae must be encoded with </w:t>
      </w:r>
      <w:r>
        <w:rPr>
          <w:rStyle w:val="Code"/>
        </w:rPr>
        <w:t>&lt;supplied&gt;</w:t>
      </w:r>
      <w:r>
        <w:t xml:space="preserve"> rather than with </w:t>
      </w:r>
      <w:r>
        <w:rPr>
          <w:rStyle w:val="Code"/>
        </w:rPr>
        <w:t>&lt;gap&gt;</w:t>
      </w:r>
      <w:r>
        <w:t>, as per §</w:t>
      </w:r>
      <w:r>
        <w:fldChar w:fldCharType="begin"/>
      </w:r>
      <w:r>
        <w:instrText xml:space="preserve"> REF _Ref228459751 \r \h </w:instrText>
      </w:r>
      <w:r>
        <w:fldChar w:fldCharType="separate"/>
      </w:r>
      <w:r>
        <w:t>6.4</w:t>
      </w:r>
      <w:r>
        <w:fldChar w:fldCharType="end"/>
      </w:r>
    </w:p>
    <w:p w14:paraId="3E881741" w14:textId="77777777">
      <w:pPr>
        <w:pStyle w:val="Lista2"/>
      </w:pPr>
      <w:r>
        <w:t xml:space="preserve">partially restored lacunae must be encoded as independent </w:t>
      </w:r>
      <w:r>
        <w:rPr>
          <w:rStyle w:val="Code"/>
        </w:rPr>
        <w:t>&lt;gap&gt;</w:t>
      </w:r>
      <w:r>
        <w:t xml:space="preserve"> and </w:t>
      </w:r>
      <w:r>
        <w:rPr>
          <w:rStyle w:val="Code"/>
        </w:rPr>
        <w:t>&lt;supplied&gt;</w:t>
      </w:r>
      <w:r>
        <w:t xml:space="preserve"> elements</w:t>
      </w:r>
    </w:p>
    <w:p w14:paraId="05F0E592" w14:textId="77777777">
      <w:pPr>
        <w:pStyle w:val="Lista3"/>
      </w:pPr>
      <w:r>
        <w:t xml:space="preserve">e.g. </w:t>
      </w:r>
      <w:r>
        <w:rPr>
          <w:rStyle w:val="Codetext"/>
        </w:rPr>
        <w:t>gudrahāra-vi</w:t>
      </w:r>
      <w:r>
        <w:rPr>
          <w:rStyle w:val="Code"/>
        </w:rPr>
        <w:t xml:space="preserve">&lt;supplied </w:t>
      </w:r>
      <w:r>
        <w:rPr>
          <w:rStyle w:val="Codeattribute"/>
        </w:rPr>
        <w:t>reason=</w:t>
      </w:r>
      <w:r>
        <w:rPr>
          <w:rStyle w:val="Codevalue"/>
        </w:rPr>
        <w:t>"lost"</w:t>
      </w:r>
      <w:r>
        <w:rPr>
          <w:rStyle w:val="Code"/>
        </w:rPr>
        <w:t>&gt;</w:t>
      </w:r>
      <w:r>
        <w:rPr>
          <w:rStyle w:val="Codetext"/>
        </w:rPr>
        <w:t>ṣaye</w:t>
      </w:r>
      <w:r>
        <w:rPr>
          <w:rStyle w:val="Code"/>
        </w:rPr>
        <w:t xml:space="preserve">&lt;/supplied&gt; &lt;gap </w:t>
      </w:r>
      <w:r>
        <w:rPr>
          <w:rStyle w:val="Codeattribute"/>
        </w:rPr>
        <w:t>reason=</w:t>
      </w:r>
      <w:r>
        <w:rPr>
          <w:rStyle w:val="Codevalue"/>
        </w:rPr>
        <w:t>"lost"</w:t>
      </w:r>
      <w:r>
        <w:rPr>
          <w:rStyle w:val="Code"/>
        </w:rPr>
        <w:t xml:space="preserve"> </w:t>
      </w:r>
      <w:r>
        <w:rPr>
          <w:rStyle w:val="Codeattribute"/>
        </w:rPr>
        <w:t>quantity=</w:t>
      </w:r>
      <w:r>
        <w:rPr>
          <w:rStyle w:val="Codevalue"/>
        </w:rPr>
        <w:t>"2"</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/&gt;</w:t>
      </w:r>
    </w:p>
    <w:p w14:paraId="05A3B40F" w14:textId="77777777">
      <w:pPr>
        <w:pStyle w:val="Lista2"/>
      </w:pPr>
      <w:r>
        <w:t xml:space="preserve">the </w:t>
      </w:r>
      <w:r>
        <w:rPr>
          <w:rStyle w:val="Code"/>
        </w:rPr>
        <w:t>&lt;gap&gt;</w:t>
      </w:r>
      <w:r>
        <w:t xml:space="preserve"> element is thus usually empty (</w:t>
      </w:r>
      <w:r>
        <w:rPr>
          <w:rStyle w:val="Code"/>
        </w:rPr>
        <w:t>&lt;gap/&gt;</w:t>
      </w:r>
      <w:r>
        <w:t>), but it may contain another empty element when the existence of a lacuna is uncertain, as per §</w:t>
      </w:r>
      <w:r>
        <w:fldChar w:fldCharType="begin"/>
      </w:r>
      <w:r>
        <w:instrText xml:space="preserve"> REF _Ref228262561 \r \h </w:instrText>
      </w:r>
      <w:r>
        <w:fldChar w:fldCharType="separate"/>
      </w:r>
      <w:r>
        <w:t>6.5.3.3</w:t>
      </w:r>
      <w:r>
        <w:fldChar w:fldCharType="end"/>
      </w:r>
    </w:p>
    <w:p w14:paraId="743F68C1" w14:textId="77777777">
      <w:pPr>
        <w:pStyle w:val="Lista"/>
      </w:pPr>
      <w:r>
        <w:rPr>
          <w:rStyle w:val="Code"/>
        </w:rPr>
        <w:t>&lt;gap&gt;</w:t>
      </w:r>
      <w:r>
        <w:t xml:space="preserve"> elements, where they are adjacent to extant or restored text, should normally be separated from text by a space unless you are reasonably confident that the lacuna included part of a word whose other part is preserved or restored outside the lacuna, in which case the text should precede or follow the </w:t>
      </w:r>
      <w:r>
        <w:rPr>
          <w:rStyle w:val="Code"/>
        </w:rPr>
        <w:t>&lt;gap&gt;</w:t>
      </w:r>
      <w:r>
        <w:t xml:space="preserve"> element without an intervening space</w:t>
      </w:r>
    </w:p>
    <w:p w14:paraId="3FA2B4FE" w14:textId="77777777">
      <w:pPr>
        <w:pStyle w:val="Lista2"/>
      </w:pPr>
      <w:r>
        <w:t>by convention we shall take a lacuna encoded without an intervening space as a definite indicator of an editorial hypothesis that the word preserved adjacent to the lacuna is not complete</w:t>
      </w:r>
    </w:p>
    <w:p w14:paraId="600637EF" w14:textId="77777777">
      <w:pPr>
        <w:pStyle w:val="Lista2"/>
      </w:pPr>
      <w:r>
        <w:t>whereas a lacuna encoded with an intervening space will not be regarded to imply any hypothesis about the completeness or incompleteness of the preserved word</w:t>
      </w:r>
    </w:p>
    <w:p w14:paraId="699CA67C" w14:textId="77777777">
      <w:pPr>
        <w:pStyle w:val="Cmsor4"/>
      </w:pPr>
      <w:bookmarkStart w:id="563" w:name="_hxyhjj6qtlem" w:colFirst="0" w:colLast="0"/>
      <w:bookmarkStart w:id="564" w:name="_Ref43987758"/>
      <w:bookmarkEnd w:id="563"/>
      <w:r>
        <w:t>The reason for lacunae: illegible or lost</w:t>
      </w:r>
      <w:bookmarkEnd w:id="564"/>
    </w:p>
    <w:p w14:paraId="39ABDB02" w14:textId="77777777">
      <w:r>
        <w:t xml:space="preserve">In alignment with EpiDoc convention, we make a distinction between lacunae resulting from the total loss of the original writing and those where the writing is present at least in a vestigial form but cannot be read even tentatively. This distinction is encoded in the attribute </w:t>
      </w:r>
      <w:r>
        <w:rPr>
          <w:rStyle w:val="Codeattribute"/>
        </w:rPr>
        <w:t>@reason</w:t>
      </w:r>
      <w:r>
        <w:t>, which can take the following values for lacunae.</w:t>
      </w:r>
    </w:p>
    <w:p w14:paraId="10FDAE27" w14:textId="77777777">
      <w:pPr>
        <w:pStyle w:val="Lista"/>
      </w:pPr>
      <w:r>
        <w:rPr>
          <w:rStyle w:val="Codevalue"/>
        </w:rPr>
        <w:t>"lost"</w:t>
      </w:r>
      <w:r>
        <w:t xml:space="preserve"> where parts of the support are altogether gone, or where the support itself is extant, but its surface has peeled off so that not even the faintest traces of writing remain</w:t>
      </w:r>
    </w:p>
    <w:p w14:paraId="6F0EBA26" w14:textId="77777777">
      <w:pPr>
        <w:pStyle w:val="Lista"/>
      </w:pPr>
      <w:r>
        <w:rPr>
          <w:rStyle w:val="Codevalue"/>
        </w:rPr>
        <w:t>"illegible"</w:t>
      </w:r>
      <w:r>
        <w:t xml:space="preserve"> where the inscribed text cannot be read at all, but the support is extant and vestiges of writing remain </w:t>
      </w:r>
      <w:r>
        <w:rPr>
          <w:noProof/>
        </w:rPr>
        <w:t>(</w:t>
      </w:r>
      <w:r>
        <w:t>i.e. there is a chance, however narrow, that with new insights, technological advances or sheer luck, some of the text can be recovered)</w:t>
      </w:r>
    </w:p>
    <w:p w14:paraId="2308358C" w14:textId="77777777">
      <w:pPr>
        <w:pStyle w:val="Lista"/>
      </w:pPr>
      <w:r>
        <w:rPr>
          <w:rStyle w:val="Codevalue"/>
        </w:rPr>
        <w:t>"undefined"</w:t>
      </w:r>
      <w:r>
        <w:t xml:space="preserve"> where it is impossible to make the above distinction for a certain lacuna, to be used if and only if </w:t>
      </w:r>
    </w:p>
    <w:p w14:paraId="0CFB0B83" w14:textId="77777777">
      <w:pPr>
        <w:pStyle w:val="Lista2"/>
      </w:pPr>
      <w:r>
        <w:t>you are encoding your digital edition (or an apparatus reading) from a printed edition without access to the original inscription or a visual representation of it</w:t>
      </w:r>
    </w:p>
    <w:p w14:paraId="15F5574A" w14:textId="77777777">
      <w:pPr>
        <w:pStyle w:val="Lista2"/>
      </w:pPr>
      <w:r>
        <w:rPr>
          <w:rStyle w:val="Foreign"/>
        </w:rPr>
        <w:t>and</w:t>
      </w:r>
      <w:r>
        <w:t xml:space="preserve"> the previous editor gives no indication whether a lacuna is illegible or wholly lost</w:t>
      </w:r>
    </w:p>
    <w:p w14:paraId="00227C4A" w14:textId="77777777">
      <w:pPr>
        <w:pStyle w:val="Lista2"/>
      </w:pPr>
      <w:r>
        <w:rPr>
          <w:rStyle w:val="Foreign"/>
        </w:rPr>
        <w:t>and</w:t>
      </w:r>
      <w:r>
        <w:t xml:space="preserve"> you cannot make a reasonable guess as to which of these was the case when the previous editor did their work</w:t>
      </w:r>
    </w:p>
    <w:p w14:paraId="4606E485" w14:textId="77777777">
      <w:pPr>
        <w:pStyle w:val="Lista"/>
      </w:pPr>
      <w:r>
        <w:t xml:space="preserve">in addition to the above three, the values </w:t>
      </w:r>
      <w:r>
        <w:rPr>
          <w:rStyle w:val="Codevalue"/>
        </w:rPr>
        <w:t>"omitted"</w:t>
      </w:r>
      <w:r>
        <w:t xml:space="preserve"> and </w:t>
      </w:r>
      <w:r>
        <w:rPr>
          <w:rStyle w:val="Codevalue"/>
        </w:rPr>
        <w:t>"ellipsis"</w:t>
      </w:r>
      <w:r>
        <w:t xml:space="preserve"> are permitted in contexts other than lacunae (§</w:t>
      </w:r>
      <w:r>
        <w:fldChar w:fldCharType="begin"/>
      </w:r>
      <w:r>
        <w:instrText xml:space="preserve"> REF _Ref63674857 \r \h </w:instrText>
      </w:r>
      <w:r>
        <w:fldChar w:fldCharType="separate"/>
      </w:r>
      <w:r>
        <w:t>7.7</w:t>
      </w:r>
      <w:r>
        <w:fldChar w:fldCharType="end"/>
      </w:r>
      <w:r>
        <w:t>, §</w:t>
      </w:r>
      <w:r>
        <w:fldChar w:fldCharType="begin"/>
      </w:r>
      <w:r>
        <w:instrText xml:space="preserve"> REF _Ref61250887 \r \h </w:instrText>
      </w:r>
      <w:r>
        <w:fldChar w:fldCharType="separate"/>
      </w:r>
      <w:r>
        <w:t>10.3</w:t>
      </w:r>
      <w:r>
        <w:fldChar w:fldCharType="end"/>
      </w:r>
      <w:r>
        <w:t>, §</w:t>
      </w:r>
      <w:r>
        <w:fldChar w:fldCharType="begin"/>
      </w:r>
      <w:r>
        <w:instrText xml:space="preserve"> REF _Ref43990112 \r \h </w:instrText>
      </w:r>
      <w:r>
        <w:fldChar w:fldCharType="separate"/>
      </w:r>
      <w:r>
        <w:t>11.4.3</w:t>
      </w:r>
      <w:r>
        <w:fldChar w:fldCharType="end"/>
      </w:r>
      <w:r>
        <w:t>)</w:t>
      </w:r>
    </w:p>
    <w:p w14:paraId="1179A0A8" w14:textId="77777777">
      <w:pPr>
        <w:pStyle w:val="Cmsor4"/>
      </w:pPr>
      <w:bookmarkStart w:id="565" w:name="_Ref228262228"/>
      <w:r>
        <w:t>The size of lacunae</w:t>
      </w:r>
      <w:bookmarkEnd w:id="565"/>
    </w:p>
    <w:p w14:paraId="021502D5" w14:textId="77777777">
      <w:pPr>
        <w:rPr>
          <w:lang w:eastAsia="en-US" w:bidi="ar-SA"/>
        </w:rPr>
      </w:pPr>
      <w:r>
        <w:rPr>
          <w:lang w:eastAsia="en-US" w:bidi="ar-SA"/>
        </w:rPr>
        <w:t>The size of a lacuna must be encoded through a combination of attributes. The relevant attributes and their permitted values are introduced here, while the following subsections on managing various kinds of lacunae will give specific instructions for their use in different situations.</w:t>
      </w:r>
    </w:p>
    <w:p w14:paraId="7B1A68E3" w14:textId="77777777">
      <w:pPr>
        <w:pStyle w:val="Lista"/>
      </w:pPr>
      <w:r>
        <w:rPr>
          <w:rStyle w:val="Codeattribute"/>
        </w:rPr>
        <w:t>@unit</w:t>
      </w:r>
      <w:r>
        <w:t xml:space="preserve"> is mandatory for all lacunae in DHARMA practice</w:t>
      </w:r>
      <w:r>
        <w:rPr>
          <w:rStyle w:val="Lbjegyzet-hivatkozs"/>
        </w:rPr>
        <w:footnoteReference w:id="30"/>
      </w:r>
      <w:r>
        <w:t xml:space="preserve"> and indicates the unit in which the size of a lacuna is recorded, with the following possible values</w:t>
      </w:r>
    </w:p>
    <w:p w14:paraId="3F36BF8F" w14:textId="77777777">
      <w:pPr>
        <w:pStyle w:val="Lista2"/>
      </w:pPr>
      <w:r>
        <w:rPr>
          <w:rStyle w:val="Codevalue"/>
        </w:rPr>
        <w:t>"character"</w:t>
      </w:r>
      <w:r>
        <w:t xml:space="preserve"> for lacunae measured by the number of lost </w:t>
      </w:r>
      <w:r>
        <w:rPr>
          <w:rStyle w:val="Foreign"/>
        </w:rPr>
        <w:t>akṣara</w:t>
      </w:r>
      <w:r>
        <w:rPr>
          <w:rStyle w:val="Foreign"/>
          <w:i w:val="0"/>
          <w:iCs w:val="0"/>
        </w:rPr>
        <w:t>s</w:t>
      </w:r>
      <w:r>
        <w:t>, which may be</w:t>
      </w:r>
    </w:p>
    <w:p w14:paraId="325F9B81" w14:textId="77777777">
      <w:pPr>
        <w:pStyle w:val="Lista3"/>
      </w:pPr>
      <w:r>
        <w:t>calculated fairly precisely, when</w:t>
      </w:r>
    </w:p>
    <w:p w14:paraId="18DD7371" w14:textId="77777777">
      <w:pPr>
        <w:pStyle w:val="Lista4"/>
      </w:pPr>
      <w:r>
        <w:t xml:space="preserve">the text is in syllabic verse which lets you determine the number of </w:t>
      </w:r>
      <w:r>
        <w:rPr>
          <w:rStyle w:val="Foreign"/>
        </w:rPr>
        <w:t>akṣara</w:t>
      </w:r>
      <w:r>
        <w:rPr>
          <w:noProof/>
        </w:rPr>
        <w:t>s</w:t>
      </w:r>
      <w:r>
        <w:t xml:space="preserve"> lost </w:t>
      </w:r>
      <w:r>
        <w:rPr>
          <w:noProof/>
        </w:rPr>
        <w:t>(</w:t>
      </w:r>
      <w:r>
        <w:t>give or take a few potential final consonants and/or punctuation marks)</w:t>
      </w:r>
    </w:p>
    <w:p w14:paraId="02A265C9" w14:textId="77777777">
      <w:pPr>
        <w:pStyle w:val="Lista4"/>
      </w:pPr>
      <w:r>
        <w:t>although the glyphs are damaged beyond recognition, their headmarks or outlines can nonetheless be counted with a very small margin for error</w:t>
      </w:r>
    </w:p>
    <w:p w14:paraId="2B27782F" w14:textId="77777777">
      <w:pPr>
        <w:pStyle w:val="Lista3"/>
      </w:pPr>
      <w:r>
        <w:t xml:space="preserve">estimated approximately (adding </w:t>
      </w:r>
      <w:r>
        <w:rPr>
          <w:rStyle w:val="Codeattribute"/>
        </w:rPr>
        <w:t>@precision</w:t>
      </w:r>
      <w:r>
        <w:t>, see below), for example when</w:t>
      </w:r>
    </w:p>
    <w:p w14:paraId="243A6457" w14:textId="77777777">
      <w:pPr>
        <w:pStyle w:val="Lista4"/>
      </w:pPr>
      <w:r>
        <w:lastRenderedPageBreak/>
        <w:t>you can count the number of characters in an adjacent line for a span of the same width as that of the lacuna</w:t>
      </w:r>
    </w:p>
    <w:p w14:paraId="6F283019" w14:textId="77777777">
      <w:pPr>
        <w:pStyle w:val="Lista4"/>
      </w:pPr>
      <w:r>
        <w:t>the text is in quantitative verse, and you estimate the number of syllables lost on the basis of the number of morae missing from the verse</w:t>
      </w:r>
      <w:r>
        <w:rPr>
          <w:rStyle w:val="Lbjegyzet-hivatkozs"/>
        </w:rPr>
        <w:footnoteReference w:id="31"/>
      </w:r>
    </w:p>
    <w:p w14:paraId="73CA2EC2" w14:textId="77777777">
      <w:pPr>
        <w:pStyle w:val="Lista2"/>
      </w:pPr>
      <w:r>
        <w:rPr>
          <w:rStyle w:val="Codevalue"/>
        </w:rPr>
        <w:t>"component"</w:t>
      </w:r>
      <w:r>
        <w:t xml:space="preserve"> for lacunae measured by the number of lost character components</w:t>
      </w:r>
    </w:p>
    <w:p w14:paraId="2E70B619" w14:textId="77777777">
      <w:pPr>
        <w:pStyle w:val="Lista3"/>
      </w:pPr>
      <w:r>
        <w:t>this unit is for use in lacunae affecting only a specific part of a glyph (§</w:t>
      </w:r>
      <w:r>
        <w:fldChar w:fldCharType="begin"/>
      </w:r>
      <w:r>
        <w:instrText xml:space="preserve"> REF _Ref43987049 \r \h </w:instrText>
      </w:r>
      <w:r>
        <w:fldChar w:fldCharType="separate"/>
      </w:r>
      <w:r>
        <w:t>6.5.2.4</w:t>
      </w:r>
      <w:r>
        <w:fldChar w:fldCharType="end"/>
      </w:r>
      <w:r>
        <w:t>)</w:t>
      </w:r>
    </w:p>
    <w:p w14:paraId="3506AD08" w14:textId="77777777">
      <w:pPr>
        <w:pStyle w:val="Lista2"/>
      </w:pPr>
      <w:r>
        <w:rPr>
          <w:rStyle w:val="Codevalue"/>
        </w:rPr>
        <w:t>"line"</w:t>
      </w:r>
      <w:r>
        <w:t xml:space="preserve"> for lacunae measured by the number of lost inscribed lines (§</w:t>
      </w:r>
      <w:r>
        <w:fldChar w:fldCharType="begin"/>
      </w:r>
      <w:r>
        <w:instrText xml:space="preserve"> REF _Ref224720139 \r \h </w:instrText>
      </w:r>
      <w:r>
        <w:fldChar w:fldCharType="separate"/>
      </w:r>
      <w:r>
        <w:t>4.5</w:t>
      </w:r>
      <w:r>
        <w:fldChar w:fldCharType="end"/>
      </w:r>
      <w:r>
        <w:t>)</w:t>
      </w:r>
    </w:p>
    <w:p w14:paraId="5C28DE7A" w14:textId="77777777">
      <w:pPr>
        <w:pStyle w:val="Lista3"/>
      </w:pPr>
      <w:r>
        <w:t>lost lines may be counted accurately or estimated</w:t>
      </w:r>
    </w:p>
    <w:p w14:paraId="26EBCE9B" w14:textId="77777777">
      <w:pPr>
        <w:pStyle w:val="Lista"/>
      </w:pPr>
      <w:r>
        <w:t xml:space="preserve">in addition to </w:t>
      </w:r>
      <w:r>
        <w:rPr>
          <w:rStyle w:val="Codeattribute"/>
        </w:rPr>
        <w:t>@unit</w:t>
      </w:r>
      <w:r>
        <w:t>, another mandatory attribute specifies the size of the lacuna in the recorded units</w:t>
      </w:r>
    </w:p>
    <w:p w14:paraId="3F61D372" w14:textId="77777777">
      <w:pPr>
        <w:pStyle w:val="Lista2"/>
      </w:pPr>
      <w:r>
        <w:t xml:space="preserve">in all cases where the number of lost units can be counted or estimated, this attribute is </w:t>
      </w:r>
      <w:r>
        <w:rPr>
          <w:rStyle w:val="Codeattribute"/>
        </w:rPr>
        <w:t>@quantity</w:t>
      </w:r>
      <w:r>
        <w:t>, whose value must be an integer number</w:t>
      </w:r>
    </w:p>
    <w:p w14:paraId="26F98CAA" w14:textId="77777777">
      <w:pPr>
        <w:pStyle w:val="Lista2"/>
        <w:rPr>
          <w:rStyle w:val="Codeattribute"/>
          <w:rFonts w:ascii="Gentium" w:hAnsi="Gentium" w:cs="Tiro Devanagari Sanskrit"/>
          <w:noProof w:val="0"/>
          <w:color w:val="auto"/>
          <w:shd w:val="clear" w:color="auto" w:fill="auto"/>
        </w:rPr>
      </w:pPr>
      <w:r>
        <w:t xml:space="preserve">when the size of the lacuna cannot be quantified, it must be encoded with the attribute </w:t>
      </w:r>
      <w:r>
        <w:rPr>
          <w:rStyle w:val="Codeattribute"/>
        </w:rPr>
        <w:t>@extent</w:t>
      </w:r>
      <w:r>
        <w:t xml:space="preserve"> and the value </w:t>
      </w:r>
      <w:r>
        <w:rPr>
          <w:rStyle w:val="Codevalue"/>
        </w:rPr>
        <w:t>"unknown"</w:t>
      </w:r>
    </w:p>
    <w:p w14:paraId="4E961DD7" w14:textId="77777777">
      <w:pPr>
        <w:pStyle w:val="Lista"/>
      </w:pPr>
      <w:r>
        <w:t xml:space="preserve">when the size of a lacuna is recorded in terms of quantity, but the number encoded in that attribute is approximate, add the attribute </w:t>
      </w:r>
      <w:r>
        <w:rPr>
          <w:rStyle w:val="Codeattribute"/>
        </w:rPr>
        <w:t>@precision</w:t>
      </w:r>
      <w:r>
        <w:t xml:space="preserve"> with the value </w:t>
      </w:r>
      <w:r>
        <w:rPr>
          <w:rStyle w:val="Codevalue"/>
        </w:rPr>
        <w:t>"low"</w:t>
      </w:r>
    </w:p>
    <w:p w14:paraId="700390E7" w14:textId="77777777">
      <w:pPr>
        <w:pStyle w:val="Lista2"/>
      </w:pPr>
      <w:r>
        <w:t>as a rule of thumb, low precision should be indicated when the estimated quantity of a lacuna is likely to have an error margin below 20%</w:t>
      </w:r>
    </w:p>
    <w:p w14:paraId="53DAD8EA" w14:textId="77777777">
      <w:pPr>
        <w:pStyle w:val="Lista3"/>
      </w:pPr>
      <w:r>
        <w:t>if even this level of accuracy is unattainable, then encoding an unknown extent is preferable</w:t>
      </w:r>
    </w:p>
    <w:p w14:paraId="0DC07189" w14:textId="77777777">
      <w:pPr>
        <w:pStyle w:val="Lista2"/>
      </w:pPr>
      <w:r>
        <w:t>although TEI affords the facility to do so, in DHARMA practice we do not encode any other degrees of precision, nor use minimum and maximum possible values for the length of a lacuna</w:t>
      </w:r>
    </w:p>
    <w:p w14:paraId="2AD05728" w14:textId="77777777">
      <w:pPr>
        <w:pStyle w:val="Cmsor3"/>
      </w:pPr>
      <w:bookmarkStart w:id="566" w:name="_qo376k1007h" w:colFirst="0" w:colLast="0"/>
      <w:bookmarkStart w:id="567" w:name="_Ref43988016"/>
      <w:bookmarkStart w:id="568" w:name="_Toc243900325"/>
      <w:bookmarkEnd w:id="566"/>
      <w:r>
        <w:t>Managing inline lacunae</w:t>
      </w:r>
      <w:bookmarkEnd w:id="567"/>
      <w:bookmarkEnd w:id="568"/>
    </w:p>
    <w:p w14:paraId="15AC70D3" w14:textId="77777777">
      <w:pPr>
        <w:rPr>
          <w:lang w:eastAsia="en-US" w:bidi="ar-SA"/>
        </w:rPr>
      </w:pPr>
      <w:r>
        <w:rPr>
          <w:lang w:eastAsia="en-US" w:bidi="ar-SA"/>
        </w:rPr>
        <w:t xml:space="preserve">Most lacunae are inline, meaning that they can be encoded as gap elements on the same level as the text, while the encoding for the extrinsic structure of the text, including line beginnings </w:t>
      </w:r>
      <w:r>
        <w:rPr>
          <w:noProof/>
        </w:rPr>
        <w:t>(</w:t>
      </w:r>
      <w:r>
        <w:t>§</w:t>
      </w:r>
      <w:r>
        <w:fldChar w:fldCharType="begin"/>
      </w:r>
      <w:r>
        <w:instrText xml:space="preserve"> REF _Ref43980100 \r \h </w:instrText>
      </w:r>
      <w:r>
        <w:fldChar w:fldCharType="separate"/>
      </w:r>
      <w:r>
        <w:t>4.5.1</w:t>
      </w:r>
      <w:r>
        <w:fldChar w:fldCharType="end"/>
      </w:r>
      <w:r>
        <w:t>)</w:t>
      </w:r>
      <w:r>
        <w:rPr>
          <w:lang w:eastAsia="en-US" w:bidi="ar-SA"/>
        </w:rPr>
        <w:t>, can be established without regard for the lacuna. Whenever feasible, lacunae should be encoded as inline features.</w:t>
      </w:r>
    </w:p>
    <w:p w14:paraId="13711995" w14:textId="77777777">
      <w:pPr>
        <w:pStyle w:val="Lista"/>
      </w:pPr>
      <w:r>
        <w:t xml:space="preserve">inline lacunae shall be encoded with a </w:t>
      </w:r>
      <w:r>
        <w:rPr>
          <w:rStyle w:val="Code"/>
        </w:rPr>
        <w:t>&lt;gap/&gt;</w:t>
      </w:r>
      <w:r>
        <w:t xml:space="preserve"> element at the same level of the encoding hierarchy as the text, with the following attributes</w:t>
      </w:r>
    </w:p>
    <w:p w14:paraId="74EF352E" w14:textId="77777777">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17D80D90" w14:textId="77777777">
      <w:pPr>
        <w:pStyle w:val="Lista2"/>
      </w:pPr>
      <w:r>
        <w:t>mandatorily, a size measurement in units of characters and a quantity or extent, with precision encoded if applicable, as per §</w:t>
      </w:r>
      <w:r>
        <w:fldChar w:fldCharType="begin"/>
      </w:r>
      <w:r>
        <w:instrText xml:space="preserve"> REF _Ref228262228 \r \h </w:instrText>
      </w:r>
      <w:r>
        <w:fldChar w:fldCharType="separate"/>
      </w:r>
      <w:r>
        <w:t>6.5.1.2</w:t>
      </w:r>
      <w:r>
        <w:fldChar w:fldCharType="end"/>
      </w:r>
    </w:p>
    <w:p w14:paraId="568D1DDC"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"7"</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p>
    <w:p w14:paraId="7EBF64DF" w14:textId="77777777">
      <w:pPr>
        <w:pStyle w:val="Lista"/>
      </w:pPr>
      <w:r>
        <w:t>while encoding inline lacunae, the boundaries of extrinsic and intrinsic structural units must be respected, as discussed in §</w:t>
      </w:r>
      <w:r>
        <w:fldChar w:fldCharType="begin"/>
      </w:r>
      <w:r>
        <w:instrText xml:space="preserve"> REF _Ref228267816 \r \h </w:instrText>
      </w:r>
      <w:r>
        <w:fldChar w:fldCharType="separate"/>
      </w:r>
      <w:r>
        <w:t>6.5.2.1</w:t>
      </w:r>
      <w:r>
        <w:fldChar w:fldCharType="end"/>
      </w:r>
      <w:r>
        <w:t xml:space="preserve"> and §</w:t>
      </w:r>
      <w:r>
        <w:fldChar w:fldCharType="begin"/>
      </w:r>
      <w:r>
        <w:instrText xml:space="preserve"> REF _Ref228267821 \r \h </w:instrText>
      </w:r>
      <w:r>
        <w:fldChar w:fldCharType="separate"/>
      </w:r>
      <w:r>
        <w:t>6.5.2.2</w:t>
      </w:r>
      <w:r>
        <w:fldChar w:fldCharType="end"/>
      </w:r>
    </w:p>
    <w:p w14:paraId="0F8DCB0E" w14:textId="77777777">
      <w:pPr>
        <w:pStyle w:val="Lista"/>
      </w:pPr>
      <w:r>
        <w:t>when the metrical structure of lost text is known, this must be encoded as per §</w:t>
      </w:r>
      <w:r>
        <w:fldChar w:fldCharType="begin"/>
      </w:r>
      <w:r>
        <w:instrText xml:space="preserve"> REF _Ref228267857 \r \h </w:instrText>
      </w:r>
      <w:r>
        <w:fldChar w:fldCharType="separate"/>
      </w:r>
      <w:r>
        <w:t>6.5.2.3</w:t>
      </w:r>
      <w:r>
        <w:fldChar w:fldCharType="end"/>
      </w:r>
    </w:p>
    <w:p w14:paraId="4DB39E4B" w14:textId="77777777">
      <w:pPr>
        <w:pStyle w:val="Cmsor4"/>
      </w:pPr>
      <w:bookmarkStart w:id="569" w:name="_Ref228267816"/>
      <w:r>
        <w:t>Inline lacunae and extrinsic structure</w:t>
      </w:r>
      <w:bookmarkEnd w:id="569"/>
    </w:p>
    <w:p w14:paraId="7ECC84A6" w14:textId="77777777">
      <w:r>
        <w:t>Since inline lacunae are at the same hierarchical level as the text, they are subordinate to physical lines (as well as to all higher levels of the extrinsic hierarchy, §</w:t>
      </w:r>
      <w:r>
        <w:fldChar w:fldCharType="begin"/>
      </w:r>
      <w:r>
        <w:instrText xml:space="preserve"> REF _Ref182923075 \r \h </w:instrText>
      </w:r>
      <w:r>
        <w:fldChar w:fldCharType="separate"/>
      </w:r>
      <w:r>
        <w:t>4.1</w:t>
      </w:r>
      <w:r>
        <w:fldChar w:fldCharType="end"/>
      </w:r>
      <w:r>
        <w:t>), with the following implications.</w:t>
      </w:r>
    </w:p>
    <w:p w14:paraId="0709D99B" w14:textId="77777777">
      <w:pPr>
        <w:pStyle w:val="Lista"/>
      </w:pPr>
      <w:r>
        <w:t>a physical line will usually contain text on one or both sides of the lacuna</w:t>
      </w:r>
    </w:p>
    <w:p w14:paraId="1FEDC82E" w14:textId="77777777">
      <w:pPr>
        <w:pStyle w:val="Lista2"/>
      </w:pPr>
      <w:r>
        <w:t>there is no explicit encoding method for lacunae from the beginning of a line to a certain point, or from a certain point to the end of a line, since this is clearly implied by the encoding of the lacuna and the line beginnings</w:t>
      </w:r>
    </w:p>
    <w:p w14:paraId="00256162" w14:textId="77777777">
      <w:pPr>
        <w:pStyle w:val="Lista3"/>
      </w:pPr>
      <w:r>
        <w:t xml:space="preserve">e.g. </w:t>
      </w:r>
      <w:r>
        <w:rPr>
          <w:rStyle w:val="Code"/>
        </w:rPr>
        <w:t xml:space="preserve">&lt;lb </w:t>
      </w:r>
      <w:r>
        <w:rPr>
          <w:rStyle w:val="Codeattribute"/>
        </w:rPr>
        <w:t>n=</w:t>
      </w:r>
      <w:r>
        <w:rPr>
          <w:rStyle w:val="Codevalue"/>
        </w:rPr>
        <w:t>"1"</w:t>
      </w:r>
      <w:r>
        <w:rPr>
          <w:rStyle w:val="Code"/>
        </w:rPr>
        <w:t>/&gt;</w:t>
      </w:r>
      <w:r>
        <w:rPr>
          <w:rStyle w:val="Codetext"/>
        </w:rPr>
        <w:t xml:space="preserve">śrīmad-asanapura-nivāsa </w:t>
      </w:r>
      <w:r>
        <w:rPr>
          <w:rStyle w:val="Code"/>
        </w:rPr>
        <w:t xml:space="preserve">&lt;gap </w:t>
      </w:r>
      <w:r>
        <w:rPr>
          <w:rStyle w:val="Codeattribute"/>
        </w:rPr>
        <w:t>reason=</w:t>
      </w:r>
      <w:r>
        <w:rPr>
          <w:rStyle w:val="Codevalue"/>
        </w:rPr>
        <w:t>"lost"</w:t>
      </w:r>
      <w:r>
        <w:rPr>
          <w:rStyle w:val="Code"/>
        </w:rPr>
        <w:t xml:space="preserve"> </w:t>
      </w:r>
      <w:r>
        <w:rPr>
          <w:rStyle w:val="Codeattribute"/>
        </w:rPr>
        <w:t>quantity=</w:t>
      </w:r>
      <w:r>
        <w:rPr>
          <w:rStyle w:val="Codevalue"/>
        </w:rPr>
        <w:t>"15"</w:t>
      </w:r>
      <w:r>
        <w:rPr>
          <w:rStyle w:val="Code"/>
        </w:rPr>
        <w:t xml:space="preserve"> </w:t>
      </w:r>
      <w:r>
        <w:rPr>
          <w:rStyle w:val="Codeattribute"/>
        </w:rPr>
        <w:t>unit=</w:t>
      </w:r>
      <w:r>
        <w:rPr>
          <w:rStyle w:val="Codevalue"/>
        </w:rPr>
        <w:t>"character"</w:t>
      </w:r>
      <w:r>
        <w:rPr>
          <w:rStyle w:val="Code"/>
        </w:rPr>
        <w:t xml:space="preserve"> </w:t>
      </w:r>
      <w:r>
        <w:rPr>
          <w:rStyle w:val="Codeattribute"/>
        </w:rPr>
        <w:t>precision=</w:t>
      </w:r>
      <w:r>
        <w:rPr>
          <w:rStyle w:val="Codevalue"/>
        </w:rPr>
        <w:t>"low"</w:t>
      </w:r>
      <w:r>
        <w:rPr>
          <w:rStyle w:val="Code"/>
        </w:rPr>
        <w:t xml:space="preserve">/&gt;&lt;lb </w:t>
      </w:r>
      <w:r>
        <w:rPr>
          <w:rStyle w:val="Codeattribute"/>
        </w:rPr>
        <w:t>n=</w:t>
      </w:r>
      <w:r>
        <w:rPr>
          <w:rStyle w:val="Codevalue"/>
        </w:rPr>
        <w:t>"2"</w:t>
      </w:r>
      <w:r>
        <w:rPr>
          <w:rStyle w:val="Code"/>
        </w:rPr>
        <w:t xml:space="preserve">/&gt; </w:t>
      </w:r>
    </w:p>
    <w:p w14:paraId="3515A9D2" w14:textId="77777777">
      <w:pPr>
        <w:pStyle w:val="Lista"/>
      </w:pPr>
      <w:r>
        <w:t>each encoded lacuna is an independent entity: if a single area of damage or loss causes lacunae in more than one line, the encoding does not reflect that these lacunae are connected</w:t>
      </w:r>
    </w:p>
    <w:p w14:paraId="1B20A021" w14:textId="77777777">
      <w:pPr>
        <w:pStyle w:val="Lista"/>
      </w:pPr>
      <w:r>
        <w:lastRenderedPageBreak/>
        <w:t>when an entire line is lost or illegible, but it is certain that the line did once exist, the line beginning must be encoded normally, followed by an inline lacuna and no text</w:t>
      </w:r>
    </w:p>
    <w:p w14:paraId="4DABD4C0" w14:textId="77777777">
      <w:pPr>
        <w:pStyle w:val="Lista"/>
      </w:pPr>
      <w:r>
        <w:t>even when a small and precisely known number of lines are lost, it is preferable to encode line beginnings and inline lacunae for each (§</w:t>
      </w:r>
      <w:r>
        <w:rPr>
          <w:lang w:eastAsia="en-US" w:bidi="ar-SA"/>
        </w:rPr>
        <w:fldChar w:fldCharType="begin"/>
      </w:r>
      <w:r>
        <w:instrText xml:space="preserve"> REF _Ref228368995 \r \h </w:instrText>
      </w:r>
      <w:r>
        <w:rPr>
          <w:lang w:eastAsia="en-US" w:bidi="ar-SA"/>
        </w:rPr>
      </w:r>
      <w:r>
        <w:rPr>
          <w:lang w:eastAsia="en-US" w:bidi="ar-SA"/>
        </w:rPr>
        <w:fldChar w:fldCharType="separate"/>
      </w:r>
      <w:r>
        <w:t>6.5.3.1</w:t>
      </w:r>
      <w:r>
        <w:rPr>
          <w:lang w:eastAsia="en-US" w:bidi="ar-SA"/>
        </w:rPr>
        <w:fldChar w:fldCharType="end"/>
      </w:r>
      <w:r>
        <w:t>)</w:t>
      </w:r>
    </w:p>
    <w:p w14:paraId="540D9D85" w14:textId="77777777">
      <w:pPr>
        <w:pStyle w:val="Cmsor4"/>
      </w:pPr>
      <w:bookmarkStart w:id="570" w:name="_gheocos7adm9" w:colFirst="0" w:colLast="0"/>
      <w:bookmarkStart w:id="571" w:name="_Ref228267821"/>
      <w:bookmarkStart w:id="572" w:name="_Ref43981586"/>
      <w:bookmarkEnd w:id="570"/>
      <w:r>
        <w:t>Inline lacunae and intrinsic structure</w:t>
      </w:r>
      <w:bookmarkEnd w:id="571"/>
    </w:p>
    <w:p w14:paraId="2960D401" w14:textId="77777777">
      <w:pPr>
        <w:rPr>
          <w:lang w:eastAsia="en-US" w:bidi="ar-SA"/>
        </w:rPr>
      </w:pPr>
      <w:r>
        <w:t>Since inline lacunae are at the same hierarchical level as the text, they are subordinate to the block-level containers for intrinsic structure (§</w:t>
      </w:r>
      <w:r>
        <w:fldChar w:fldCharType="begin"/>
      </w:r>
      <w:r>
        <w:instrText xml:space="preserve"> REF _Ref225153755 \r \h </w:instrText>
      </w:r>
      <w:r>
        <w:fldChar w:fldCharType="separate"/>
      </w:r>
      <w:r>
        <w:t>3.1</w:t>
      </w:r>
      <w:r>
        <w:fldChar w:fldCharType="end"/>
      </w:r>
      <w:r>
        <w:t>), with the following implications.</w:t>
      </w:r>
    </w:p>
    <w:p w14:paraId="02B1F84B" w14:textId="77777777">
      <w:pPr>
        <w:pStyle w:val="Lista"/>
        <w:rPr>
          <w:lang w:eastAsia="en-US" w:bidi="ar-SA"/>
        </w:rPr>
      </w:pPr>
      <w:r>
        <w:rPr>
          <w:lang w:eastAsia="en-US" w:bidi="ar-SA"/>
        </w:rPr>
        <w:t>when a lacuna affects both sides of a (presumable) boundary between units of intrinsic structure, then</w:t>
      </w:r>
    </w:p>
    <w:p w14:paraId="008F0521" w14:textId="77777777">
      <w:pPr>
        <w:pStyle w:val="Lista2"/>
        <w:rPr>
          <w:lang w:eastAsia="en-US" w:bidi="ar-SA"/>
        </w:rPr>
      </w:pPr>
      <w:r>
        <w:rPr>
          <w:lang w:eastAsia="en-US" w:bidi="ar-SA"/>
        </w:rPr>
        <w:t>the boundary must be reconstructed and encoded at its estimated position</w:t>
      </w:r>
    </w:p>
    <w:p w14:paraId="09C47918" w14:textId="77777777">
      <w:pPr>
        <w:pStyle w:val="Lista2"/>
        <w:rPr>
          <w:lang w:eastAsia="en-US" w:bidi="ar-SA"/>
        </w:rPr>
      </w:pPr>
      <w:r>
        <w:rPr>
          <w:lang w:eastAsia="en-US" w:bidi="ar-SA"/>
        </w:rPr>
        <w:t>separate inline lacunae must be encoded on both sides of the boundary</w:t>
      </w:r>
    </w:p>
    <w:p w14:paraId="5166375F" w14:textId="77777777">
      <w:pPr>
        <w:pStyle w:val="Lista"/>
        <w:rPr>
          <w:lang w:eastAsia="en-US" w:bidi="ar-SA"/>
        </w:rPr>
      </w:pPr>
      <w:r>
        <w:rPr>
          <w:lang w:eastAsia="en-US" w:bidi="ar-SA"/>
        </w:rPr>
        <w:t>especially in verse, a physically single lacuna may affect multiple phrase-level containers one after the other</w:t>
      </w:r>
    </w:p>
    <w:p w14:paraId="5967244A" w14:textId="77777777">
      <w:pPr>
        <w:pStyle w:val="Lista2"/>
      </w:pPr>
      <w:r>
        <w:t xml:space="preserve">the structural framework of stanzas </w:t>
      </w:r>
      <w:r>
        <w:rPr>
          <w:noProof/>
        </w:rPr>
        <w:t>(</w:t>
      </w:r>
      <w:r>
        <w:t xml:space="preserve">i.e. the </w:t>
      </w:r>
      <w:r>
        <w:rPr>
          <w:rStyle w:val="Code"/>
        </w:rPr>
        <w:t>&lt;lg&gt;</w:t>
      </w:r>
      <w:r>
        <w:t xml:space="preserve"> element and the applicable number of </w:t>
      </w:r>
      <w:r>
        <w:rPr>
          <w:rStyle w:val="Code"/>
        </w:rPr>
        <w:t>&lt;l&gt;</w:t>
      </w:r>
      <w:r>
        <w:t xml:space="preserve"> elements) must as a rule be fully encoded even if a significant part of a stanza is lost</w:t>
      </w:r>
    </w:p>
    <w:p w14:paraId="33BC625F" w14:textId="77B22EA9">
      <w:pPr>
        <w:pStyle w:val="Lista2"/>
      </w:pPr>
      <w:r>
        <w:t xml:space="preserve">separate inline lacunae must then be distributed accordingly into each container, as in </w:t>
      </w:r>
      <w:r>
        <w:fldChar w:fldCharType="begin"/>
      </w:r>
      <w:r>
        <w:instrText xml:space="preserve"> REF _Ref181695652 \h </w:instrText>
      </w:r>
      <w:r>
        <w:fldChar w:fldCharType="separate"/>
      </w:r>
      <w:r>
        <w:t xml:space="preserve">Exhibit </w:t>
      </w:r>
      <w:r>
        <w:rPr>
          <w:noProof/>
        </w:rPr>
        <w:t>6.5</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49D465B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D16AC14" w14:textId="77777777">
            <w:pPr>
              <w:pStyle w:val="Kpalrs"/>
            </w:pPr>
            <w:bookmarkStart w:id="573" w:name="_Ref181695652"/>
            <w:bookmarkStart w:id="574" w:name="_Ref181695649"/>
            <w:r>
              <w:t xml:space="preserve">Exhibit </w:t>
            </w:r>
            <w:fldSimple w:instr=" STYLEREF 2 \s ">
              <w:r>
                <w:rPr>
                  <w:noProof/>
                </w:rPr>
                <w:t>6.5</w:t>
              </w:r>
            </w:fldSimple>
            <w:r>
              <w:t>.</w:t>
            </w:r>
            <w:fldSimple w:instr=" SEQ Exhibit \* ALPHABETIC \s 2 ">
              <w:r>
                <w:rPr>
                  <w:noProof/>
                </w:rPr>
                <w:t>A</w:t>
              </w:r>
            </w:fldSimple>
            <w:bookmarkEnd w:id="573"/>
            <w:r>
              <w:t>: structural markup in lacunose verse</w:t>
            </w:r>
            <w:bookmarkEnd w:id="574"/>
          </w:p>
        </w:tc>
      </w:tr>
      <w:tr w14:paraId="49E41DB3" w14:textId="77777777">
        <w:tc>
          <w:tcPr>
            <w:tcW w:w="5000" w:type="pct"/>
          </w:tcPr>
          <w:p w14:paraId="744FE1C4" w14:textId="77777777">
            <w:pPr>
              <w:pStyle w:val="CodeParagraph"/>
              <w:keepNext/>
              <w:rPr>
                <w:rStyle w:val="Code"/>
              </w:rPr>
            </w:pPr>
            <w:r>
              <w:rPr>
                <w:rStyle w:val="Code"/>
              </w:rPr>
              <w:t xml:space="preserve">&lt;lg </w:t>
            </w:r>
            <w:r>
              <w:rPr>
                <w:rStyle w:val="Codeattribute"/>
              </w:rPr>
              <w:t>n=</w:t>
            </w:r>
            <w:r>
              <w:rPr>
                <w:rStyle w:val="Codevalue"/>
              </w:rPr>
              <w:t>"25"</w:t>
            </w:r>
            <w:r>
              <w:rPr>
                <w:rStyle w:val="Code"/>
              </w:rPr>
              <w:t xml:space="preserve"> </w:t>
            </w:r>
            <w:r>
              <w:rPr>
                <w:rStyle w:val="Codeattribute"/>
              </w:rPr>
              <w:t>met=</w:t>
            </w:r>
            <w:r>
              <w:rPr>
                <w:rStyle w:val="Codevalue"/>
              </w:rPr>
              <w:t>"anuṣṭubh"</w:t>
            </w:r>
            <w:r>
              <w:rPr>
                <w:rStyle w:val="Code"/>
              </w:rPr>
              <w:t>&gt;</w:t>
            </w:r>
          </w:p>
          <w:p w14:paraId="379521CD" w14:textId="77777777">
            <w:pPr>
              <w:pStyle w:val="CodeParagraph"/>
              <w:keepNext/>
              <w:rPr>
                <w:rStyle w:val="Code"/>
              </w:rPr>
            </w:pPr>
            <w:r>
              <w:rPr>
                <w:rStyle w:val="Code"/>
              </w:rPr>
              <w:t xml:space="preserve">  &lt;l </w:t>
            </w:r>
            <w:r>
              <w:rPr>
                <w:rStyle w:val="Codeattribute"/>
              </w:rPr>
              <w:t>n=</w:t>
            </w:r>
            <w:r>
              <w:rPr>
                <w:rStyle w:val="Codevalue"/>
              </w:rPr>
              <w:t>"a"</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6F3E8A37" w14:textId="77777777">
            <w:pPr>
              <w:pStyle w:val="CodeParagraph"/>
              <w:keepNext/>
              <w:rPr>
                <w:rStyle w:val="Code"/>
              </w:rPr>
            </w:pPr>
            <w:r>
              <w:rPr>
                <w:rStyle w:val="Code"/>
              </w:rPr>
              <w:t xml:space="preserve">  &lt;l </w:t>
            </w:r>
            <w:r>
              <w:rPr>
                <w:rStyle w:val="Codeattribute"/>
              </w:rPr>
              <w:t>n=</w:t>
            </w:r>
            <w:r>
              <w:rPr>
                <w:rStyle w:val="Codevalue"/>
              </w:rPr>
              <w:t>"b"</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4D494A87" w14:textId="77777777">
            <w:pPr>
              <w:pStyle w:val="CodeParagraph"/>
              <w:keepNext/>
              <w:rPr>
                <w:rStyle w:val="Code"/>
              </w:rPr>
            </w:pPr>
            <w:r>
              <w:rPr>
                <w:rStyle w:val="Code"/>
              </w:rPr>
              <w:t xml:space="preserve">  &lt;l </w:t>
            </w:r>
            <w:r>
              <w:rPr>
                <w:rStyle w:val="Codeattribute"/>
              </w:rPr>
              <w:t>n=</w:t>
            </w:r>
            <w:r>
              <w:rPr>
                <w:rStyle w:val="Code"/>
              </w:rPr>
              <w:t>"</w:t>
            </w:r>
            <w:r>
              <w:rPr>
                <w:rStyle w:val="Codevalue"/>
              </w:rPr>
              <w:t>c"</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"8"</w:t>
            </w:r>
            <w:r>
              <w:rPr>
                <w:rStyle w:val="Code"/>
              </w:rPr>
              <w:t xml:space="preserve"> </w:t>
            </w:r>
            <w:r>
              <w:rPr>
                <w:rStyle w:val="Codeattribute"/>
              </w:rPr>
              <w:t>unit=</w:t>
            </w:r>
            <w:r>
              <w:rPr>
                <w:rStyle w:val="Codevalue"/>
              </w:rPr>
              <w:t>"character"</w:t>
            </w:r>
            <w:r>
              <w:rPr>
                <w:rStyle w:val="Code"/>
              </w:rPr>
              <w:t>/&gt;&lt;/l&gt;</w:t>
            </w:r>
          </w:p>
          <w:p w14:paraId="0FBD0246" w14:textId="77777777">
            <w:pPr>
              <w:pStyle w:val="CodeParagraph"/>
              <w:keepNext/>
              <w:rPr>
                <w:rStyle w:val="Code"/>
              </w:rPr>
            </w:pPr>
            <w:r>
              <w:rPr>
                <w:rStyle w:val="Code"/>
              </w:rPr>
              <w:t xml:space="preserve">  &lt;l </w:t>
            </w:r>
            <w:r>
              <w:rPr>
                <w:rStyle w:val="Codeattribute"/>
              </w:rPr>
              <w:t>n=</w:t>
            </w:r>
            <w:r>
              <w:rPr>
                <w:rStyle w:val="Code"/>
              </w:rPr>
              <w:t>"</w:t>
            </w:r>
            <w:r>
              <w:rPr>
                <w:rStyle w:val="Codevalue"/>
              </w:rPr>
              <w:t>d"</w:t>
            </w:r>
            <w:r>
              <w:rPr>
                <w:rStyle w:val="Code"/>
              </w:rPr>
              <w:t xml:space="preserve">&gt;&lt;gap </w:t>
            </w:r>
            <w:r>
              <w:rPr>
                <w:rStyle w:val="Codeattribute"/>
              </w:rPr>
              <w:t>reason=</w:t>
            </w:r>
            <w:r>
              <w:rPr>
                <w:rStyle w:val="Codevalue"/>
              </w:rPr>
              <w:t>"illegible"</w:t>
            </w:r>
            <w:r>
              <w:rPr>
                <w:rStyle w:val="Code"/>
              </w:rPr>
              <w:t xml:space="preserve"> </w:t>
            </w:r>
            <w:r>
              <w:rPr>
                <w:rStyle w:val="Codeattribute"/>
              </w:rPr>
              <w:t>quantity=</w:t>
            </w:r>
            <w:r>
              <w:rPr>
                <w:rStyle w:val="Codevalue"/>
              </w:rPr>
              <w:t>"4"</w:t>
            </w:r>
            <w:r>
              <w:rPr>
                <w:rStyle w:val="Code"/>
              </w:rPr>
              <w:t xml:space="preserve"> </w:t>
            </w:r>
            <w:r>
              <w:rPr>
                <w:rStyle w:val="Codeattribute"/>
              </w:rPr>
              <w:t>unit=</w:t>
            </w:r>
            <w:r>
              <w:rPr>
                <w:rStyle w:val="Codevalue"/>
              </w:rPr>
              <w:t>"character"</w:t>
            </w:r>
            <w:r>
              <w:rPr>
                <w:rStyle w:val="Code"/>
              </w:rPr>
              <w:t xml:space="preserve">/&gt;&lt;lb </w:t>
            </w:r>
            <w:r>
              <w:rPr>
                <w:rStyle w:val="Codeattribute"/>
              </w:rPr>
              <w:t>n=</w:t>
            </w:r>
            <w:r>
              <w:rPr>
                <w:rStyle w:val="Codevalue"/>
              </w:rPr>
              <w:t>"72"</w:t>
            </w:r>
            <w:r>
              <w:rPr>
                <w:rStyle w:val="Code"/>
              </w:rPr>
              <w:t xml:space="preserve"> </w:t>
            </w:r>
            <w:r>
              <w:rPr>
                <w:rStyle w:val="Codeattribute"/>
              </w:rPr>
              <w:t>break=</w:t>
            </w:r>
            <w:r>
              <w:rPr>
                <w:rStyle w:val="Codevalue"/>
              </w:rPr>
              <w:t>"no"</w:t>
            </w:r>
            <w:r>
              <w:rPr>
                <w:rStyle w:val="Code"/>
              </w:rPr>
              <w:t>/&gt;yate kr̥miḥ&lt;/l&gt;</w:t>
            </w:r>
          </w:p>
          <w:p w14:paraId="610CFA1D" w14:textId="77777777">
            <w:pPr>
              <w:pStyle w:val="CodeParagraph"/>
              <w:keepNext/>
            </w:pPr>
            <w:r>
              <w:rPr>
                <w:rStyle w:val="Code"/>
              </w:rPr>
              <w:t>&lt;/lg&gt;</w:t>
            </w:r>
          </w:p>
        </w:tc>
      </w:tr>
      <w:tr w14:paraId="4A77FD9C" w14:textId="77777777">
        <w:tc>
          <w:tcPr>
            <w:tcW w:w="5000" w:type="pct"/>
          </w:tcPr>
          <w:p w14:paraId="4F543CD6" w14:textId="77777777">
            <w:pPr>
              <w:pStyle w:val="TableNote"/>
            </w:pPr>
            <w:r>
              <w:t>only the last line on this copper plate is legible, starting with the end of a known stanza</w:t>
            </w:r>
          </w:p>
          <w:p w14:paraId="6DAEAB4A" w14:textId="77777777">
            <w:pPr>
              <w:pStyle w:val="TableNote"/>
            </w:pPr>
            <w:r>
              <w:t>the rest of this stanza would have been engraved in the now illegible penultimate line</w:t>
            </w:r>
          </w:p>
          <w:p w14:paraId="60EE3602" w14:textId="77777777">
            <w:pPr>
              <w:pStyle w:val="TableNote"/>
            </w:pPr>
            <w:r>
              <w:t>the editor chose not to restore the text because any one of several known variants of the stanza may have been used here</w:t>
            </w:r>
          </w:p>
          <w:p w14:paraId="2D9ADBF2" w14:textId="77777777">
            <w:pPr>
              <w:pStyle w:val="TableNote"/>
            </w:pPr>
            <w:r>
              <w:t>verse markup has been created for all four lines of the stanza, each containing a lacuna of eight characters</w:t>
            </w:r>
          </w:p>
          <w:p w14:paraId="28F49800" w14:textId="77777777">
            <w:pPr>
              <w:pStyle w:val="TableNote"/>
            </w:pPr>
            <w:r>
              <w:t>the prosody of the missing text (§</w:t>
            </w:r>
            <w:r>
              <w:fldChar w:fldCharType="begin"/>
            </w:r>
            <w:r>
              <w:instrText xml:space="preserve"> REF _Ref228267857 \r \h </w:instrText>
            </w:r>
            <w:r>
              <w:fldChar w:fldCharType="separate"/>
            </w:r>
            <w:r>
              <w:t>6.5.2.3</w:t>
            </w:r>
            <w:r>
              <w:fldChar w:fldCharType="end"/>
            </w:r>
            <w:r>
              <w:t>) has not been encoded because doing so would not help in reconstructing the missing text</w:t>
            </w:r>
          </w:p>
        </w:tc>
      </w:tr>
    </w:tbl>
    <w:p w14:paraId="784919B1" w14:textId="77777777">
      <w:pPr>
        <w:pStyle w:val="Cmsor4"/>
      </w:pPr>
      <w:bookmarkStart w:id="575" w:name="_Ref228267857"/>
      <w:bookmarkStart w:id="576" w:name="_Ref228275301"/>
      <w:r>
        <w:t xml:space="preserve">Lacunae with known </w:t>
      </w:r>
      <w:bookmarkEnd w:id="572"/>
      <w:bookmarkEnd w:id="575"/>
      <w:r>
        <w:t>prosody</w:t>
      </w:r>
      <w:bookmarkEnd w:id="576"/>
    </w:p>
    <w:p w14:paraId="276B9B35" w14:textId="77777777">
      <w:pPr>
        <w:rPr>
          <w:lang w:eastAsia="en-US" w:bidi="ar-SA"/>
        </w:rPr>
      </w:pPr>
      <w:r>
        <w:rPr>
          <w:lang w:eastAsia="en-US" w:bidi="ar-SA"/>
        </w:rPr>
        <w:t xml:space="preserve">When the prosodic pattern of a lacuna can be established from the context, a representation of this pattern can be added to the encoding of the lacuna. Doing so is strongly recommended for all short lacunae in syllabo-quantitative verse, where explicitly representing the pattern may help the reader perceive the extant text as verse and may be an aid to conjectural restoration of the lost text. Because the overall prosodic pattern for a stanza is already encoded on its block-level container, encoding the prosody of longer gaps, especially complete verse lines, is not essential, but nonetheless desirable. When prosody is encoded for lacunae stretching across verse line boundaries, separate </w:t>
      </w:r>
      <w:r>
        <w:rPr>
          <w:rStyle w:val="Code"/>
        </w:rPr>
        <w:t>&lt;gap/&gt;</w:t>
      </w:r>
      <w:r>
        <w:t xml:space="preserve"> elements must of course be created within each line container as per §</w:t>
      </w:r>
      <w:r>
        <w:fldChar w:fldCharType="begin"/>
      </w:r>
      <w:r>
        <w:instrText xml:space="preserve"> REF _Ref228267821 \r \h </w:instrText>
      </w:r>
      <w:r>
        <w:fldChar w:fldCharType="separate"/>
      </w:r>
      <w:r>
        <w:t>6.5.2.2</w:t>
      </w:r>
      <w:r>
        <w:fldChar w:fldCharType="end"/>
      </w:r>
      <w:r>
        <w:t>.</w:t>
      </w:r>
    </w:p>
    <w:p w14:paraId="662DF620" w14:textId="77777777">
      <w:pPr>
        <w:pStyle w:val="Lista"/>
        <w:rPr>
          <w:rStyle w:val="Codeattribute"/>
          <w:rFonts w:ascii="Gentium" w:hAnsi="Gentium" w:cs="Tiro Devanagari Sanskrit"/>
          <w:noProof w:val="0"/>
          <w:color w:val="auto"/>
          <w:shd w:val="clear" w:color="auto" w:fill="auto"/>
        </w:rPr>
      </w:pPr>
      <w:r>
        <w:t xml:space="preserve">to add a prosodic pattern to an encoded inline lacuna, wrap the </w:t>
      </w:r>
      <w:r>
        <w:rPr>
          <w:rStyle w:val="Code"/>
        </w:rPr>
        <w:t>&lt;gap/&gt;</w:t>
      </w:r>
      <w:r>
        <w:t xml:space="preserve"> element in a </w:t>
      </w:r>
      <w:r>
        <w:rPr>
          <w:rStyle w:val="Code"/>
        </w:rPr>
        <w:t>&lt;seg&gt;</w:t>
      </w:r>
      <w:r>
        <w:t xml:space="preserve"> element with the attribute </w:t>
      </w:r>
      <w:r>
        <w:rPr>
          <w:rStyle w:val="Codeattribute"/>
        </w:rPr>
        <w:t>@met</w:t>
      </w:r>
    </w:p>
    <w:p w14:paraId="0C481A78" w14:textId="61324E49">
      <w:pPr>
        <w:pStyle w:val="Lista2"/>
      </w:pPr>
      <w:r>
        <w:t>the value of this attribute shall be the prosodic pattern of the missing text, in ASCII prosodic code (VG §1.4)</w:t>
      </w:r>
    </w:p>
    <w:p w14:paraId="452C3633" w14:textId="77777777">
      <w:pPr>
        <w:pStyle w:val="Lista2"/>
      </w:pPr>
      <w:r>
        <w:t>example in a syllabo-quantitative metre (</w:t>
      </w:r>
      <w:proofErr w:type="spellStart"/>
      <w:r>
        <w:rPr>
          <w:rStyle w:val="Foreign"/>
        </w:rPr>
        <w:t>vasantatilakā</w:t>
      </w:r>
      <w:proofErr w:type="spellEnd"/>
      <w:r>
        <w:t xml:space="preserve">, </w:t>
      </w:r>
      <w:r>
        <w:rPr>
          <w:rStyle w:val="MetreCode"/>
        </w:rPr>
        <w:t>––⏑–⏑⏑⏑–⏑⏑–⏑–⏓</w:t>
      </w:r>
      <w:r>
        <w:t xml:space="preserve">): </w:t>
      </w:r>
      <w:r>
        <w:rPr>
          <w:rStyle w:val="Code"/>
        </w:rPr>
        <w:t xml:space="preserve">&lt;seg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"9"</w:t>
      </w:r>
      <w:r>
        <w:rPr>
          <w:rStyle w:val="Code"/>
        </w:rPr>
        <w:t xml:space="preserve"> </w:t>
      </w:r>
      <w:r>
        <w:rPr>
          <w:rStyle w:val="Codeattribute"/>
        </w:rPr>
        <w:t>unit</w:t>
      </w:r>
      <w:r>
        <w:rPr>
          <w:rStyle w:val="Code"/>
        </w:rPr>
        <w:t>=</w:t>
      </w:r>
      <w:r>
        <w:rPr>
          <w:rStyle w:val="Codevalue"/>
        </w:rPr>
        <w:t>"character"</w:t>
      </w:r>
      <w:r>
        <w:rPr>
          <w:rStyle w:val="Code"/>
        </w:rPr>
        <w:t>/&gt;&lt;/seg&gt;</w:t>
      </w:r>
      <w:r>
        <w:rPr>
          <w:rStyle w:val="Codetext"/>
        </w:rPr>
        <w:t xml:space="preserve"> suvarṇṇa-dāne</w:t>
      </w:r>
    </w:p>
    <w:p w14:paraId="4C281CBE" w14:textId="77777777">
      <w:pPr>
        <w:pStyle w:val="Lista"/>
      </w:pPr>
      <w:r>
        <w:t>when encoding the prosody of lost text, disregard:</w:t>
      </w:r>
    </w:p>
    <w:p w14:paraId="39E3732D" w14:textId="77777777">
      <w:pPr>
        <w:pStyle w:val="Lista2"/>
      </w:pPr>
      <w:r>
        <w:t xml:space="preserve">caesurae </w:t>
      </w:r>
      <w:r>
        <w:rPr>
          <w:noProof/>
        </w:rPr>
        <w:t>(</w:t>
      </w:r>
      <w:r>
        <w:t>which may or may not have been observed by the composer)</w:t>
      </w:r>
    </w:p>
    <w:p w14:paraId="65C64A21" w14:textId="77777777">
      <w:pPr>
        <w:pStyle w:val="Lista2"/>
      </w:pPr>
      <w:r>
        <w:t xml:space="preserve">complex nuanced constraints, such as those applicable to the first half of an </w:t>
      </w:r>
      <w:r>
        <w:rPr>
          <w:rStyle w:val="Foreign"/>
        </w:rPr>
        <w:t>anuṣṭubh</w:t>
      </w:r>
      <w:r>
        <w:t xml:space="preserve"> line</w:t>
      </w:r>
    </w:p>
    <w:p w14:paraId="0316CA74" w14:textId="77777777">
      <w:pPr>
        <w:pStyle w:val="Lista3"/>
      </w:pPr>
      <w:r>
        <w:t xml:space="preserve">instead, any syllable that is not fully determined by the template should be denoted as anceps, e.g. </w:t>
      </w:r>
      <w:r>
        <w:rPr>
          <w:rStyle w:val="Code"/>
        </w:rPr>
        <w:t xml:space="preserve">&lt;l </w:t>
      </w:r>
      <w:r>
        <w:rPr>
          <w:rStyle w:val="Codeattribute"/>
        </w:rPr>
        <w:t>n=</w:t>
      </w:r>
      <w:r>
        <w:rPr>
          <w:rStyle w:val="Codevalue"/>
        </w:rPr>
        <w:t>"c"</w:t>
      </w:r>
      <w:r>
        <w:rPr>
          <w:rStyle w:val="Code"/>
        </w:rPr>
        <w:t xml:space="preserve">&gt;&lt;seg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"character"</w:t>
      </w:r>
      <w:r>
        <w:rPr>
          <w:rStyle w:val="Code"/>
        </w:rPr>
        <w:t>/&gt;&lt;/seg&gt;</w:t>
      </w:r>
      <w:r>
        <w:rPr>
          <w:rStyle w:val="Codetext"/>
        </w:rPr>
        <w:t>vyāpi</w:t>
      </w:r>
      <w:r>
        <w:rPr>
          <w:rStyle w:val="Code"/>
        </w:rPr>
        <w:t xml:space="preserve">&lt;/l&gt;&lt;l </w:t>
      </w:r>
      <w:r>
        <w:rPr>
          <w:rStyle w:val="Codeattribute"/>
        </w:rPr>
        <w:t>n=</w:t>
      </w:r>
      <w:r>
        <w:rPr>
          <w:rStyle w:val="Codevalue"/>
        </w:rPr>
        <w:t>"d"</w:t>
      </w:r>
      <w:r>
        <w:rPr>
          <w:rStyle w:val="Code"/>
        </w:rPr>
        <w:t>&gt;</w:t>
      </w:r>
      <w:r>
        <w:rPr>
          <w:rStyle w:val="Codetext"/>
        </w:rPr>
        <w:t>candraguptākhyam adbhutaM</w:t>
      </w:r>
      <w:r>
        <w:rPr>
          <w:rStyle w:val="Code"/>
        </w:rPr>
        <w:t>&lt;/l&gt;</w:t>
      </w:r>
    </w:p>
    <w:p w14:paraId="1C617E4A" w14:textId="77777777">
      <w:pPr>
        <w:pStyle w:val="Lista2"/>
      </w:pPr>
      <w:r>
        <w:lastRenderedPageBreak/>
        <w:t xml:space="preserve">legitimate metrical variations, as in </w:t>
      </w:r>
      <w:r>
        <w:rPr>
          <w:rStyle w:val="Foreign"/>
        </w:rPr>
        <w:t>vipulā anuṣṭubh</w:t>
      </w:r>
      <w:r>
        <w:t xml:space="preserve"> </w:t>
      </w:r>
      <w:r>
        <w:rPr>
          <w:noProof/>
        </w:rPr>
        <w:t>(</w:t>
      </w:r>
      <w:r>
        <w:t xml:space="preserve">instead, treat all lost </w:t>
      </w:r>
      <w:r>
        <w:rPr>
          <w:rStyle w:val="Foreign"/>
        </w:rPr>
        <w:t>anuṣṭubh</w:t>
      </w:r>
      <w:r>
        <w:t xml:space="preserve"> verse as </w:t>
      </w:r>
      <w:r>
        <w:rPr>
          <w:rStyle w:val="Foreign"/>
        </w:rPr>
        <w:t>pathyā</w:t>
      </w:r>
      <w:r>
        <w:t>)</w:t>
      </w:r>
    </w:p>
    <w:p w14:paraId="63368E90" w14:textId="77777777">
      <w:pPr>
        <w:pStyle w:val="Lista2"/>
        <w:rPr>
          <w:i/>
          <w:iCs/>
          <w:noProof/>
        </w:rPr>
      </w:pPr>
      <w:r>
        <w:t xml:space="preserve">and optional constraints such as </w:t>
      </w:r>
      <w:r>
        <w:rPr>
          <w:rStyle w:val="Foreign"/>
        </w:rPr>
        <w:t>vipulā</w:t>
      </w:r>
      <w:r>
        <w:t xml:space="preserve"> and </w:t>
      </w:r>
      <w:r>
        <w:rPr>
          <w:rStyle w:val="Foreign"/>
        </w:rPr>
        <w:t>capalā āryā</w:t>
      </w:r>
      <w:r>
        <w:t xml:space="preserve"> </w:t>
      </w:r>
      <w:r>
        <w:rPr>
          <w:noProof/>
        </w:rPr>
        <w:t>(</w:t>
      </w:r>
      <w:r>
        <w:t xml:space="preserve">instead, treat all lost </w:t>
      </w:r>
      <w:r>
        <w:rPr>
          <w:rStyle w:val="Foreign"/>
        </w:rPr>
        <w:t>gāthā</w:t>
      </w:r>
      <w:r>
        <w:t xml:space="preserve">-type verse as </w:t>
      </w:r>
      <w:r>
        <w:rPr>
          <w:rStyle w:val="Foreign"/>
        </w:rPr>
        <w:t>pathyā</w:t>
      </w:r>
      <w:r>
        <w:t>)</w:t>
      </w:r>
    </w:p>
    <w:p w14:paraId="3F080533" w14:textId="77777777">
      <w:pPr>
        <w:pStyle w:val="Lista"/>
      </w:pPr>
      <w:r>
        <w:t>encoding the prosody of a lacuna in moraic verse is a more complicated affair and less potentially helpful for reconstruction</w:t>
      </w:r>
    </w:p>
    <w:p w14:paraId="31BC5C08" w14:textId="77777777">
      <w:pPr>
        <w:pStyle w:val="Lista2"/>
      </w:pPr>
      <w:r>
        <w:t xml:space="preserve">lacunae in moraic verse may therefore be encoded simply as </w:t>
      </w:r>
      <w:r>
        <w:rPr>
          <w:rStyle w:val="Code"/>
        </w:rPr>
        <w:t>&lt;gap/&gt;</w:t>
      </w:r>
      <w:r>
        <w:t xml:space="preserve"> elements at your discretion</w:t>
      </w:r>
    </w:p>
    <w:p w14:paraId="222364F7" w14:textId="77777777">
      <w:pPr>
        <w:pStyle w:val="Lista3"/>
      </w:pPr>
      <w:r>
        <w:t xml:space="preserve">since the number of lost syllables cannot be determined on the basis of the metre, the length of such a lacuna must usually be estimated and accordingly encoded with </w:t>
      </w:r>
      <w:r>
        <w:rPr>
          <w:rStyle w:val="Codeattribute"/>
        </w:rPr>
        <w:t>@precision</w:t>
      </w:r>
      <w:r>
        <w:rPr>
          <w:rStyle w:val="Code"/>
        </w:rPr>
        <w:t>=</w:t>
      </w:r>
      <w:r>
        <w:rPr>
          <w:rStyle w:val="Codevalue"/>
        </w:rPr>
        <w:t>"low"</w:t>
      </w:r>
      <w:r>
        <w:t xml:space="preserve"> on the </w:t>
      </w:r>
      <w:r>
        <w:rPr>
          <w:rStyle w:val="Code"/>
        </w:rPr>
        <w:t>&lt;gap/&gt;</w:t>
      </w:r>
      <w:r>
        <w:t xml:space="preserve"> element</w:t>
      </w:r>
    </w:p>
    <w:p w14:paraId="42E52B33" w14:textId="77777777">
      <w:pPr>
        <w:pStyle w:val="Lista2"/>
      </w:pPr>
      <w:r>
        <w:t>if you choose to encode the prosody of such a lacuna, use an appropriate combination of numerical notation for mora counts with the notation of syllable length for syllables whose length can be determined on the basis of the metre and the adjacent extant text, remembering to use the foot separator | between moraic feet and adjacent feet or cola, but not at the end of a segment whose metre is encoded</w:t>
      </w:r>
    </w:p>
    <w:p w14:paraId="6CB72AB4" w14:textId="77777777">
      <w:pPr>
        <w:pStyle w:val="Lista3"/>
      </w:pPr>
      <w:r>
        <w:t>example in a moraic metre (</w:t>
      </w:r>
      <w:proofErr w:type="spellStart"/>
      <w:r>
        <w:rPr>
          <w:rStyle w:val="Foreign"/>
        </w:rPr>
        <w:t>āryā</w:t>
      </w:r>
      <w:proofErr w:type="spellEnd"/>
      <w:r>
        <w:t xml:space="preserve">, first hemistich, 4|4|4|4|4|4|4|2): </w:t>
      </w:r>
      <w:r>
        <w:rPr>
          <w:rStyle w:val="Codetext"/>
        </w:rPr>
        <w:t xml:space="preserve">yo vīkṣya </w:t>
      </w:r>
      <w:r>
        <w:rPr>
          <w:rStyle w:val="Code"/>
        </w:rPr>
        <w:t xml:space="preserve">&lt;seg </w:t>
      </w:r>
      <w:r>
        <w:rPr>
          <w:rStyle w:val="Codeattribute"/>
        </w:rPr>
        <w:t>met</w:t>
      </w:r>
      <w:r>
        <w:rPr>
          <w:rStyle w:val="Code"/>
        </w:rPr>
        <w:t>=</w:t>
      </w:r>
      <w:r>
        <w:rPr>
          <w:rStyle w:val="Codevalue"/>
        </w:rPr>
        <w:t>"3|4|4|4|-"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/&gt;&lt;/seg&gt;</w:t>
      </w:r>
      <w:r>
        <w:rPr>
          <w:rStyle w:val="Codetext"/>
        </w:rPr>
        <w:t xml:space="preserve"> bandhana-niruddhaM</w:t>
      </w:r>
    </w:p>
    <w:p w14:paraId="49EE19CD" w14:textId="77777777">
      <w:pPr>
        <w:pStyle w:val="Lista4"/>
      </w:pPr>
      <w:r>
        <w:t xml:space="preserve">the first foot is </w:t>
      </w:r>
      <w:r>
        <w:rPr>
          <w:rStyle w:val="Foreign"/>
        </w:rPr>
        <w:t>yo vīkṣ</w:t>
      </w:r>
    </w:p>
    <w:p w14:paraId="4E60A237" w14:textId="77777777">
      <w:pPr>
        <w:pStyle w:val="Lista4"/>
      </w:pPr>
      <w:r>
        <w:t xml:space="preserve">in the second foot, </w:t>
      </w:r>
      <w:r>
        <w:rPr>
          <w:rStyle w:val="Foreign"/>
        </w:rPr>
        <w:t>ya</w:t>
      </w:r>
      <w:r>
        <w:t xml:space="preserve"> would have been followed by 3 morae, which may have been comprised of either 2 or 3 syllables, so only numerical notation can be used for the lost part</w:t>
      </w:r>
    </w:p>
    <w:p w14:paraId="6C3C0287" w14:textId="77777777">
      <w:pPr>
        <w:pStyle w:val="Lista4"/>
      </w:pPr>
      <w:r>
        <w:t>the third to fifth feet, each of 4 morae, are fully lost, and each may have been comprised of 2 to 4 syllables, so only numerical notation can be used for them</w:t>
      </w:r>
    </w:p>
    <w:p w14:paraId="5539DA1F" w14:textId="77777777">
      <w:pPr>
        <w:pStyle w:val="Lista4"/>
      </w:pPr>
      <w:r>
        <w:t xml:space="preserve">the sixth foot ends in </w:t>
      </w:r>
      <w:r>
        <w:rPr>
          <w:rStyle w:val="Foreign"/>
        </w:rPr>
        <w:t>bandha</w:t>
      </w:r>
      <w:r>
        <w:t xml:space="preserve"> (3 morae), so one short syllable must have been lost at the beginning of this foot</w:t>
      </w:r>
    </w:p>
    <w:p w14:paraId="2771B274" w14:textId="77777777">
      <w:pPr>
        <w:pStyle w:val="Lista4"/>
      </w:pPr>
      <w:r>
        <w:t xml:space="preserve">the seventh and eighth feet, </w:t>
      </w:r>
      <w:r>
        <w:rPr>
          <w:rStyle w:val="Foreign"/>
        </w:rPr>
        <w:t>na-niruddhaM</w:t>
      </w:r>
      <w:r>
        <w:t>, are extant</w:t>
      </w:r>
    </w:p>
    <w:p w14:paraId="4FD7C1CA" w14:textId="77777777">
      <w:pPr>
        <w:pStyle w:val="Lista3"/>
      </w:pPr>
      <w:r>
        <w:t xml:space="preserve">moraic feet may be constrained </w:t>
      </w:r>
      <w:r>
        <w:rPr>
          <w:noProof/>
        </w:rPr>
        <w:t>(</w:t>
      </w:r>
      <w:r>
        <w:t xml:space="preserve">e.g. the pattern </w:t>
      </w:r>
      <w:r>
        <w:rPr>
          <w:rStyle w:val="MetreCode"/>
        </w:rPr>
        <w:t>⏑–⏑</w:t>
      </w:r>
      <w:r>
        <w:t xml:space="preserve"> is prohibited in many tetramoraic feet), but this depth of prosodic analysis is not desirable in our encoding of the prosody of lacunae: simply encode lost tetramoraic feet as 4 regardless of whether or not they exclude certain patterns</w:t>
      </w:r>
    </w:p>
    <w:p w14:paraId="23323E52" w14:textId="77777777">
      <w:pPr>
        <w:pStyle w:val="Cmsor4"/>
      </w:pPr>
      <w:bookmarkStart w:id="577" w:name="_xrhzsspv9sor" w:colFirst="0" w:colLast="0"/>
      <w:bookmarkStart w:id="578" w:name="_Ref43987049"/>
      <w:bookmarkEnd w:id="577"/>
      <w:r>
        <w:t>Micro-level lacunae</w:t>
      </w:r>
      <w:bookmarkEnd w:id="578"/>
    </w:p>
    <w:p w14:paraId="598DA4C2" w14:textId="77777777">
      <w:r>
        <w:rPr>
          <w:lang w:eastAsia="en-US" w:bidi="ar-SA"/>
        </w:rPr>
        <w:t xml:space="preserve">As a special case of inline lacunae, the loss or illegibility of specific components of a complex glyph can be represented explicitly in our digital editions. When this level of precision is deemed worth the while, lacunae affecting parts of a complex glyph may be encoded by using </w:t>
      </w:r>
      <w:r>
        <w:rPr>
          <w:rStyle w:val="Codevalue"/>
        </w:rPr>
        <w:t>"component"</w:t>
      </w:r>
      <w:r>
        <w:t xml:space="preserve"> as the value of </w:t>
      </w:r>
      <w:r>
        <w:rPr>
          <w:rStyle w:val="Codeattribute"/>
        </w:rPr>
        <w:t>@unit</w:t>
      </w:r>
      <w:r>
        <w:rPr>
          <w:lang w:eastAsia="en-US" w:bidi="ar-SA"/>
        </w:rPr>
        <w:t xml:space="preserve"> on the </w:t>
      </w:r>
      <w:r>
        <w:rPr>
          <w:rStyle w:val="Code"/>
        </w:rPr>
        <w:t>&lt;gap&gt;</w:t>
      </w:r>
      <w:r>
        <w:t xml:space="preserve"> element and combining this with </w:t>
      </w:r>
      <w:r>
        <w:rPr>
          <w:noProof/>
        </w:rPr>
        <w:t>sub-</w:t>
      </w:r>
      <w:r>
        <w:rPr>
          <w:rStyle w:val="Foreign"/>
        </w:rPr>
        <w:t>akṣara</w:t>
      </w:r>
      <w:r>
        <w:t xml:space="preserve"> encoding (§</w:t>
      </w:r>
      <w:r>
        <w:fldChar w:fldCharType="begin"/>
      </w:r>
      <w:r>
        <w:instrText xml:space="preserve"> REF _Ref228202081 \r \h </w:instrText>
      </w:r>
      <w:r>
        <w:fldChar w:fldCharType="separate"/>
      </w:r>
      <w:r>
        <w:t>5.1.2</w:t>
      </w:r>
      <w:r>
        <w:fldChar w:fldCharType="end"/>
      </w:r>
      <w:r>
        <w:t>) in the following manner. A less sophisticated but much simpler alternative, permitted under §</w:t>
      </w:r>
      <w:r>
        <w:fldChar w:fldCharType="begin"/>
      </w:r>
      <w:r>
        <w:instrText xml:space="preserve"> REF _Ref228202081 \r \h </w:instrText>
      </w:r>
      <w:r>
        <w:fldChar w:fldCharType="separate"/>
      </w:r>
      <w:r>
        <w:t>5.1.2</w:t>
      </w:r>
      <w:r>
        <w:fldChar w:fldCharType="end"/>
      </w:r>
      <w:r>
        <w:t xml:space="preserve"> and TG§3.3.2.2, is to use the placeholders V and C instead of encoding illegible or lost graphemes as component-level lacunae.</w:t>
      </w:r>
    </w:p>
    <w:p w14:paraId="29F67F91" w14:textId="77777777">
      <w:pPr>
        <w:pStyle w:val="Lista"/>
      </w:pPr>
      <w:r>
        <w:t xml:space="preserve">mark up available parts of the same </w:t>
      </w:r>
      <w:r>
        <w:rPr>
          <w:rStyle w:val="Foreign"/>
        </w:rPr>
        <w:t>akṣara</w:t>
      </w:r>
      <w:r>
        <w:t xml:space="preserve"> normally as unclear or supplied if applicable</w:t>
      </w:r>
    </w:p>
    <w:p w14:paraId="7088B663" w14:textId="77777777">
      <w:pPr>
        <w:pStyle w:val="Lista"/>
      </w:pPr>
      <w:r>
        <w:t xml:space="preserve">at the lost component’s logical position in the transliterated text, create a </w:t>
      </w:r>
      <w:r>
        <w:rPr>
          <w:rStyle w:val="Code"/>
        </w:rPr>
        <w:t>&lt;gap/&gt;</w:t>
      </w:r>
      <w:r>
        <w:t xml:space="preserve"> element with the following attributes</w:t>
      </w:r>
    </w:p>
    <w:p w14:paraId="47C9F691" w14:textId="77777777">
      <w:pPr>
        <w:pStyle w:val="Lista2"/>
      </w:pPr>
      <w:r>
        <w:t xml:space="preserve">mandatorily, </w:t>
      </w:r>
      <w:r>
        <w:rPr>
          <w:rStyle w:val="Codeattribute"/>
        </w:rPr>
        <w:t>@reason</w:t>
      </w:r>
      <w:r>
        <w:t xml:space="preserve"> as per §</w:t>
      </w:r>
      <w:r>
        <w:fldChar w:fldCharType="begin"/>
      </w:r>
      <w:r>
        <w:instrText xml:space="preserve"> REF _Ref43987758 \r \h </w:instrText>
      </w:r>
      <w:r>
        <w:fldChar w:fldCharType="separate"/>
      </w:r>
      <w:r>
        <w:t>6.5.1.1</w:t>
      </w:r>
      <w:r>
        <w:fldChar w:fldCharType="end"/>
      </w:r>
    </w:p>
    <w:p w14:paraId="2A04E33B" w14:textId="77777777">
      <w:pPr>
        <w:pStyle w:val="Lista2"/>
      </w:pPr>
      <w:r>
        <w:t xml:space="preserve">mandatorily, </w:t>
      </w:r>
      <w:r>
        <w:rPr>
          <w:rStyle w:val="Codeattribute"/>
        </w:rPr>
        <w:t>@unit</w:t>
      </w:r>
      <w:r>
        <w:t xml:space="preserve"> with the value </w:t>
      </w:r>
      <w:r>
        <w:rPr>
          <w:rStyle w:val="Codevalue"/>
        </w:rPr>
        <w:t>"component"</w:t>
      </w:r>
      <w:r>
        <w:t xml:space="preserve"> </w:t>
      </w:r>
    </w:p>
    <w:p w14:paraId="188E1E03" w14:textId="77777777">
      <w:pPr>
        <w:pStyle w:val="Lista2"/>
      </w:pPr>
      <w:r>
        <w:t xml:space="preserve">mandatorily, </w:t>
      </w:r>
      <w:r>
        <w:rPr>
          <w:rStyle w:val="Codeattribute"/>
        </w:rPr>
        <w:t>@quantity</w:t>
      </w:r>
      <w:r>
        <w:t>, normally with the value of 1 (see below)</w:t>
      </w:r>
    </w:p>
    <w:p w14:paraId="1F2208D2" w14:textId="77777777">
      <w:pPr>
        <w:pStyle w:val="Lista"/>
      </w:pPr>
      <w:r>
        <w:t xml:space="preserve">wrap the </w:t>
      </w:r>
      <w:r>
        <w:rPr>
          <w:rStyle w:val="Code"/>
        </w:rPr>
        <w:t>&lt;gap/&gt;</w:t>
      </w:r>
      <w:r>
        <w:t xml:space="preserve"> element in </w:t>
      </w:r>
      <w:r>
        <w:rPr>
          <w:rStyle w:val="Code"/>
        </w:rPr>
        <w:t xml:space="preserve">&lt;seg </w:t>
      </w:r>
      <w:r>
        <w:rPr>
          <w:rStyle w:val="Codeattribute"/>
        </w:rPr>
        <w:t>type</w:t>
      </w:r>
      <w:r>
        <w:rPr>
          <w:rStyle w:val="Code"/>
        </w:rPr>
        <w:t>=</w:t>
      </w:r>
      <w:r>
        <w:rPr>
          <w:rStyle w:val="Codevalue"/>
        </w:rPr>
        <w:t>"component"</w:t>
      </w:r>
      <w:r>
        <w:rPr>
          <w:rStyle w:val="Code"/>
        </w:rPr>
        <w:t>&gt;</w:t>
      </w:r>
      <w:r>
        <w:t xml:space="preserve"> with an applicable value of </w:t>
      </w:r>
      <w:r>
        <w:rPr>
          <w:rStyle w:val="Codeattribute"/>
        </w:rPr>
        <w:t>@subtype</w:t>
      </w:r>
      <w:r>
        <w:t xml:space="preserve"> as per §</w:t>
      </w:r>
      <w:r>
        <w:fldChar w:fldCharType="begin"/>
      </w:r>
      <w:r>
        <w:instrText xml:space="preserve"> REF _Ref43987131 \w \h  \* MERGEFORMAT </w:instrText>
      </w:r>
      <w:r>
        <w:fldChar w:fldCharType="separate"/>
      </w:r>
      <w:r>
        <w:t>5.1.2</w:t>
      </w:r>
      <w:r>
        <w:fldChar w:fldCharType="end"/>
      </w:r>
    </w:p>
    <w:p w14:paraId="77B92ED0" w14:textId="77777777">
      <w:pPr>
        <w:pStyle w:val="Lista2"/>
      </w:pPr>
      <w:r>
        <w:t xml:space="preserve">if the lost component is a vowel whose prosodic length is known, then add the attribute </w:t>
      </w:r>
      <w:r>
        <w:rPr>
          <w:rStyle w:val="Codeattribute"/>
        </w:rPr>
        <w:t>@met</w:t>
      </w:r>
      <w:r>
        <w:t xml:space="preserve"> </w:t>
      </w:r>
      <w:r>
        <w:rPr>
          <w:noProof/>
        </w:rPr>
        <w:t>(</w:t>
      </w:r>
      <w:r>
        <w:t>as per §</w:t>
      </w:r>
      <w:r>
        <w:fldChar w:fldCharType="begin"/>
      </w:r>
      <w:r>
        <w:instrText xml:space="preserve"> REF _Ref228275301 \r \h </w:instrText>
      </w:r>
      <w:r>
        <w:fldChar w:fldCharType="separate"/>
      </w:r>
      <w:r>
        <w:t>6.5.2.3</w:t>
      </w:r>
      <w:r>
        <w:fldChar w:fldCharType="end"/>
      </w:r>
      <w:r>
        <w:t xml:space="preserve">) to the </w:t>
      </w:r>
      <w:r>
        <w:rPr>
          <w:rStyle w:val="Code"/>
        </w:rPr>
        <w:t xml:space="preserve">&lt;seg </w:t>
      </w:r>
      <w:r>
        <w:rPr>
          <w:rStyle w:val="Codeattribute"/>
        </w:rPr>
        <w:t>type</w:t>
      </w:r>
      <w:r>
        <w:rPr>
          <w:rStyle w:val="Code"/>
        </w:rPr>
        <w:t>=</w:t>
      </w:r>
      <w:r>
        <w:rPr>
          <w:rStyle w:val="Codevalue"/>
        </w:rPr>
        <w:t>"component"</w:t>
      </w:r>
      <w:r>
        <w:rPr>
          <w:rStyle w:val="Code"/>
        </w:rPr>
        <w:t>&gt;</w:t>
      </w:r>
      <w:r>
        <w:t xml:space="preserve"> wrapper </w:t>
      </w:r>
      <w:r>
        <w:rPr>
          <w:noProof/>
        </w:rPr>
        <w:t>(</w:t>
      </w:r>
      <w:r>
        <w:t xml:space="preserve">instead of adding an extra </w:t>
      </w:r>
      <w:r>
        <w:rPr>
          <w:rStyle w:val="Code"/>
        </w:rPr>
        <w:t>&lt;seg&gt;</w:t>
      </w:r>
      <w:r>
        <w:t xml:space="preserve"> element to be qualified by </w:t>
      </w:r>
      <w:r>
        <w:rPr>
          <w:rStyle w:val="Codeattribute"/>
        </w:rPr>
        <w:t>@met</w:t>
      </w:r>
      <w:r>
        <w:t>)</w:t>
      </w:r>
    </w:p>
    <w:p w14:paraId="1645C931" w14:textId="77777777">
      <w:pPr>
        <w:pStyle w:val="Lista3"/>
      </w:pPr>
      <w:r>
        <w:t>such markup should reflect the positional value of the vowel and not its length by nature: if a vowel is followed by more than one consonant, then it is positionally long even if it is a short vowel by nature</w:t>
      </w:r>
    </w:p>
    <w:p w14:paraId="0E44185F" w14:textId="77777777">
      <w:pPr>
        <w:pStyle w:val="Lista"/>
      </w:pPr>
      <w:r>
        <w:t xml:space="preserve">because it is the </w:t>
      </w:r>
      <w:r>
        <w:rPr>
          <w:rStyle w:val="Code"/>
        </w:rPr>
        <w:t>&lt;seg&gt;</w:t>
      </w:r>
      <w:r>
        <w:t xml:space="preserve"> wrapper that identifies the kind of component affected by the lacuna, </w:t>
      </w:r>
    </w:p>
    <w:p w14:paraId="6567B77F" w14:textId="77777777">
      <w:pPr>
        <w:pStyle w:val="Lista2"/>
      </w:pPr>
      <w:r>
        <w:t xml:space="preserve">the </w:t>
      </w:r>
      <w:r>
        <w:rPr>
          <w:rStyle w:val="Codeattribute"/>
        </w:rPr>
        <w:t>@quantity</w:t>
      </w:r>
      <w:r>
        <w:t xml:space="preserve"> of such a gap will normally be 1</w:t>
      </w:r>
    </w:p>
    <w:p w14:paraId="56F76BCF" w14:textId="77777777">
      <w:pPr>
        <w:pStyle w:val="Lista3"/>
      </w:pPr>
      <w:r>
        <w:lastRenderedPageBreak/>
        <w:t>except in rare cases where you are confident that two (or even more) components of the same kind (e.g. subscript) have been lost</w:t>
      </w:r>
    </w:p>
    <w:p w14:paraId="6CEFDAE2" w14:textId="77777777">
      <w:pPr>
        <w:pStyle w:val="Lista2"/>
      </w:pPr>
      <w:r>
        <w:t xml:space="preserve">several components lost within a single </w:t>
      </w:r>
      <w:r>
        <w:rPr>
          <w:rStyle w:val="Foreign"/>
        </w:rPr>
        <w:t>akṣara</w:t>
      </w:r>
      <w:r>
        <w:t xml:space="preserve"> must normally be encoded with a separate </w:t>
      </w:r>
      <w:r>
        <w:rPr>
          <w:rStyle w:val="Code"/>
        </w:rPr>
        <w:t>&lt;gap/&gt;</w:t>
      </w:r>
      <w:r>
        <w:t xml:space="preserve"> enclosed in a separate </w:t>
      </w:r>
      <w:r>
        <w:rPr>
          <w:rStyle w:val="Code"/>
        </w:rPr>
        <w:t>&lt;seg&gt;</w:t>
      </w:r>
    </w:p>
    <w:p w14:paraId="48AD0584" w14:textId="77777777">
      <w:pPr>
        <w:pStyle w:val="Lista2"/>
      </w:pPr>
      <w:r>
        <w:t>however, a component as understood in sub-</w:t>
      </w:r>
      <w:proofErr w:type="spellStart"/>
      <w:r>
        <w:rPr>
          <w:rStyle w:val="Foreign"/>
        </w:rPr>
        <w:t>akṣara</w:t>
      </w:r>
      <w:proofErr w:type="spellEnd"/>
      <w:r>
        <w:t xml:space="preserve"> markup (§</w:t>
      </w:r>
      <w:r>
        <w:fldChar w:fldCharType="begin"/>
      </w:r>
      <w:r>
        <w:instrText xml:space="preserve"> REF _Ref228202081 \r \h </w:instrText>
      </w:r>
      <w:r>
        <w:fldChar w:fldCharType="separate"/>
      </w:r>
      <w:r>
        <w:t>5.1.2</w:t>
      </w:r>
      <w:r>
        <w:fldChar w:fldCharType="end"/>
      </w:r>
      <w:r>
        <w:t xml:space="preserve">) is not necessarily a single glyph component (i.e. a single graph representing a single grapheme): some values of </w:t>
      </w:r>
      <w:r>
        <w:rPr>
          <w:rStyle w:val="Codeattribute"/>
        </w:rPr>
        <w:t>@subtype</w:t>
      </w:r>
      <w:r>
        <w:t xml:space="preserve"> (e.g. </w:t>
      </w:r>
      <w:r>
        <w:rPr>
          <w:rStyle w:val="Codevalue"/>
        </w:rPr>
        <w:t>"body"</w:t>
      </w:r>
      <w:r>
        <w:t xml:space="preserve">, </w:t>
      </w:r>
      <w:r>
        <w:rPr>
          <w:rStyle w:val="Codevalue"/>
        </w:rPr>
        <w:t>"conjunct"</w:t>
      </w:r>
      <w:r>
        <w:t>) permit or require more than one grapheme</w:t>
      </w:r>
    </w:p>
    <w:p w14:paraId="53593FBB" w14:textId="50C451A1">
      <w:pPr>
        <w:pStyle w:val="Lista"/>
      </w:pPr>
      <w:r>
        <w:t xml:space="preserve">if you deem that the resulting complicated markup leads to potential ambiguity regarding </w:t>
      </w:r>
      <w:r>
        <w:rPr>
          <w:rStyle w:val="Foreign"/>
        </w:rPr>
        <w:t>akṣara</w:t>
      </w:r>
      <w:r>
        <w:t xml:space="preserve"> boundaries, feel free to wrap target graphemes and lacunae belonging to a single original glyph in the element </w:t>
      </w:r>
      <w:r>
        <w:rPr>
          <w:rStyle w:val="Code"/>
        </w:rPr>
        <w:t xml:space="preserve">&lt;seg </w:t>
      </w:r>
      <w:r>
        <w:rPr>
          <w:rStyle w:val="Codeattribute"/>
        </w:rPr>
        <w:t>type</w:t>
      </w:r>
      <w:r>
        <w:rPr>
          <w:rStyle w:val="Code"/>
        </w:rPr>
        <w:t>=</w:t>
      </w:r>
      <w:r>
        <w:rPr>
          <w:rStyle w:val="Codevalue"/>
        </w:rPr>
        <w:t>"aksara"</w:t>
      </w:r>
      <w:r>
        <w:rPr>
          <w:rStyle w:val="Code"/>
        </w:rPr>
        <w:t>&gt;</w:t>
      </w:r>
      <w:r>
        <w:t xml:space="preserve"> as per §</w:t>
      </w:r>
      <w:r>
        <w:fldChar w:fldCharType="begin"/>
      </w:r>
      <w:r>
        <w:instrText xml:space="preserve"> REF _Ref43987221 \w \h  \* MERGEFORMAT </w:instrText>
      </w:r>
      <w:r>
        <w:fldChar w:fldCharType="separate"/>
      </w:r>
      <w:r>
        <w:t>5.1.1</w:t>
      </w:r>
      <w:r>
        <w:fldChar w:fldCharType="end"/>
      </w:r>
    </w:p>
    <w:tbl>
      <w:tblPr>
        <w:tblStyle w:val="CodeSampleTable"/>
        <w:tblW w:w="0" w:type="auto"/>
        <w:tblLook w:val="04A0" w:firstRow="1" w:lastRow="0" w:firstColumn="1" w:lastColumn="0" w:noHBand="0" w:noVBand="1"/>
      </w:tblPr>
      <w:tblGrid>
        <w:gridCol w:w="5263"/>
        <w:gridCol w:w="4365"/>
      </w:tblGrid>
      <w:tr w14:paraId="60C12B71" w14:textId="77777777">
        <w:trPr>
          <w:cnfStyle w:val="100000000000" w:firstRow="1" w:lastRow="0" w:firstColumn="0" w:lastColumn="0" w:oddVBand="0" w:evenVBand="0" w:oddHBand="0" w:evenHBand="0" w:firstRowFirstColumn="0" w:firstRowLastColumn="0" w:lastRowFirstColumn="0" w:lastRowLastColumn="0"/>
        </w:trPr>
        <w:tc>
          <w:tcPr>
            <w:tcW w:w="9054" w:type="dxa"/>
            <w:gridSpan w:val="2"/>
          </w:tcPr>
          <w:p w14:paraId="21EEC9D1" w14:textId="77777777">
            <w:pPr>
              <w:pStyle w:val="Kpalrs"/>
            </w:pPr>
            <w:r>
              <w:t xml:space="preserve">Exhibit </w:t>
            </w:r>
            <w:fldSimple w:instr=" STYLEREF 2 \s ">
              <w:r>
                <w:rPr>
                  <w:noProof/>
                </w:rPr>
                <w:t>6.5</w:t>
              </w:r>
            </w:fldSimple>
            <w:r>
              <w:t>.</w:t>
            </w:r>
            <w:fldSimple w:instr=" SEQ Exhibit \* ALPHABETIC \s 2 ">
              <w:r>
                <w:rPr>
                  <w:noProof/>
                </w:rPr>
                <w:t>B</w:t>
              </w:r>
            </w:fldSimple>
            <w:r>
              <w:t>: lost consonants</w:t>
            </w:r>
          </w:p>
        </w:tc>
      </w:tr>
      <w:tr w14:paraId="1F6E112F" w14:textId="77777777">
        <w:tc>
          <w:tcPr>
            <w:tcW w:w="5946" w:type="dxa"/>
          </w:tcPr>
          <w:p w14:paraId="6DAC8A0E" w14:textId="77777777">
            <w:pPr>
              <w:pStyle w:val="TableNote"/>
              <w:keepNext/>
            </w:pPr>
            <w:r>
              <w:t xml:space="preserve">a vowel marker for </w:t>
            </w:r>
            <w:r>
              <w:rPr>
                <w:rStyle w:val="Foreign"/>
              </w:rPr>
              <w:t>ā</w:t>
            </w:r>
            <w:r>
              <w:t xml:space="preserve"> and an </w:t>
            </w:r>
            <w:r>
              <w:rPr>
                <w:rStyle w:val="Foreign"/>
              </w:rPr>
              <w:t>anusvāra</w:t>
            </w:r>
            <w:r>
              <w:t xml:space="preserve"> are visible in the last partial line of a fragment</w:t>
            </w:r>
          </w:p>
        </w:tc>
        <w:tc>
          <w:tcPr>
            <w:tcW w:w="3108" w:type="dxa"/>
            <w:vMerge w:val="restart"/>
          </w:tcPr>
          <w:p w14:paraId="0F392C88" w14:textId="77777777">
            <w:pPr>
              <w:pStyle w:val="Image"/>
            </w:pPr>
            <w:r>
              <w:drawing>
                <wp:inline distT="114300" distB="114300" distL="114300" distR="114300" wp14:anchorId="6BAF4A2E" wp14:editId="3EBDC065">
                  <wp:extent cx="2768600" cy="1074382"/>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3"/>
                          <a:srcRect/>
                          <a:stretch>
                            <a:fillRect/>
                          </a:stretch>
                        </pic:blipFill>
                        <pic:spPr>
                          <a:xfrm>
                            <a:off x="0" y="0"/>
                            <a:ext cx="2920140" cy="1133189"/>
                          </a:xfrm>
                          <a:prstGeom prst="rect">
                            <a:avLst/>
                          </a:prstGeom>
                          <a:ln/>
                        </pic:spPr>
                      </pic:pic>
                    </a:graphicData>
                  </a:graphic>
                </wp:inline>
              </w:drawing>
            </w:r>
          </w:p>
        </w:tc>
      </w:tr>
      <w:tr w14:paraId="69BE62AE" w14:textId="77777777">
        <w:tc>
          <w:tcPr>
            <w:tcW w:w="5946" w:type="dxa"/>
          </w:tcPr>
          <w:p w14:paraId="5C95FF41" w14:textId="77777777">
            <w:pPr>
              <w:pStyle w:val="CodeParagraph"/>
              <w:rPr>
                <w:rStyle w:val="Code"/>
              </w:rPr>
            </w:pP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r>
              <w:rPr>
                <w:rStyle w:val="Codetext"/>
              </w:rPr>
              <w:t>ā</w:t>
            </w:r>
            <w:r>
              <w:rPr>
                <w:rStyle w:val="Code"/>
              </w:rPr>
              <w:t>&lt;/seg&gt;</w:t>
            </w:r>
          </w:p>
          <w:p w14:paraId="016E4FE3" w14:textId="77777777">
            <w:pPr>
              <w:pStyle w:val="CodeParagraph"/>
              <w:rPr>
                <w:rStyle w:val="Code"/>
              </w:rPr>
            </w:pP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 xml:space="preserve">/&gt;&lt;/seg&gt;&lt;unclear </w:t>
            </w:r>
            <w:r>
              <w:rPr>
                <w:rStyle w:val="Codeattribute"/>
              </w:rPr>
              <w:t>cert</w:t>
            </w:r>
            <w:r>
              <w:rPr>
                <w:rStyle w:val="Code"/>
              </w:rPr>
              <w:t>=</w:t>
            </w:r>
            <w:r>
              <w:rPr>
                <w:rStyle w:val="Codevalue"/>
              </w:rPr>
              <w:t>"low"</w:t>
            </w:r>
            <w:r>
              <w:rPr>
                <w:rStyle w:val="Code"/>
              </w:rPr>
              <w:t>&gt;</w:t>
            </w:r>
            <w:r>
              <w:rPr>
                <w:rStyle w:val="Codetext"/>
              </w:rPr>
              <w:t>a</w:t>
            </w:r>
            <w:r>
              <w:rPr>
                <w:rStyle w:val="Code"/>
              </w:rPr>
              <w:t>&lt;/unclear&gt;</w:t>
            </w:r>
            <w:r>
              <w:rPr>
                <w:rStyle w:val="Codetext"/>
              </w:rPr>
              <w:t>ṁ</w:t>
            </w:r>
            <w:r>
              <w:rPr>
                <w:rStyle w:val="Code"/>
              </w:rPr>
              <w:t>&lt;/seg&gt;</w:t>
            </w:r>
          </w:p>
        </w:tc>
        <w:tc>
          <w:tcPr>
            <w:tcW w:w="3108" w:type="dxa"/>
            <w:vMerge/>
          </w:tcPr>
          <w:p w14:paraId="7FFB60D2" w14:textId="77777777">
            <w:pPr>
              <w:pStyle w:val="CodeParagraph"/>
              <w:rPr>
                <w:rStyle w:val="Code"/>
              </w:rPr>
            </w:pPr>
          </w:p>
        </w:tc>
      </w:tr>
    </w:tbl>
    <w:p w14:paraId="47DCA578" w14:textId="77777777"/>
    <w:tbl>
      <w:tblPr>
        <w:tblStyle w:val="CodeSampleTable"/>
        <w:tblW w:w="5000" w:type="pct"/>
        <w:tblLook w:val="04A0" w:firstRow="1" w:lastRow="0" w:firstColumn="1" w:lastColumn="0" w:noHBand="0" w:noVBand="1"/>
      </w:tblPr>
      <w:tblGrid>
        <w:gridCol w:w="9628"/>
      </w:tblGrid>
      <w:tr w14:paraId="790E1EB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6C4DAE3" w14:textId="77777777">
            <w:pPr>
              <w:pStyle w:val="Kpalrs"/>
            </w:pPr>
            <w:r>
              <w:t xml:space="preserve">Exhibit </w:t>
            </w:r>
            <w:fldSimple w:instr=" STYLEREF 2 \s ">
              <w:r>
                <w:rPr>
                  <w:noProof/>
                </w:rPr>
                <w:t>6.5</w:t>
              </w:r>
            </w:fldSimple>
            <w:r>
              <w:t>.</w:t>
            </w:r>
            <w:fldSimple w:instr=" SEQ Exhibit \* ALPHABETIC \s 2 ">
              <w:r>
                <w:rPr>
                  <w:noProof/>
                </w:rPr>
                <w:t>C</w:t>
              </w:r>
            </w:fldSimple>
            <w:r>
              <w:t>: lost vowel marker</w:t>
            </w:r>
          </w:p>
        </w:tc>
      </w:tr>
      <w:tr w14:paraId="28ED3B12" w14:textId="77777777">
        <w:tc>
          <w:tcPr>
            <w:tcW w:w="5000" w:type="pct"/>
          </w:tcPr>
          <w:p w14:paraId="2DBC3941" w14:textId="77777777">
            <w:pPr>
              <w:pStyle w:val="Image"/>
            </w:pPr>
            <w:r>
              <w:drawing>
                <wp:inline distT="0" distB="0" distL="0" distR="0" wp14:anchorId="108ABBEF" wp14:editId="3558801D">
                  <wp:extent cx="2187575" cy="875030"/>
                  <wp:effectExtent l="0" t="0" r="3175" b="127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4">
                            <a:extLst>
                              <a:ext uri="{28A0092B-C50C-407E-A947-70E740481C1C}">
                                <a14:useLocalDpi xmlns:a14="http://schemas.microsoft.com/office/drawing/2010/main" val="0"/>
                              </a:ext>
                            </a:extLst>
                          </a:blip>
                          <a:srcRect/>
                          <a:stretch>
                            <a:fillRect/>
                          </a:stretch>
                        </pic:blipFill>
                        <pic:spPr>
                          <a:xfrm>
                            <a:off x="0" y="0"/>
                            <a:ext cx="2187575" cy="875030"/>
                          </a:xfrm>
                          <a:prstGeom prst="rect">
                            <a:avLst/>
                          </a:prstGeom>
                          <a:ln/>
                        </pic:spPr>
                      </pic:pic>
                    </a:graphicData>
                  </a:graphic>
                </wp:inline>
              </w:drawing>
            </w:r>
          </w:p>
        </w:tc>
      </w:tr>
      <w:tr w14:paraId="2A8F37CC" w14:textId="77777777">
        <w:tc>
          <w:tcPr>
            <w:tcW w:w="5000" w:type="pct"/>
          </w:tcPr>
          <w:p w14:paraId="2FFFEDD1" w14:textId="77777777">
            <w:pPr>
              <w:pStyle w:val="TableNote"/>
              <w:keepNext/>
            </w:pPr>
            <w:r>
              <w:t xml:space="preserve">the consonant </w:t>
            </w:r>
            <w:r>
              <w:rPr>
                <w:rStyle w:val="Foreign"/>
              </w:rPr>
              <w:t>t</w:t>
            </w:r>
            <w:r>
              <w:t xml:space="preserve"> has so much damage around it that it may have had any of several vowel marks or none, as in the hypothetical image here</w:t>
            </w:r>
          </w:p>
          <w:p w14:paraId="08534152" w14:textId="77777777">
            <w:pPr>
              <w:pStyle w:val="TableNote"/>
              <w:keepNext/>
            </w:pPr>
            <w:r>
              <w:t>some candidates are shown on the right</w:t>
            </w:r>
          </w:p>
          <w:p w14:paraId="7CFDAAD2" w14:textId="77777777">
            <w:pPr>
              <w:pStyle w:val="TableNote"/>
              <w:keepNext/>
            </w:pPr>
            <w:r>
              <w:t xml:space="preserve">the same might be represented through transliteration without markup using the optional shorthand </w:t>
            </w:r>
            <w:r>
              <w:rPr>
                <w:rStyle w:val="Foreign"/>
              </w:rPr>
              <w:t>tV</w:t>
            </w:r>
            <w:r>
              <w:t xml:space="preserve"> (TG §3.3.2.2)</w:t>
            </w:r>
          </w:p>
        </w:tc>
      </w:tr>
      <w:tr w14:paraId="16967B9D" w14:textId="77777777">
        <w:tc>
          <w:tcPr>
            <w:tcW w:w="5000" w:type="pct"/>
          </w:tcPr>
          <w:p w14:paraId="535C4A2D" w14:textId="77777777">
            <w:pPr>
              <w:pStyle w:val="CodeParagraph"/>
              <w:rPr>
                <w:rStyle w:val="Code"/>
              </w:rPr>
            </w:pPr>
            <w:r>
              <w:rPr>
                <w:rStyle w:val="Codetext"/>
              </w:rPr>
              <w:t>t</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bl>
    <w:p w14:paraId="2610F2A7" w14:textId="77777777"/>
    <w:tbl>
      <w:tblPr>
        <w:tblStyle w:val="CodeSampleTable"/>
        <w:tblW w:w="5000" w:type="pct"/>
        <w:tblLook w:val="04A0" w:firstRow="1" w:lastRow="0" w:firstColumn="1" w:lastColumn="0" w:noHBand="0" w:noVBand="1"/>
      </w:tblPr>
      <w:tblGrid>
        <w:gridCol w:w="9628"/>
      </w:tblGrid>
      <w:tr w14:paraId="0ACD126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339C87B" w14:textId="77777777">
            <w:pPr>
              <w:pStyle w:val="Kpalrs"/>
            </w:pPr>
            <w:r>
              <w:t xml:space="preserve">Exhibit </w:t>
            </w:r>
            <w:fldSimple w:instr=" STYLEREF 2 \s ">
              <w:r>
                <w:rPr>
                  <w:noProof/>
                </w:rPr>
                <w:t>6.5</w:t>
              </w:r>
            </w:fldSimple>
            <w:r>
              <w:t>.</w:t>
            </w:r>
            <w:fldSimple w:instr=" SEQ Exhibit \* ALPHABETIC \s 2 ">
              <w:r>
                <w:rPr>
                  <w:noProof/>
                </w:rPr>
                <w:t>D</w:t>
              </w:r>
            </w:fldSimple>
            <w:r>
              <w:t>: lost body with subscript component</w:t>
            </w:r>
          </w:p>
        </w:tc>
      </w:tr>
      <w:tr w14:paraId="64A02A89" w14:textId="77777777">
        <w:tc>
          <w:tcPr>
            <w:tcW w:w="5000" w:type="pct"/>
          </w:tcPr>
          <w:p w14:paraId="78475BF8" w14:textId="77777777">
            <w:pPr>
              <w:pStyle w:val="Image"/>
            </w:pPr>
            <w:r>
              <w:drawing>
                <wp:inline distT="0" distB="0" distL="0" distR="0" wp14:anchorId="1F37AC88" wp14:editId="35E2A8A3">
                  <wp:extent cx="2967186" cy="844550"/>
                  <wp:effectExtent l="0" t="0" r="508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5">
                            <a:extLst>
                              <a:ext uri="{28A0092B-C50C-407E-A947-70E740481C1C}">
                                <a14:useLocalDpi xmlns:a14="http://schemas.microsoft.com/office/drawing/2010/main" val="0"/>
                              </a:ext>
                            </a:extLst>
                          </a:blip>
                          <a:srcRect/>
                          <a:stretch>
                            <a:fillRect/>
                          </a:stretch>
                        </pic:blipFill>
                        <pic:spPr>
                          <a:xfrm>
                            <a:off x="0" y="0"/>
                            <a:ext cx="2985276" cy="849699"/>
                          </a:xfrm>
                          <a:prstGeom prst="rect">
                            <a:avLst/>
                          </a:prstGeom>
                          <a:ln/>
                        </pic:spPr>
                      </pic:pic>
                    </a:graphicData>
                  </a:graphic>
                </wp:inline>
              </w:drawing>
            </w:r>
          </w:p>
        </w:tc>
      </w:tr>
      <w:tr w14:paraId="1688D613" w14:textId="77777777">
        <w:tc>
          <w:tcPr>
            <w:tcW w:w="5000" w:type="pct"/>
          </w:tcPr>
          <w:p w14:paraId="6F8CA3E8" w14:textId="77777777">
            <w:pPr>
              <w:pStyle w:val="TableNote"/>
              <w:keepNext/>
            </w:pPr>
            <w:r>
              <w:t xml:space="preserve">a clear subscript </w:t>
            </w:r>
            <w:r>
              <w:rPr>
                <w:rStyle w:val="Foreign"/>
              </w:rPr>
              <w:t>y</w:t>
            </w:r>
            <w:r>
              <w:t xml:space="preserve"> survives but the principal consonant</w:t>
            </w:r>
            <w:r>
              <w:rPr>
                <w:noProof/>
              </w:rPr>
              <w:t>(</w:t>
            </w:r>
            <w:r>
              <w:t>s) are obliterated along with any vowel marker, as in the hypothetical image above</w:t>
            </w:r>
          </w:p>
          <w:p w14:paraId="0178E8D5" w14:textId="77777777">
            <w:pPr>
              <w:pStyle w:val="TableNote"/>
              <w:keepNext/>
            </w:pPr>
            <w:r>
              <w:t>some candidates are shown on the right</w:t>
            </w:r>
          </w:p>
        </w:tc>
      </w:tr>
      <w:tr w14:paraId="2089E1D1" w14:textId="77777777">
        <w:tc>
          <w:tcPr>
            <w:tcW w:w="5000" w:type="pct"/>
          </w:tcPr>
          <w:p w14:paraId="1A894E34" w14:textId="77777777">
            <w:pPr>
              <w:pStyle w:val="CodeParagraph"/>
              <w:rPr>
                <w:rStyle w:val="Code"/>
              </w:rPr>
            </w:pP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"body"</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r>
              <w:rPr>
                <w:rStyle w:val="Codetext"/>
              </w:rPr>
              <w:t>y</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bl>
    <w:p w14:paraId="64A8E49B" w14:textId="77777777"/>
    <w:tbl>
      <w:tblPr>
        <w:tblStyle w:val="CodeSampleTable"/>
        <w:tblW w:w="5000" w:type="pct"/>
        <w:tblLook w:val="04A0" w:firstRow="1" w:lastRow="0" w:firstColumn="1" w:lastColumn="0" w:noHBand="0" w:noVBand="1"/>
      </w:tblPr>
      <w:tblGrid>
        <w:gridCol w:w="9628"/>
      </w:tblGrid>
      <w:tr w14:paraId="28440DD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E56F00E" w14:textId="77777777">
            <w:pPr>
              <w:pStyle w:val="Kpalrs"/>
            </w:pPr>
            <w:r>
              <w:lastRenderedPageBreak/>
              <w:t xml:space="preserve">Exhibit </w:t>
            </w:r>
            <w:fldSimple w:instr=" STYLEREF 2 \s ">
              <w:r>
                <w:rPr>
                  <w:noProof/>
                </w:rPr>
                <w:t>6.5</w:t>
              </w:r>
            </w:fldSimple>
            <w:r>
              <w:t>.</w:t>
            </w:r>
            <w:fldSimple w:instr=" SEQ Exhibit \* ALPHABETIC \s 2 ">
              <w:r>
                <w:rPr>
                  <w:noProof/>
                </w:rPr>
                <w:t>E</w:t>
              </w:r>
            </w:fldSimple>
            <w:r>
              <w:t>: a complex sequence of partially lost glyphs</w:t>
            </w:r>
          </w:p>
        </w:tc>
      </w:tr>
      <w:tr w14:paraId="1FECE5B5" w14:textId="77777777">
        <w:tc>
          <w:tcPr>
            <w:tcW w:w="5000" w:type="pct"/>
          </w:tcPr>
          <w:p w14:paraId="55D4F41C" w14:textId="77777777">
            <w:pPr>
              <w:pStyle w:val="TableNote"/>
              <w:keepNext/>
            </w:pPr>
            <w:r>
              <w:t xml:space="preserve">a sequence comprised of the following elements, which are known to follow the prosodic pattern </w:t>
            </w:r>
            <w:r>
              <w:rPr>
                <w:rStyle w:val="MetreCode"/>
              </w:rPr>
              <w:t>−−⏑</w:t>
            </w:r>
          </w:p>
          <w:p w14:paraId="65A5B6AD" w14:textId="77777777">
            <w:pPr>
              <w:pStyle w:val="TableNote"/>
              <w:keepNext/>
            </w:pPr>
            <w:r>
              <w:t xml:space="preserve">the legible glyph </w:t>
            </w:r>
            <w:r>
              <w:rPr>
                <w:rStyle w:val="Foreign"/>
              </w:rPr>
              <w:t>ku</w:t>
            </w:r>
            <w:r>
              <w:t>, which is simply transliterated</w:t>
            </w:r>
          </w:p>
          <w:p w14:paraId="215E0941" w14:textId="77777777">
            <w:pPr>
              <w:pStyle w:val="TableNote"/>
              <w:keepNext/>
            </w:pPr>
            <w:r>
              <w:t xml:space="preserve">one wholly illegible </w:t>
            </w:r>
            <w:r>
              <w:rPr>
                <w:rStyle w:val="Foreign"/>
              </w:rPr>
              <w:t>akṣara</w:t>
            </w:r>
            <w:r>
              <w:t xml:space="preserve">, which we prefer not to encode simply as a lacuna of one character which is prosodically long, as this would obscure the fact that since the preceding </w:t>
            </w:r>
            <w:r>
              <w:rPr>
                <w:noProof/>
              </w:rPr>
              <w:t>(</w:t>
            </w:r>
            <w:r>
              <w:t xml:space="preserve">clear) </w:t>
            </w:r>
            <w:r>
              <w:rPr>
                <w:rStyle w:val="Foreign"/>
              </w:rPr>
              <w:t>ku</w:t>
            </w:r>
            <w:r>
              <w:t xml:space="preserve"> is prosodically long, the present lost </w:t>
            </w:r>
            <w:r>
              <w:rPr>
                <w:rStyle w:val="Foreign"/>
              </w:rPr>
              <w:t>akṣara</w:t>
            </w:r>
            <w:r>
              <w:t xml:space="preserve"> must be a conjunct</w:t>
            </w:r>
          </w:p>
          <w:p w14:paraId="2F95C680" w14:textId="77777777">
            <w:pPr>
              <w:pStyle w:val="TableNote"/>
              <w:keepNext/>
            </w:pPr>
            <w:r>
              <w:t xml:space="preserve">a clear regular </w:t>
            </w:r>
            <w:r>
              <w:rPr>
                <w:rStyle w:val="Foreign"/>
              </w:rPr>
              <w:t>y</w:t>
            </w:r>
            <w:r>
              <w:t xml:space="preserve"> that may or may not have had a vowel marker attached</w:t>
            </w:r>
          </w:p>
        </w:tc>
      </w:tr>
      <w:tr w14:paraId="35995E75" w14:textId="77777777">
        <w:tc>
          <w:tcPr>
            <w:tcW w:w="5000" w:type="pct"/>
          </w:tcPr>
          <w:p w14:paraId="5E3515FC" w14:textId="77777777">
            <w:pPr>
              <w:pStyle w:val="CodeParagraph"/>
              <w:keepNext/>
              <w:rPr>
                <w:rStyle w:val="Code"/>
              </w:rPr>
            </w:pPr>
            <w:r>
              <w:rPr>
                <w:rStyle w:val="Codetext"/>
              </w:rPr>
              <w:t>ku</w:t>
            </w:r>
            <w:r>
              <w:rPr>
                <w:rStyle w:val="Code"/>
              </w:rPr>
              <w:t xml:space="preserve">&lt;seg </w:t>
            </w:r>
            <w:r>
              <w:rPr>
                <w:rStyle w:val="Codeattribute"/>
              </w:rPr>
              <w:t>type</w:t>
            </w:r>
            <w:r>
              <w:rPr>
                <w:rStyle w:val="Code"/>
              </w:rPr>
              <w:t>=</w:t>
            </w:r>
            <w:r>
              <w:rPr>
                <w:rStyle w:val="Codevalue"/>
              </w:rPr>
              <w:t>"aksara"</w:t>
            </w:r>
            <w:r>
              <w:rPr>
                <w:rStyle w:val="Code"/>
              </w:rPr>
              <w:t xml:space="preserve">&gt;&lt;seg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"conjunct"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 xml:space="preserve">/&gt;&lt;/seg&gt;&lt;seg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/&gt;&lt;/seg&gt;&lt;/seg&gt;</w:t>
            </w:r>
            <w:r>
              <w:rPr>
                <w:rStyle w:val="Codetext"/>
              </w:rPr>
              <w:t>y</w:t>
            </w:r>
            <w:r>
              <w:rPr>
                <w:rStyle w:val="Code"/>
              </w:rPr>
              <w:t xml:space="preserve">&lt;seg </w:t>
            </w:r>
            <w:r>
              <w:rPr>
                <w:rStyle w:val="Codeattribute"/>
              </w:rPr>
              <w:t>type</w:t>
            </w:r>
            <w:r>
              <w:rPr>
                <w:rStyle w:val="Code"/>
              </w:rPr>
              <w:t>=</w:t>
            </w:r>
            <w:r>
              <w:rPr>
                <w:rStyle w:val="Codevalue"/>
              </w:rPr>
              <w:t>"component"</w:t>
            </w:r>
            <w:r>
              <w:rPr>
                <w:rStyle w:val="Code"/>
              </w:rPr>
              <w:t xml:space="preserve"> </w:t>
            </w:r>
            <w:r>
              <w:rPr>
                <w:rStyle w:val="Codeattribute"/>
              </w:rPr>
              <w:t>subtype</w:t>
            </w:r>
            <w:r>
              <w:rPr>
                <w:rStyle w:val="Code"/>
              </w:rPr>
              <w:t>=</w:t>
            </w:r>
            <w:r>
              <w:rPr>
                <w:rStyle w:val="Codevalue"/>
              </w:rPr>
              <w:t>"vowel"</w:t>
            </w:r>
            <w:r>
              <w:rPr>
                <w:rStyle w:val="Code"/>
              </w:rPr>
              <w:t xml:space="preserve"> </w:t>
            </w:r>
            <w:r>
              <w:rPr>
                <w:rStyle w:val="Codeattribute"/>
              </w:rPr>
              <w:t>met</w:t>
            </w:r>
            <w:r>
              <w:rPr>
                <w:rStyle w:val="Code"/>
              </w:rPr>
              <w:t>=</w:t>
            </w:r>
            <w:r>
              <w:rPr>
                <w:rStyle w:val="Codevalue"/>
              </w:rPr>
              <w:t>"+"</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"component"</w:t>
            </w:r>
            <w:r>
              <w:rPr>
                <w:rStyle w:val="Code"/>
              </w:rPr>
              <w:t>/&gt;&lt;/seg&gt;</w:t>
            </w:r>
          </w:p>
        </w:tc>
      </w:tr>
      <w:tr w14:paraId="66CBA8CE" w14:textId="77777777">
        <w:tc>
          <w:tcPr>
            <w:tcW w:w="5000" w:type="pct"/>
          </w:tcPr>
          <w:p w14:paraId="57C97649" w14:textId="77777777">
            <w:pPr>
              <w:pStyle w:val="TableNote"/>
              <w:rPr>
                <w:rStyle w:val="Codetext"/>
              </w:rPr>
            </w:pPr>
            <w:r>
              <w:t xml:space="preserve">in the above example, the tag </w:t>
            </w:r>
            <w:r>
              <w:rPr>
                <w:rStyle w:val="Code"/>
              </w:rPr>
              <w:t xml:space="preserve">&lt;seg </w:t>
            </w:r>
            <w:r>
              <w:rPr>
                <w:rStyle w:val="Codeattribute"/>
              </w:rPr>
              <w:t>type</w:t>
            </w:r>
            <w:r>
              <w:rPr>
                <w:rStyle w:val="Code"/>
              </w:rPr>
              <w:t>=</w:t>
            </w:r>
            <w:r>
              <w:rPr>
                <w:rStyle w:val="Codevalue"/>
              </w:rPr>
              <w:t>"aksara"</w:t>
            </w:r>
            <w:r>
              <w:rPr>
                <w:rStyle w:val="Code"/>
              </w:rPr>
              <w:t>&gt;</w:t>
            </w:r>
            <w:r>
              <w:t xml:space="preserve"> around the second </w:t>
            </w:r>
            <w:r>
              <w:rPr>
                <w:noProof/>
              </w:rPr>
              <w:t>(</w:t>
            </w:r>
            <w:r>
              <w:t xml:space="preserve">wholly lost) character is not strictly necessary, but it has been added to make it explicit that the illegible conjunct consonant and the illegible vowel comprise one </w:t>
            </w:r>
            <w:r>
              <w:rPr>
                <w:rStyle w:val="Foreign"/>
              </w:rPr>
              <w:t>akṣara</w:t>
            </w:r>
          </w:p>
        </w:tc>
      </w:tr>
    </w:tbl>
    <w:p w14:paraId="2E17E252" w14:textId="77777777">
      <w:pPr>
        <w:pStyle w:val="Cmsor3"/>
      </w:pPr>
      <w:bookmarkStart w:id="579" w:name="_ks1ouwdqdoh4" w:colFirst="0" w:colLast="0"/>
      <w:bookmarkStart w:id="580" w:name="_Ref228348376"/>
      <w:bookmarkStart w:id="581" w:name="_Toc243900326"/>
      <w:bookmarkEnd w:id="579"/>
      <w:r>
        <w:t>Managing line-level lacunae</w:t>
      </w:r>
      <w:bookmarkEnd w:id="580"/>
      <w:bookmarkEnd w:id="581"/>
    </w:p>
    <w:p w14:paraId="65522473" w14:textId="77777777">
      <w:pPr>
        <w:rPr>
          <w:lang w:eastAsia="en-US" w:bidi="ar-SA"/>
        </w:rPr>
      </w:pPr>
      <w:r>
        <w:rPr>
          <w:lang w:eastAsia="en-US" w:bidi="ar-SA"/>
        </w:rPr>
        <w:t>As noted in §</w:t>
      </w:r>
      <w:r>
        <w:rPr>
          <w:lang w:eastAsia="en-US" w:bidi="ar-SA"/>
        </w:rPr>
        <w:fldChar w:fldCharType="begin"/>
      </w:r>
      <w:r>
        <w:rPr>
          <w:lang w:eastAsia="en-US" w:bidi="ar-SA"/>
        </w:rPr>
        <w:instrText xml:space="preserve"> REF _Ref43988016 \r \h </w:instrText>
      </w:r>
      <w:r>
        <w:rPr>
          <w:lang w:eastAsia="en-US" w:bidi="ar-SA"/>
        </w:rPr>
      </w:r>
      <w:r>
        <w:rPr>
          <w:lang w:eastAsia="en-US" w:bidi="ar-SA"/>
        </w:rPr>
        <w:fldChar w:fldCharType="separate"/>
      </w:r>
      <w:r>
        <w:rPr>
          <w:lang w:eastAsia="en-US" w:bidi="ar-SA"/>
        </w:rPr>
        <w:t>6.5.2</w:t>
      </w:r>
      <w:r>
        <w:rPr>
          <w:lang w:eastAsia="en-US" w:bidi="ar-SA"/>
        </w:rPr>
        <w:fldChar w:fldCharType="end"/>
      </w:r>
      <w:r>
        <w:rPr>
          <w:lang w:eastAsia="en-US" w:bidi="ar-SA"/>
        </w:rPr>
        <w:t xml:space="preserve">, the preferred method for encoding lacunae is to treat them as inline. Consequently, when </w:t>
      </w:r>
    </w:p>
    <w:p w14:paraId="1B4D469E" w14:textId="77777777">
      <w:pPr>
        <w:rPr>
          <w:lang w:eastAsia="en-US" w:bidi="ar-SA"/>
        </w:rPr>
      </w:pPr>
      <w:r>
        <w:rPr>
          <w:lang w:eastAsia="en-US" w:bidi="ar-SA"/>
        </w:rPr>
        <w:t>a lacuna extends over one or more entire physical lines, the preferred encoding method is to mark up the beginning of each line, with an inline lacuna occupying the entire line. Doing so allows the edition to reflect the source’s extrinsic structure accurately and to number physical lines consecutively without complications. This, of course, is only feasible when the number of lost or illegible lines is small and can be precisely determined.</w:t>
      </w:r>
    </w:p>
    <w:p w14:paraId="7E9AD205" w14:textId="77777777">
      <w:pPr>
        <w:pStyle w:val="Cmsor4"/>
      </w:pPr>
      <w:bookmarkStart w:id="582" w:name="_Ref228368995"/>
      <w:r>
        <w:t>Inline lacunae for full lines</w:t>
      </w:r>
      <w:bookmarkEnd w:id="582"/>
    </w:p>
    <w:p w14:paraId="1477F39E" w14:textId="77777777">
      <w:r>
        <w:t>When the number of lost or illegible lines is small (as a rule of thumb, up to five) and can be determined precisely, reconstruct the extrinsic structure in your edition and encode inline lacunae as follows.</w:t>
      </w:r>
    </w:p>
    <w:p w14:paraId="58C9BA28" w14:textId="77777777">
      <w:pPr>
        <w:pStyle w:val="Lista"/>
      </w:pPr>
      <w:r>
        <w:t xml:space="preserve">encode each line beginning </w:t>
      </w:r>
      <w:r>
        <w:rPr>
          <w:noProof/>
        </w:rPr>
        <w:t>(</w:t>
      </w:r>
      <w:r>
        <w:t>§</w:t>
      </w:r>
      <w:r>
        <w:fldChar w:fldCharType="begin"/>
      </w:r>
      <w:r>
        <w:instrText xml:space="preserve"> REF _Ref43980100 \r \h </w:instrText>
      </w:r>
      <w:r>
        <w:fldChar w:fldCharType="separate"/>
      </w:r>
      <w:r>
        <w:t>4.5.1</w:t>
      </w:r>
      <w:r>
        <w:fldChar w:fldCharType="end"/>
      </w:r>
      <w:r>
        <w:t>), numbering them consecutively</w:t>
      </w:r>
    </w:p>
    <w:p w14:paraId="4DF76E7E" w14:textId="77777777">
      <w:pPr>
        <w:pStyle w:val="Lista"/>
      </w:pPr>
      <w:r>
        <w:t xml:space="preserve">populate each line with separate inline </w:t>
      </w:r>
      <w:r>
        <w:rPr>
          <w:rStyle w:val="Code"/>
        </w:rPr>
        <w:t>&lt;gap/&gt;</w:t>
      </w:r>
      <w:r>
        <w:t xml:space="preserve"> elements </w:t>
      </w:r>
      <w:r>
        <w:rPr>
          <w:noProof/>
        </w:rPr>
        <w:t>(</w:t>
      </w:r>
      <w:r>
        <w:t>§</w:t>
      </w:r>
      <w:r>
        <w:fldChar w:fldCharType="begin"/>
      </w:r>
      <w:r>
        <w:instrText xml:space="preserve"> REF _Ref43988016 \w \h  \* MERGEFORMAT </w:instrText>
      </w:r>
      <w:r>
        <w:fldChar w:fldCharType="separate"/>
      </w:r>
      <w:r>
        <w:t>6.5.2</w:t>
      </w:r>
      <w:r>
        <w:fldChar w:fldCharType="end"/>
      </w:r>
      <w:r>
        <w:t>), encoded as lost or illegible (§</w:t>
      </w:r>
      <w:r>
        <w:fldChar w:fldCharType="begin"/>
      </w:r>
      <w:r>
        <w:instrText xml:space="preserve"> REF _Ref43987758 \r \h </w:instrText>
      </w:r>
      <w:r>
        <w:fldChar w:fldCharType="separate"/>
      </w:r>
      <w:r>
        <w:t>6.5.1.1</w:t>
      </w:r>
      <w:r>
        <w:fldChar w:fldCharType="end"/>
      </w:r>
      <w:r>
        <w:t>) as the case may be, with estimated quantity or unknown extent (§</w:t>
      </w:r>
      <w:r>
        <w:fldChar w:fldCharType="begin"/>
      </w:r>
      <w:r>
        <w:instrText xml:space="preserve"> REF _Ref228262228 \r \h </w:instrText>
      </w:r>
      <w:r>
        <w:fldChar w:fldCharType="separate"/>
      </w:r>
      <w:r>
        <w:t>6.5.1.2</w:t>
      </w:r>
      <w:r>
        <w:fldChar w:fldCharType="end"/>
      </w:r>
      <w:r>
        <w:t>)</w:t>
      </w:r>
    </w:p>
    <w:p w14:paraId="2856A913" w14:textId="77777777">
      <w:pPr>
        <w:pStyle w:val="Lista"/>
      </w:pPr>
      <w:r>
        <w:t xml:space="preserve">e.g. for a gap of two full lines, </w:t>
      </w:r>
      <w:r>
        <w:rPr>
          <w:rStyle w:val="Code"/>
        </w:rPr>
        <w:t xml:space="preserve">&lt;lb </w:t>
      </w:r>
      <w:r>
        <w:rPr>
          <w:rStyle w:val="Codeattribute"/>
        </w:rPr>
        <w:t>n</w:t>
      </w:r>
      <w:r>
        <w:rPr>
          <w:rStyle w:val="Code"/>
        </w:rPr>
        <w:t>=</w:t>
      </w:r>
      <w:r>
        <w:rPr>
          <w:rStyle w:val="Codevalue"/>
        </w:rPr>
        <w:t>"3"</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"30"</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 xml:space="preserve">/&gt;&lt;lb </w:t>
      </w:r>
      <w:r>
        <w:rPr>
          <w:rStyle w:val="Codeattribute"/>
        </w:rPr>
        <w:t>n</w:t>
      </w:r>
      <w:r>
        <w:rPr>
          <w:rStyle w:val="Code"/>
        </w:rPr>
        <w:t>=</w:t>
      </w:r>
      <w:r>
        <w:rPr>
          <w:rStyle w:val="Codevalue"/>
        </w:rPr>
        <w:t>"4"</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"30"</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p>
    <w:p w14:paraId="1FA0F474" w14:textId="77777777">
      <w:pPr>
        <w:pStyle w:val="Cmsor4"/>
      </w:pPr>
      <w:bookmarkStart w:id="583" w:name="_Ref228349461"/>
      <w:r>
        <w:t>Multiline lacunae</w:t>
      </w:r>
      <w:bookmarkEnd w:id="583"/>
    </w:p>
    <w:p w14:paraId="7CCEC29B" w14:textId="77777777">
      <w:pPr>
        <w:rPr>
          <w:lang w:eastAsia="en-US" w:bidi="ar-SA"/>
        </w:rPr>
      </w:pPr>
      <w:r>
        <w:rPr>
          <w:lang w:eastAsia="en-US" w:bidi="ar-SA"/>
        </w:rPr>
        <w:t xml:space="preserve">When a large number of lines (as a rule of thumb, more than five) lines are lost or illegible, or the number of lines affected by a lacuna cannot be determined exactly, encode line-level lacunae as follows. </w:t>
      </w:r>
    </w:p>
    <w:p w14:paraId="230CA48E" w14:textId="77777777">
      <w:pPr>
        <w:pStyle w:val="Lista"/>
      </w:pPr>
      <w:r>
        <w:t>do not encode line beginnings for the lost lines</w:t>
      </w:r>
    </w:p>
    <w:p w14:paraId="371192F5" w14:textId="77777777">
      <w:pPr>
        <w:pStyle w:val="Lista"/>
      </w:pPr>
      <w:r>
        <w:t xml:space="preserve">use the </w:t>
      </w:r>
      <w:r>
        <w:rPr>
          <w:rStyle w:val="Code"/>
        </w:rPr>
        <w:t>&lt;gap/&gt;</w:t>
      </w:r>
      <w:r>
        <w:t xml:space="preserve"> element, encoded as lost or illegible (§</w:t>
      </w:r>
      <w:r>
        <w:fldChar w:fldCharType="begin"/>
      </w:r>
      <w:r>
        <w:instrText xml:space="preserve"> REF _Ref43987758 \r \h </w:instrText>
      </w:r>
      <w:r>
        <w:fldChar w:fldCharType="separate"/>
      </w:r>
      <w:r>
        <w:t>6.5.1.1</w:t>
      </w:r>
      <w:r>
        <w:fldChar w:fldCharType="end"/>
      </w:r>
      <w:r>
        <w:t xml:space="preserve">) as the case may be, with </w:t>
      </w:r>
      <w:r>
        <w:rPr>
          <w:rStyle w:val="Codevalue"/>
        </w:rPr>
        <w:t>"line"</w:t>
      </w:r>
      <w:r>
        <w:t xml:space="preserve"> as the value of </w:t>
      </w:r>
      <w:r>
        <w:rPr>
          <w:rStyle w:val="Codeattribute"/>
        </w:rPr>
        <w:t>@unit</w:t>
      </w:r>
      <w:r>
        <w:t xml:space="preserve"> (§</w:t>
      </w:r>
      <w:r>
        <w:fldChar w:fldCharType="begin"/>
      </w:r>
      <w:r>
        <w:instrText xml:space="preserve"> REF _Ref228262228 \r \h </w:instrText>
      </w:r>
      <w:r>
        <w:fldChar w:fldCharType="separate"/>
      </w:r>
      <w:r>
        <w:t>6.5.1.2</w:t>
      </w:r>
      <w:r>
        <w:fldChar w:fldCharType="end"/>
      </w:r>
      <w:r>
        <w:t>)</w:t>
      </w:r>
    </w:p>
    <w:p w14:paraId="383FA3C3" w14:textId="77777777">
      <w:pPr>
        <w:pStyle w:val="Lista"/>
      </w:pPr>
      <w:r>
        <w:t xml:space="preserve">for a precisely known number of lost or illegible lines, record the number in </w:t>
      </w:r>
      <w:r>
        <w:rPr>
          <w:rStyle w:val="Codeattribute"/>
        </w:rPr>
        <w:t>@quantity</w:t>
      </w:r>
    </w:p>
    <w:p w14:paraId="7C7A32BF" w14:textId="77777777">
      <w:pPr>
        <w:pStyle w:val="Lista2"/>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"line"</w:t>
      </w:r>
      <w:r>
        <w:rPr>
          <w:rStyle w:val="Code"/>
        </w:rPr>
        <w:t>/&gt;</w:t>
      </w:r>
    </w:p>
    <w:p w14:paraId="76F9D174" w14:textId="77777777">
      <w:pPr>
        <w:pStyle w:val="Lista"/>
      </w:pPr>
      <w:r>
        <w:t xml:space="preserve">for an estimated number of lost or illegible lines, record the number in </w:t>
      </w:r>
      <w:r>
        <w:rPr>
          <w:rStyle w:val="Codeattribute"/>
        </w:rPr>
        <w:t>@quantity</w:t>
      </w:r>
      <w:r>
        <w:t xml:space="preserve"> and add </w:t>
      </w:r>
      <w:r>
        <w:rPr>
          <w:rStyle w:val="Codeattribute"/>
        </w:rPr>
        <w:t>@precision</w:t>
      </w:r>
      <w:r>
        <w:rPr>
          <w:rStyle w:val="Code"/>
        </w:rPr>
        <w:t>=</w:t>
      </w:r>
      <w:r>
        <w:rPr>
          <w:rStyle w:val="Codevalue"/>
        </w:rPr>
        <w:t>"low"</w:t>
      </w:r>
    </w:p>
    <w:p w14:paraId="68E549F2" w14:textId="77777777">
      <w:pPr>
        <w:pStyle w:val="Lista2"/>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"6"</w:t>
      </w:r>
      <w:r>
        <w:rPr>
          <w:rStyle w:val="Code"/>
        </w:rPr>
        <w:t xml:space="preserve"> </w:t>
      </w:r>
      <w:r>
        <w:rPr>
          <w:rStyle w:val="Codeattribute"/>
        </w:rPr>
        <w:t>unit</w:t>
      </w:r>
      <w:r>
        <w:rPr>
          <w:rStyle w:val="Code"/>
        </w:rPr>
        <w:t>=</w:t>
      </w:r>
      <w:r>
        <w:rPr>
          <w:rStyle w:val="Codevalue"/>
        </w:rPr>
        <w:t>"line"</w:t>
      </w:r>
      <w:r>
        <w:rPr>
          <w:rStyle w:val="Code"/>
        </w:rPr>
        <w:t xml:space="preserve"> </w:t>
      </w:r>
      <w:r>
        <w:rPr>
          <w:rStyle w:val="Codeattribute"/>
        </w:rPr>
        <w:t>precision</w:t>
      </w:r>
      <w:r>
        <w:rPr>
          <w:rStyle w:val="Code"/>
        </w:rPr>
        <w:t>=</w:t>
      </w:r>
      <w:r>
        <w:rPr>
          <w:rStyle w:val="Codevalue"/>
        </w:rPr>
        <w:t>"low"</w:t>
      </w:r>
      <w:r>
        <w:rPr>
          <w:rStyle w:val="Code"/>
        </w:rPr>
        <w:t>/&gt;</w:t>
      </w:r>
    </w:p>
    <w:p w14:paraId="3F52BE07" w14:textId="77777777">
      <w:pPr>
        <w:pStyle w:val="Lista"/>
      </w:pPr>
      <w:r>
        <w:t xml:space="preserve">for an unknown number of lost (or illegible) lines, use </w:t>
      </w:r>
      <w:r>
        <w:rPr>
          <w:rStyle w:val="Codeattribute"/>
        </w:rPr>
        <w:t>@extent</w:t>
      </w:r>
      <w:r>
        <w:t xml:space="preserve"> with the value </w:t>
      </w:r>
      <w:r>
        <w:rPr>
          <w:rStyle w:val="Codevalue"/>
        </w:rPr>
        <w:t>"unknown"</w:t>
      </w:r>
      <w:r>
        <w:t xml:space="preserve"> (but retain </w:t>
      </w:r>
      <w:r>
        <w:rPr>
          <w:rStyle w:val="Codeattribute"/>
        </w:rPr>
        <w:t>@unit</w:t>
      </w:r>
      <w:r>
        <w:t xml:space="preserve"> with the value </w:t>
      </w:r>
      <w:r>
        <w:rPr>
          <w:rStyle w:val="Codevalue"/>
        </w:rPr>
        <w:t>"line"</w:t>
      </w:r>
      <w:r>
        <w:t xml:space="preserve"> to distinguish such lacunae from inline lacunae of unknown length)</w:t>
      </w:r>
    </w:p>
    <w:p w14:paraId="6450E8B5"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p>
    <w:p w14:paraId="0EFC639D" w14:textId="77777777">
      <w:pPr>
        <w:pStyle w:val="Lista"/>
      </w:pPr>
      <w:r>
        <w:t>if a multiline lacuna occurs at any place other than the end of an inscription, the editorial numbering of the extant lines will need special consideration, with the following general recommendations</w:t>
      </w:r>
    </w:p>
    <w:p w14:paraId="03863B2E" w14:textId="77777777">
      <w:pPr>
        <w:pStyle w:val="Lista2"/>
      </w:pPr>
      <w:r>
        <w:t>if the number of lines in the lacuna is known precisely, it is best if you mentally assign numbers to these lines and start or continue numbering after the lacuna accordingly</w:t>
      </w:r>
    </w:p>
    <w:p w14:paraId="4F990F94" w14:textId="77777777">
      <w:pPr>
        <w:pStyle w:val="Lista3"/>
      </w:pPr>
      <w:r>
        <w:lastRenderedPageBreak/>
        <w:t>for example, if an inscription has three extant lines, followed by a six-line lacuna and three more extant lines, then number the extant lines 1 to 3 and 10 to 12</w:t>
      </w:r>
    </w:p>
    <w:p w14:paraId="3DF77FA0" w14:textId="77777777">
      <w:pPr>
        <w:pStyle w:val="Lista2"/>
      </w:pPr>
      <w:r>
        <w:t>if the number of lines in the lacuna is unknown, disregard the lacuna and start or continue numbering extant lines consecutively</w:t>
      </w:r>
    </w:p>
    <w:p w14:paraId="5AE7F550" w14:textId="77777777">
      <w:pPr>
        <w:pStyle w:val="Lista3"/>
      </w:pPr>
      <w:r>
        <w:t>for example, if an inscription has three extant lines, followed by an indeterminate lacuna and three more extant lines, then number the extant lines 1 to 3 and 4 to 6</w:t>
      </w:r>
    </w:p>
    <w:p w14:paraId="0FBAF640" w14:textId="77777777">
      <w:pPr>
        <w:pStyle w:val="Lista2"/>
      </w:pPr>
      <w:r>
        <w:t>if the number of lines in the lacuna is estimated, then choose one of the above methods at your discretion</w:t>
      </w:r>
    </w:p>
    <w:p w14:paraId="1285B637" w14:textId="77777777">
      <w:pPr>
        <w:pStyle w:val="Lista"/>
      </w:pPr>
      <w:r>
        <w:t>additional considerations for the interaction of multiline lacunae with intrinsic and extrinsic structure are discussed in the section on massive lacunae (§</w:t>
      </w:r>
      <w:r>
        <w:fldChar w:fldCharType="begin"/>
      </w:r>
      <w:r>
        <w:instrText xml:space="preserve"> REF _Ref43981711 \w \h  \* MERGEFORMAT </w:instrText>
      </w:r>
      <w:r>
        <w:fldChar w:fldCharType="separate"/>
      </w:r>
      <w:r>
        <w:t>6.5.4</w:t>
      </w:r>
      <w:r>
        <w:fldChar w:fldCharType="end"/>
      </w:r>
      <w:r>
        <w:t>)</w:t>
      </w:r>
    </w:p>
    <w:p w14:paraId="2EAC21F7" w14:textId="77777777">
      <w:pPr>
        <w:pStyle w:val="Cmsor4"/>
      </w:pPr>
      <w:bookmarkStart w:id="584" w:name="_Ref228262561"/>
      <w:r>
        <w:t>Possibly lost</w:t>
      </w:r>
      <w:bookmarkEnd w:id="584"/>
      <w:r>
        <w:t xml:space="preserve"> lines</w:t>
      </w:r>
    </w:p>
    <w:p w14:paraId="1C9FCD3C" w14:textId="77777777">
      <w:pPr>
        <w:rPr>
          <w:lang w:eastAsia="en-US" w:bidi="ar-SA"/>
        </w:rPr>
      </w:pPr>
      <w:r>
        <w:rPr>
          <w:lang w:eastAsia="en-US" w:bidi="ar-SA"/>
        </w:rPr>
        <w:t xml:space="preserve">In some cases </w:t>
      </w:r>
      <w:r>
        <w:t>it is impossible to tell whether there were more lines to an inscription than are now extant. Such situations are best described in the annotation of an edition, but if you wish to represent it in encoding, proceed as follows.</w:t>
      </w:r>
    </w:p>
    <w:p w14:paraId="39913BBB" w14:textId="77777777">
      <w:pPr>
        <w:pStyle w:val="Lista"/>
      </w:pPr>
      <w:r>
        <w:t xml:space="preserve">create a </w:t>
      </w:r>
      <w:r>
        <w:rPr>
          <w:rStyle w:val="Code"/>
        </w:rPr>
        <w:t>&lt;gap&gt;</w:t>
      </w:r>
      <w:r>
        <w:t xml:space="preserve"> element for a multiline lacuna (§</w:t>
      </w:r>
      <w:r>
        <w:fldChar w:fldCharType="begin"/>
      </w:r>
      <w:r>
        <w:instrText xml:space="preserve"> REF _Ref228349461 \r \h </w:instrText>
      </w:r>
      <w:r>
        <w:fldChar w:fldCharType="separate"/>
      </w:r>
      <w:r>
        <w:t>6.5.3.2</w:t>
      </w:r>
      <w:r>
        <w:fldChar w:fldCharType="end"/>
      </w:r>
      <w:r>
        <w:t>) even if you estimate or know the number of possibly lost lines to be small</w:t>
      </w:r>
    </w:p>
    <w:p w14:paraId="13AD52F9" w14:textId="77777777">
      <w:pPr>
        <w:pStyle w:val="Lista2"/>
      </w:pPr>
      <w:r>
        <w:t xml:space="preserve">the value of </w:t>
      </w:r>
      <w:r>
        <w:rPr>
          <w:rStyle w:val="Codeattribute"/>
        </w:rPr>
        <w:t>@reason</w:t>
      </w:r>
      <w:r>
        <w:t xml:space="preserve"> shall always be </w:t>
      </w:r>
      <w:r>
        <w:rPr>
          <w:rStyle w:val="Codevalue"/>
        </w:rPr>
        <w:t>"lost"</w:t>
      </w:r>
      <w:r>
        <w:t xml:space="preserve"> in such a case</w:t>
      </w:r>
    </w:p>
    <w:p w14:paraId="7B54CC5B" w14:textId="77777777">
      <w:pPr>
        <w:pStyle w:val="Lista3"/>
      </w:pPr>
      <w:r>
        <w:t>just conceivably, the support might be extant but so effaced that it may or may not bear vestiges of writing, but this is for all practical purposes equivalent to saying that the writing (if it ever existed) is now lost</w:t>
      </w:r>
    </w:p>
    <w:p w14:paraId="7F30BE35" w14:textId="77777777">
      <w:pPr>
        <w:pStyle w:val="Lista"/>
      </w:pPr>
      <w:r>
        <w:t xml:space="preserve">within this element, add </w:t>
      </w:r>
      <w:r>
        <w:rPr>
          <w:rStyle w:val="Code"/>
        </w:rPr>
        <w:t xml:space="preserve">&lt;certainty </w:t>
      </w:r>
      <w:r>
        <w:rPr>
          <w:rStyle w:val="Codeattribute"/>
        </w:rPr>
        <w:t>match</w:t>
      </w:r>
      <w:r>
        <w:rPr>
          <w:rStyle w:val="Code"/>
        </w:rPr>
        <w:t>=</w:t>
      </w:r>
      <w:r>
        <w:rPr>
          <w:rStyle w:val="Codevalue"/>
        </w:rPr>
        <w:t xml:space="preserve">".." </w:t>
      </w:r>
      <w:r>
        <w:rPr>
          <w:rStyle w:val="Codeattribute"/>
        </w:rPr>
        <w:t>locus</w:t>
      </w:r>
      <w:r>
        <w:rPr>
          <w:rStyle w:val="Code"/>
        </w:rPr>
        <w:t>=</w:t>
      </w:r>
      <w:r>
        <w:rPr>
          <w:rStyle w:val="Codevalue"/>
        </w:rPr>
        <w:t>"name"</w:t>
      </w:r>
      <w:r>
        <w:rPr>
          <w:rStyle w:val="Code"/>
        </w:rPr>
        <w:t>/&gt;</w:t>
      </w:r>
      <w:r>
        <w:t>, where</w:t>
      </w:r>
    </w:p>
    <w:p w14:paraId="0BFE00E7" w14:textId="77777777">
      <w:pPr>
        <w:pStyle w:val="Lista2"/>
      </w:pPr>
      <w:r>
        <w:rPr>
          <w:rStyle w:val="Codeattribute"/>
        </w:rPr>
        <w:t>@match</w:t>
      </w:r>
      <w:r>
        <w:rPr>
          <w:rStyle w:val="Code"/>
        </w:rPr>
        <w:t>=</w:t>
      </w:r>
      <w:r>
        <w:rPr>
          <w:rStyle w:val="Codevalue"/>
        </w:rPr>
        <w:t>".."</w:t>
      </w:r>
      <w:r>
        <w:t xml:space="preserve"> indicates that we are making a statement regarding certainty</w:t>
      </w:r>
      <w:r>
        <w:rPr>
          <w:rStyle w:val="Lbjegyzet-hivatkozs"/>
        </w:rPr>
        <w:footnoteReference w:id="32"/>
      </w:r>
      <w:r>
        <w:t xml:space="preserve"> applicable to the parent element </w:t>
      </w:r>
      <w:r>
        <w:rPr>
          <w:noProof/>
        </w:rPr>
        <w:t>(</w:t>
      </w:r>
      <w:r>
        <w:t xml:space="preserve">i.e. </w:t>
      </w:r>
      <w:r>
        <w:rPr>
          <w:rStyle w:val="Code"/>
        </w:rPr>
        <w:t>&lt;gap&gt;</w:t>
      </w:r>
      <w:r>
        <w:t>)</w:t>
      </w:r>
    </w:p>
    <w:p w14:paraId="2A7544F5" w14:textId="77777777">
      <w:pPr>
        <w:pStyle w:val="Lista2"/>
      </w:pPr>
      <w:r>
        <w:rPr>
          <w:rStyle w:val="Codeattribute"/>
        </w:rPr>
        <w:t>@locus</w:t>
      </w:r>
      <w:r>
        <w:rPr>
          <w:rStyle w:val="Code"/>
        </w:rPr>
        <w:t>=</w:t>
      </w:r>
      <w:r>
        <w:rPr>
          <w:rStyle w:val="Codevalue"/>
        </w:rPr>
        <w:t>"name"</w:t>
      </w:r>
      <w:r>
        <w:t xml:space="preserve"> indicates that the uncertainty concerns the name of the parent element </w:t>
      </w:r>
      <w:r>
        <w:rPr>
          <w:noProof/>
        </w:rPr>
        <w:t xml:space="preserve">(viz. “gap”, </w:t>
      </w:r>
      <w:r>
        <w:t>and thus the fact that what we have there is a lacuna)</w:t>
      </w:r>
    </w:p>
    <w:p w14:paraId="6FE336D4" w14:textId="77777777">
      <w:pPr>
        <w:pStyle w:val="Lista2"/>
      </w:pPr>
      <w:r>
        <w:t xml:space="preserve">note that in this single case, the </w:t>
      </w:r>
      <w:r>
        <w:rPr>
          <w:rStyle w:val="Code"/>
        </w:rPr>
        <w:t>&lt;gap&gt;</w:t>
      </w:r>
      <w:r>
        <w:t xml:space="preserve"> element is not empty but comprised of separate opening and closing tags wrapping the </w:t>
      </w:r>
      <w:r>
        <w:rPr>
          <w:rStyle w:val="Code"/>
        </w:rPr>
        <w:t>&lt;certainty&gt;</w:t>
      </w:r>
      <w:r>
        <w:t xml:space="preserve"> element</w:t>
      </w:r>
    </w:p>
    <w:p w14:paraId="7ABB5C52" w14:textId="77777777">
      <w:pPr>
        <w:pStyle w:val="Lista"/>
      </w:pPr>
      <w:r>
        <w:t>for example,</w:t>
      </w:r>
    </w:p>
    <w:p w14:paraId="00D1B8FE" w14:textId="77777777">
      <w:pPr>
        <w:pStyle w:val="Lista2"/>
      </w:pPr>
      <w:r>
        <w:t xml:space="preserve">one line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"line"</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08B29DDA" w14:textId="77777777">
      <w:pPr>
        <w:pStyle w:val="Lista2"/>
      </w:pPr>
      <w:bookmarkStart w:id="585" w:name="_2xcytpi" w:colFirst="0" w:colLast="0"/>
      <w:bookmarkEnd w:id="585"/>
      <w:r>
        <w:t xml:space="preserve">approximately two lines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"2"</w:t>
      </w:r>
      <w:r>
        <w:rPr>
          <w:rStyle w:val="Code"/>
        </w:rPr>
        <w:t xml:space="preserve"> </w:t>
      </w:r>
      <w:r>
        <w:rPr>
          <w:rStyle w:val="Codeattribute"/>
        </w:rPr>
        <w:t>unit</w:t>
      </w:r>
      <w:r>
        <w:rPr>
          <w:rStyle w:val="Code"/>
        </w:rPr>
        <w:t>=</w:t>
      </w:r>
      <w:r>
        <w:rPr>
          <w:rStyle w:val="Codevalue"/>
        </w:rPr>
        <w:t>"line"</w:t>
      </w:r>
      <w:r>
        <w:rPr>
          <w:rStyle w:val="Code"/>
        </w:rPr>
        <w:t xml:space="preserve"> </w:t>
      </w:r>
      <w:r>
        <w:rPr>
          <w:rStyle w:val="Codeattribute"/>
        </w:rPr>
        <w:t>precision</w:t>
      </w:r>
      <w:r>
        <w:rPr>
          <w:rStyle w:val="Code"/>
        </w:rPr>
        <w:t>=</w:t>
      </w:r>
      <w:r>
        <w:rPr>
          <w:rStyle w:val="Codevalue"/>
        </w:rPr>
        <w:t>"low"</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475E62CD" w14:textId="77777777">
      <w:pPr>
        <w:pStyle w:val="Lista2"/>
      </w:pPr>
      <w:bookmarkStart w:id="586" w:name="_dag8mx6ycrl2" w:colFirst="0" w:colLast="0"/>
      <w:bookmarkEnd w:id="586"/>
      <w:r>
        <w:t xml:space="preserve">any number of lines possibly lost: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 xml:space="preserve">&gt;&lt;certainty </w:t>
      </w:r>
      <w:r>
        <w:rPr>
          <w:rStyle w:val="Codeattribute"/>
        </w:rPr>
        <w:t>match</w:t>
      </w:r>
      <w:r>
        <w:rPr>
          <w:rStyle w:val="Code"/>
        </w:rPr>
        <w:t>=</w:t>
      </w:r>
      <w:r>
        <w:rPr>
          <w:rStyle w:val="Codevalue"/>
        </w:rPr>
        <w:t>".."</w:t>
      </w:r>
      <w:r>
        <w:rPr>
          <w:rStyle w:val="Code"/>
        </w:rPr>
        <w:t xml:space="preserve"> </w:t>
      </w:r>
      <w:r>
        <w:rPr>
          <w:rStyle w:val="Codeattribute"/>
        </w:rPr>
        <w:t>locus</w:t>
      </w:r>
      <w:r>
        <w:rPr>
          <w:rStyle w:val="Code"/>
        </w:rPr>
        <w:t>=</w:t>
      </w:r>
      <w:r>
        <w:rPr>
          <w:rStyle w:val="Codevalue"/>
        </w:rPr>
        <w:t>"name"</w:t>
      </w:r>
      <w:r>
        <w:rPr>
          <w:rStyle w:val="Code"/>
        </w:rPr>
        <w:t>/&gt;&lt;/gap&gt;</w:t>
      </w:r>
    </w:p>
    <w:p w14:paraId="0B013711" w14:textId="77777777">
      <w:pPr>
        <w:pStyle w:val="Cmsor3"/>
      </w:pPr>
      <w:bookmarkStart w:id="587" w:name="_bj792jk8c4tv" w:colFirst="0" w:colLast="0"/>
      <w:bookmarkStart w:id="588" w:name="_Ref43981711"/>
      <w:bookmarkStart w:id="589" w:name="_Toc243900327"/>
      <w:bookmarkEnd w:id="587"/>
      <w:r>
        <w:t>Managing massive lacunae</w:t>
      </w:r>
      <w:bookmarkEnd w:id="588"/>
      <w:bookmarkEnd w:id="589"/>
    </w:p>
    <w:p w14:paraId="48AA4837" w14:textId="77777777">
      <w:pPr>
        <w:rPr>
          <w:lang w:eastAsia="en-US" w:bidi="ar-SA"/>
        </w:rPr>
      </w:pPr>
      <w:r>
        <w:rPr>
          <w:lang w:eastAsia="en-US" w:bidi="ar-SA"/>
        </w:rPr>
        <w:t>The preferred method for dealing with lacunae extending over more than one line of text is to reconstruct the lost line beginnings and populate each reconstructed line with an inline lacuna as per §</w:t>
      </w:r>
      <w:r>
        <w:rPr>
          <w:lang w:eastAsia="en-US" w:bidi="ar-SA"/>
        </w:rPr>
        <w:fldChar w:fldCharType="begin"/>
      </w:r>
      <w:r>
        <w:rPr>
          <w:lang w:eastAsia="en-US" w:bidi="ar-SA"/>
        </w:rPr>
        <w:instrText xml:space="preserve"> REF _Ref228368995 \r \h </w:instrText>
      </w:r>
      <w:r>
        <w:rPr>
          <w:lang w:eastAsia="en-US" w:bidi="ar-SA"/>
        </w:rPr>
      </w:r>
      <w:r>
        <w:rPr>
          <w:lang w:eastAsia="en-US" w:bidi="ar-SA"/>
        </w:rPr>
        <w:fldChar w:fldCharType="separate"/>
      </w:r>
      <w:r>
        <w:rPr>
          <w:lang w:eastAsia="en-US" w:bidi="ar-SA"/>
        </w:rPr>
        <w:t>6.5.3.1</w:t>
      </w:r>
      <w:r>
        <w:rPr>
          <w:lang w:eastAsia="en-US" w:bidi="ar-SA"/>
        </w:rPr>
        <w:fldChar w:fldCharType="end"/>
      </w:r>
      <w:r>
        <w:rPr>
          <w:lang w:eastAsia="en-US" w:bidi="ar-SA"/>
        </w:rPr>
        <w:t xml:space="preserve">. However, extensive lacunae can make it impossible or at least unfeasible to fully reconstruct the extrinsic and/or intrinsic structure of a text. When this happens, we speak of a massive lacuna. </w:t>
      </w:r>
    </w:p>
    <w:p w14:paraId="47A132EF" w14:textId="77777777">
      <w:pPr>
        <w:pStyle w:val="Normlbehzs"/>
        <w:rPr>
          <w:lang w:eastAsia="en-US" w:bidi="ar-SA"/>
        </w:rPr>
      </w:pPr>
      <w:r>
        <w:rPr>
          <w:lang w:eastAsia="en-US" w:bidi="ar-SA"/>
        </w:rPr>
        <w:t>Around massive lacunae (i.e. at the points where a massive lacuna meets the extant text), we must still create the essential minimum of structural elements for any text that is present in the edition, but the lacuna itself will in this case be encoded outside the usual text containers and does not need to be divided into parts corresponding to lost lines or other units of extrinsic structure. Importantly, however, some text can often be restored (</w:t>
      </w:r>
      <w:r>
        <w:t>§</w:t>
      </w:r>
      <w:r>
        <w:fldChar w:fldCharType="begin"/>
      </w:r>
      <w:r>
        <w:instrText xml:space="preserve"> REF _Ref228459751 \r \h </w:instrText>
      </w:r>
      <w:r>
        <w:fldChar w:fldCharType="separate"/>
      </w:r>
      <w:r>
        <w:t>6.4</w:t>
      </w:r>
      <w:r>
        <w:fldChar w:fldCharType="end"/>
      </w:r>
      <w:r>
        <w:rPr>
          <w:lang w:eastAsia="en-US" w:bidi="ar-SA"/>
        </w:rPr>
        <w:t xml:space="preserve">) at the edge of a massive lacuna, such as the end of a word at the start of the lacuna, or the beginning of a word at the end of the lacuna. Restored text is no less available in the edition than extant text </w:t>
      </w:r>
      <w:r>
        <w:rPr>
          <w:lang w:eastAsia="en-US" w:bidi="ar-SA"/>
        </w:rPr>
        <w:lastRenderedPageBreak/>
        <w:t xml:space="preserve">read from the source, so any applicable structural elements must also be present for restored text. The basic framework for encoding a massive lacuna is illustrated in </w:t>
      </w:r>
      <w:r>
        <w:rPr>
          <w:lang w:eastAsia="en-US" w:bidi="ar-SA"/>
        </w:rPr>
        <w:fldChar w:fldCharType="begin"/>
      </w:r>
      <w:r>
        <w:rPr>
          <w:lang w:eastAsia="en-US" w:bidi="ar-SA"/>
        </w:rPr>
        <w:instrText xml:space="preserve"> REF _Ref228352584 \h </w:instrText>
      </w:r>
      <w:r>
        <w:rPr>
          <w:lang w:eastAsia="en-US" w:bidi="ar-SA"/>
        </w:rPr>
      </w:r>
      <w:r>
        <w:rPr>
          <w:lang w:eastAsia="en-US" w:bidi="ar-SA"/>
        </w:rPr>
        <w:fldChar w:fldCharType="separate"/>
      </w:r>
      <w:r>
        <w:t xml:space="preserve">Exhibit </w:t>
      </w:r>
      <w:r>
        <w:rPr>
          <w:noProof/>
        </w:rPr>
        <w:t>6.5</w:t>
      </w:r>
      <w:r>
        <w:t>.</w:t>
      </w:r>
      <w:r>
        <w:rPr>
          <w:noProof/>
        </w:rPr>
        <w:t>F</w:t>
      </w:r>
      <w:r>
        <w:rPr>
          <w:lang w:eastAsia="en-US" w:bidi="ar-SA"/>
        </w:rPr>
        <w:fldChar w:fldCharType="end"/>
      </w:r>
      <w:r>
        <w:rPr>
          <w:lang w:eastAsia="en-US" w:bidi="ar-SA"/>
        </w:rPr>
        <w:t>, which shows a massive medial lacuna (i.e. one in the middle of a text). The part of the table up to the lacuna is applicable to all situations where text is available before a lacuna, and the part of the table from the lacuna onward is applicable to all situations where text is available after a lacuna.</w:t>
      </w:r>
    </w:p>
    <w:p w14:paraId="3FEC8D90" w14:textId="167C5C51">
      <w:pPr>
        <w:pStyle w:val="Normlbehzs"/>
        <w:rPr>
          <w:lang w:eastAsia="en-US" w:bidi="ar-SA"/>
        </w:rPr>
      </w:pPr>
      <w:r>
        <w:rPr>
          <w:lang w:eastAsia="en-US" w:bidi="ar-SA"/>
        </w:rPr>
        <w:t>Throughout this section, ‘available text’ includes both extant text (readings) and supplied text (restorations), while ‘unavailable text’ refers to text that is lost and not restored.</w:t>
      </w:r>
    </w:p>
    <w:tbl>
      <w:tblPr>
        <w:tblStyle w:val="FigureTable"/>
        <w:tblW w:w="0" w:type="auto"/>
        <w:tblLook w:val="04A0" w:firstRow="1" w:lastRow="0" w:firstColumn="1" w:lastColumn="0" w:noHBand="0" w:noVBand="1"/>
      </w:tblPr>
      <w:tblGrid>
        <w:gridCol w:w="2263"/>
        <w:gridCol w:w="3682"/>
        <w:gridCol w:w="3683"/>
      </w:tblGrid>
      <w:tr w14:paraId="1AD633AE"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3"/>
          </w:tcPr>
          <w:p w14:paraId="70FFA7D3" w14:textId="77777777">
            <w:pPr>
              <w:pStyle w:val="Kpalrs"/>
              <w:rPr>
                <w:lang w:eastAsia="en-US" w:bidi="ar-SA"/>
              </w:rPr>
            </w:pPr>
            <w:bookmarkStart w:id="590" w:name="_Ref228352584"/>
            <w:r>
              <w:t xml:space="preserve">Exhibit </w:t>
            </w:r>
            <w:fldSimple w:instr=" STYLEREF 2 \s ">
              <w:r>
                <w:rPr>
                  <w:noProof/>
                </w:rPr>
                <w:t>6.5</w:t>
              </w:r>
            </w:fldSimple>
            <w:r>
              <w:t>.</w:t>
            </w:r>
            <w:fldSimple w:instr=" SEQ Exhibit \* ALPHABETIC \s 2 ">
              <w:r>
                <w:rPr>
                  <w:noProof/>
                </w:rPr>
                <w:t>F</w:t>
              </w:r>
            </w:fldSimple>
            <w:bookmarkEnd w:id="590"/>
            <w:r>
              <w:t>: structure around a massive lacuna</w:t>
            </w:r>
          </w:p>
        </w:tc>
      </w:tr>
      <w:tr w14:paraId="4B31028C" w14:textId="77777777">
        <w:tc>
          <w:tcPr>
            <w:tcW w:w="2263" w:type="dxa"/>
            <w:tcBorders>
              <w:right w:val="single" w:sz="4" w:space="0" w:color="auto"/>
            </w:tcBorders>
            <w:shd w:val="clear" w:color="auto" w:fill="F0F7D7"/>
          </w:tcPr>
          <w:p w14:paraId="26894E96" w14:textId="77777777">
            <w:pPr>
              <w:jc w:val="right"/>
              <w:rPr>
                <w:b/>
                <w:bCs/>
                <w:lang w:eastAsia="en-US" w:bidi="ar-SA"/>
              </w:rPr>
            </w:pPr>
          </w:p>
        </w:tc>
        <w:tc>
          <w:tcPr>
            <w:tcW w:w="3682" w:type="dxa"/>
            <w:tcBorders>
              <w:left w:val="single" w:sz="4" w:space="0" w:color="auto"/>
              <w:right w:val="single" w:sz="4" w:space="0" w:color="auto"/>
            </w:tcBorders>
            <w:shd w:val="clear" w:color="auto" w:fill="F0F7D7"/>
          </w:tcPr>
          <w:p w14:paraId="7C98A90E" w14:textId="77777777">
            <w:pPr>
              <w:jc w:val="center"/>
              <w:rPr>
                <w:b/>
                <w:bCs/>
                <w:lang w:eastAsia="en-US" w:bidi="ar-SA"/>
              </w:rPr>
            </w:pPr>
            <w:r>
              <w:rPr>
                <w:b/>
                <w:bCs/>
                <w:lang w:eastAsia="en-US" w:bidi="ar-SA"/>
              </w:rPr>
              <w:t>intrinsic structure</w:t>
            </w:r>
          </w:p>
        </w:tc>
        <w:tc>
          <w:tcPr>
            <w:tcW w:w="3683" w:type="dxa"/>
            <w:tcBorders>
              <w:left w:val="single" w:sz="4" w:space="0" w:color="auto"/>
            </w:tcBorders>
            <w:shd w:val="clear" w:color="auto" w:fill="F0F7D7"/>
          </w:tcPr>
          <w:p w14:paraId="079A72C1" w14:textId="77777777">
            <w:pPr>
              <w:jc w:val="center"/>
              <w:rPr>
                <w:b/>
                <w:bCs/>
                <w:lang w:eastAsia="en-US" w:bidi="ar-SA"/>
              </w:rPr>
            </w:pPr>
            <w:r>
              <w:rPr>
                <w:b/>
                <w:bCs/>
                <w:lang w:eastAsia="en-US" w:bidi="ar-SA"/>
              </w:rPr>
              <w:t>extrinsic structure</w:t>
            </w:r>
          </w:p>
        </w:tc>
      </w:tr>
      <w:tr w14:paraId="7589CF49" w14:textId="77777777">
        <w:tc>
          <w:tcPr>
            <w:tcW w:w="2263" w:type="dxa"/>
            <w:tcBorders>
              <w:right w:val="single" w:sz="4" w:space="0" w:color="auto"/>
            </w:tcBorders>
            <w:shd w:val="clear" w:color="auto" w:fill="FFFF00"/>
          </w:tcPr>
          <w:p w14:paraId="323B83AF" w14:textId="77777777">
            <w:pPr>
              <w:jc w:val="right"/>
              <w:rPr>
                <w:b/>
                <w:bCs/>
                <w:lang w:eastAsia="en-US" w:bidi="ar-SA"/>
              </w:rPr>
            </w:pPr>
            <w:r>
              <w:rPr>
                <w:b/>
                <w:bCs/>
                <w:lang w:eastAsia="en-US" w:bidi="ar-SA"/>
              </w:rPr>
              <w:t>structure start</w:t>
            </w:r>
          </w:p>
        </w:tc>
        <w:tc>
          <w:tcPr>
            <w:tcW w:w="3682" w:type="dxa"/>
            <w:tcBorders>
              <w:left w:val="single" w:sz="4" w:space="0" w:color="auto"/>
              <w:right w:val="single" w:sz="4" w:space="0" w:color="auto"/>
            </w:tcBorders>
          </w:tcPr>
          <w:p w14:paraId="3037ADB6" w14:textId="77777777">
            <w:pPr>
              <w:jc w:val="center"/>
              <w:rPr>
                <w:lang w:eastAsia="en-US" w:bidi="ar-SA"/>
              </w:rPr>
            </w:pPr>
            <w:r>
              <w:rPr>
                <w:rStyle w:val="Code"/>
                <w:lang w:eastAsia="en-US" w:bidi="ar-SA"/>
              </w:rPr>
              <w:t>&lt;p</w:t>
            </w:r>
            <w:r>
              <w:rPr>
                <w:rStyle w:val="Codeattribute"/>
              </w:rPr>
              <w:t xml:space="preserve"> part</w:t>
            </w:r>
            <w:r>
              <w:rPr>
                <w:rStyle w:val="Code"/>
              </w:rPr>
              <w:t>=</w:t>
            </w:r>
            <w:r>
              <w:rPr>
                <w:rStyle w:val="Codevalue"/>
              </w:rPr>
              <w:t>"I"</w:t>
            </w:r>
            <w:r>
              <w:rPr>
                <w:rStyle w:val="Code"/>
                <w:lang w:eastAsia="en-US" w:bidi="ar-SA"/>
              </w:rPr>
              <w:t>&gt;</w:t>
            </w:r>
          </w:p>
        </w:tc>
        <w:tc>
          <w:tcPr>
            <w:tcW w:w="3683" w:type="dxa"/>
            <w:tcBorders>
              <w:left w:val="single" w:sz="4" w:space="0" w:color="auto"/>
            </w:tcBorders>
          </w:tcPr>
          <w:p w14:paraId="630FF07D" w14:textId="77777777">
            <w:pPr>
              <w:jc w:val="center"/>
              <w:rPr>
                <w:lang w:eastAsia="en-US" w:bidi="ar-SA"/>
              </w:rPr>
            </w:pPr>
            <w:r>
              <w:rPr>
                <w:rStyle w:val="Code"/>
                <w:lang w:eastAsia="en-US" w:bidi="ar-SA"/>
              </w:rPr>
              <w:t>&lt;lb</w:t>
            </w:r>
            <w:r>
              <w:rPr>
                <w:rStyle w:val="Codeattribute"/>
              </w:rPr>
              <w:t xml:space="preserve"> n</w:t>
            </w:r>
            <w:r>
              <w:rPr>
                <w:rStyle w:val="Code"/>
              </w:rPr>
              <w:t>=</w:t>
            </w:r>
            <w:r>
              <w:rPr>
                <w:rStyle w:val="Codevalue"/>
              </w:rPr>
              <w:t>"x"/</w:t>
            </w:r>
            <w:r>
              <w:rPr>
                <w:rStyle w:val="Code"/>
                <w:lang w:eastAsia="en-US" w:bidi="ar-SA"/>
              </w:rPr>
              <w:t>&gt;</w:t>
            </w:r>
          </w:p>
        </w:tc>
      </w:tr>
      <w:tr w14:paraId="11AA1106" w14:textId="77777777">
        <w:tc>
          <w:tcPr>
            <w:tcW w:w="2263" w:type="dxa"/>
            <w:tcBorders>
              <w:right w:val="single" w:sz="4" w:space="0" w:color="auto"/>
            </w:tcBorders>
            <w:shd w:val="clear" w:color="auto" w:fill="FFFFFF" w:themeFill="background1"/>
          </w:tcPr>
          <w:p w14:paraId="42E22898" w14:textId="77777777">
            <w:pPr>
              <w:jc w:val="right"/>
              <w:rPr>
                <w:b/>
                <w:bCs/>
                <w:lang w:eastAsia="en-US" w:bidi="ar-SA"/>
              </w:rPr>
            </w:pPr>
            <w:r>
              <w:rPr>
                <w:b/>
                <w:bCs/>
                <w:lang w:eastAsia="en-US" w:bidi="ar-SA"/>
              </w:rPr>
              <w:t>extant text</w:t>
            </w:r>
          </w:p>
        </w:tc>
        <w:tc>
          <w:tcPr>
            <w:tcW w:w="7365" w:type="dxa"/>
            <w:gridSpan w:val="2"/>
            <w:tcBorders>
              <w:left w:val="single" w:sz="4" w:space="0" w:color="auto"/>
            </w:tcBorders>
          </w:tcPr>
          <w:p w14:paraId="793C1978" w14:textId="77777777">
            <w:pPr>
              <w:jc w:val="center"/>
              <w:rPr>
                <w:rStyle w:val="Code"/>
                <w:lang w:eastAsia="en-US" w:bidi="ar-SA"/>
              </w:rPr>
            </w:pPr>
            <w:proofErr w:type="spellStart"/>
            <w:r>
              <w:rPr>
                <w:lang w:eastAsia="en-US" w:bidi="ar-SA"/>
              </w:rPr>
              <w:t>abc</w:t>
            </w:r>
            <w:proofErr w:type="spellEnd"/>
          </w:p>
        </w:tc>
      </w:tr>
      <w:tr w14:paraId="5A34B3F9" w14:textId="77777777">
        <w:tc>
          <w:tcPr>
            <w:tcW w:w="2263" w:type="dxa"/>
            <w:tcBorders>
              <w:right w:val="single" w:sz="4" w:space="0" w:color="auto"/>
            </w:tcBorders>
            <w:shd w:val="clear" w:color="auto" w:fill="D9D9D9" w:themeFill="background1" w:themeFillShade="D9"/>
          </w:tcPr>
          <w:p w14:paraId="445BD38B" w14:textId="77777777">
            <w:pPr>
              <w:jc w:val="right"/>
              <w:rPr>
                <w:b/>
                <w:bCs/>
                <w:lang w:eastAsia="en-US" w:bidi="ar-SA"/>
              </w:rPr>
            </w:pPr>
            <w:r>
              <w:rPr>
                <w:b/>
                <w:bCs/>
                <w:lang w:eastAsia="en-US" w:bidi="ar-SA"/>
              </w:rPr>
              <w:t>restored text</w:t>
            </w:r>
          </w:p>
        </w:tc>
        <w:tc>
          <w:tcPr>
            <w:tcW w:w="7365" w:type="dxa"/>
            <w:gridSpan w:val="2"/>
            <w:tcBorders>
              <w:left w:val="single" w:sz="4" w:space="0" w:color="auto"/>
            </w:tcBorders>
          </w:tcPr>
          <w:p w14:paraId="11CF5676" w14:textId="77777777">
            <w:pPr>
              <w:jc w:val="center"/>
              <w:rPr>
                <w:lang w:eastAsia="en-US" w:bidi="ar-SA"/>
              </w:rPr>
            </w:pPr>
            <w:r>
              <w:rPr>
                <w:rStyle w:val="Code"/>
                <w:lang w:eastAsia="en-US" w:bidi="ar-SA"/>
              </w:rPr>
              <w:t>&lt;supplied&gt;</w:t>
            </w:r>
            <w:r>
              <w:rPr>
                <w:lang w:eastAsia="en-US" w:bidi="ar-SA"/>
              </w:rPr>
              <w:t>def</w:t>
            </w:r>
            <w:r>
              <w:rPr>
                <w:rStyle w:val="Code"/>
                <w:lang w:eastAsia="en-US" w:bidi="ar-SA"/>
              </w:rPr>
              <w:t>&lt;/supplied&gt;</w:t>
            </w:r>
          </w:p>
        </w:tc>
      </w:tr>
      <w:tr w14:paraId="316B0938" w14:textId="77777777">
        <w:tc>
          <w:tcPr>
            <w:tcW w:w="2263" w:type="dxa"/>
            <w:tcBorders>
              <w:right w:val="single" w:sz="4" w:space="0" w:color="auto"/>
            </w:tcBorders>
            <w:shd w:val="clear" w:color="auto" w:fill="FFFF00"/>
          </w:tcPr>
          <w:p w14:paraId="32E93FC2" w14:textId="77777777">
            <w:pPr>
              <w:jc w:val="right"/>
              <w:rPr>
                <w:b/>
                <w:bCs/>
                <w:lang w:eastAsia="en-US" w:bidi="ar-SA"/>
              </w:rPr>
            </w:pPr>
            <w:r>
              <w:rPr>
                <w:b/>
                <w:bCs/>
                <w:lang w:eastAsia="en-US" w:bidi="ar-SA"/>
              </w:rPr>
              <w:t>structure end</w:t>
            </w:r>
          </w:p>
        </w:tc>
        <w:tc>
          <w:tcPr>
            <w:tcW w:w="3682" w:type="dxa"/>
            <w:tcBorders>
              <w:left w:val="single" w:sz="4" w:space="0" w:color="auto"/>
              <w:right w:val="single" w:sz="4" w:space="0" w:color="auto"/>
            </w:tcBorders>
          </w:tcPr>
          <w:p w14:paraId="393FC952" w14:textId="77777777">
            <w:pPr>
              <w:jc w:val="center"/>
              <w:rPr>
                <w:lang w:eastAsia="en-US" w:bidi="ar-SA"/>
              </w:rPr>
            </w:pPr>
            <w:r>
              <w:rPr>
                <w:rStyle w:val="Code"/>
                <w:lang w:eastAsia="en-US" w:bidi="ar-SA"/>
              </w:rPr>
              <w:t>&lt;/p&gt;</w:t>
            </w:r>
          </w:p>
        </w:tc>
        <w:tc>
          <w:tcPr>
            <w:tcW w:w="3683" w:type="dxa"/>
            <w:tcBorders>
              <w:left w:val="single" w:sz="4" w:space="0" w:color="auto"/>
            </w:tcBorders>
          </w:tcPr>
          <w:p w14:paraId="5F1B3271" w14:textId="77777777">
            <w:pPr>
              <w:jc w:val="center"/>
              <w:rPr>
                <w:lang w:eastAsia="en-US" w:bidi="ar-SA"/>
              </w:rPr>
            </w:pPr>
          </w:p>
        </w:tc>
      </w:tr>
      <w:tr w14:paraId="13C7768E" w14:textId="77777777">
        <w:tc>
          <w:tcPr>
            <w:tcW w:w="2263" w:type="dxa"/>
            <w:tcBorders>
              <w:right w:val="single" w:sz="4" w:space="0" w:color="auto"/>
            </w:tcBorders>
            <w:shd w:val="clear" w:color="auto" w:fill="000000" w:themeFill="text1"/>
          </w:tcPr>
          <w:p w14:paraId="724D7FF5" w14:textId="77777777">
            <w:pPr>
              <w:jc w:val="right"/>
              <w:rPr>
                <w:b/>
                <w:bCs/>
                <w:lang w:eastAsia="en-US" w:bidi="ar-SA"/>
              </w:rPr>
            </w:pPr>
            <w:r>
              <w:rPr>
                <w:b/>
                <w:bCs/>
                <w:lang w:eastAsia="en-US" w:bidi="ar-SA"/>
              </w:rPr>
              <w:t>unavailable text</w:t>
            </w:r>
          </w:p>
        </w:tc>
        <w:tc>
          <w:tcPr>
            <w:tcW w:w="7365" w:type="dxa"/>
            <w:gridSpan w:val="2"/>
            <w:tcBorders>
              <w:left w:val="single" w:sz="4" w:space="0" w:color="auto"/>
            </w:tcBorders>
          </w:tcPr>
          <w:p w14:paraId="2232D94F" w14:textId="77777777">
            <w:pPr>
              <w:jc w:val="center"/>
              <w:rPr>
                <w:lang w:eastAsia="en-US" w:bidi="ar-SA"/>
              </w:rPr>
            </w:pPr>
            <w:r>
              <w:rPr>
                <w:rStyle w:val="Code"/>
                <w:lang w:eastAsia="en-US" w:bidi="ar-SA"/>
              </w:rPr>
              <w:t>&lt;g</w:t>
            </w:r>
            <w:r>
              <w:rPr>
                <w:rStyle w:val="Code"/>
              </w:rPr>
              <w:t>a</w:t>
            </w:r>
            <w:r>
              <w:rPr>
                <w:rStyle w:val="Code"/>
                <w:lang w:eastAsia="en-US" w:bidi="ar-SA"/>
              </w:rPr>
              <w:t xml:space="preserve">p </w:t>
            </w:r>
            <w:r>
              <w:rPr>
                <w:rStyle w:val="Code"/>
              </w:rPr>
              <w:t>...</w:t>
            </w:r>
            <w:r>
              <w:rPr>
                <w:rStyle w:val="Code"/>
                <w:lang w:eastAsia="en-US" w:bidi="ar-SA"/>
              </w:rPr>
              <w:t>/&gt;</w:t>
            </w:r>
          </w:p>
        </w:tc>
      </w:tr>
      <w:tr w14:paraId="458A9890" w14:textId="77777777">
        <w:tc>
          <w:tcPr>
            <w:tcW w:w="2263" w:type="dxa"/>
            <w:tcBorders>
              <w:right w:val="single" w:sz="4" w:space="0" w:color="auto"/>
            </w:tcBorders>
            <w:shd w:val="clear" w:color="auto" w:fill="FFFF00"/>
          </w:tcPr>
          <w:p w14:paraId="661BEAAB" w14:textId="77777777">
            <w:pPr>
              <w:jc w:val="right"/>
              <w:rPr>
                <w:b/>
                <w:bCs/>
                <w:lang w:eastAsia="en-US" w:bidi="ar-SA"/>
              </w:rPr>
            </w:pPr>
            <w:r>
              <w:rPr>
                <w:b/>
                <w:bCs/>
                <w:lang w:eastAsia="en-US" w:bidi="ar-SA"/>
              </w:rPr>
              <w:t>structure start</w:t>
            </w:r>
          </w:p>
        </w:tc>
        <w:tc>
          <w:tcPr>
            <w:tcW w:w="3682" w:type="dxa"/>
            <w:tcBorders>
              <w:left w:val="single" w:sz="4" w:space="0" w:color="auto"/>
              <w:right w:val="single" w:sz="4" w:space="0" w:color="auto"/>
            </w:tcBorders>
          </w:tcPr>
          <w:p w14:paraId="58068E17" w14:textId="77777777">
            <w:pPr>
              <w:jc w:val="center"/>
              <w:rPr>
                <w:rStyle w:val="Code"/>
                <w:lang w:eastAsia="en-US" w:bidi="ar-SA"/>
              </w:rPr>
            </w:pPr>
            <w:r>
              <w:rPr>
                <w:rStyle w:val="Code"/>
                <w:lang w:eastAsia="en-US" w:bidi="ar-SA"/>
              </w:rPr>
              <w:t>&lt;p</w:t>
            </w:r>
            <w:r>
              <w:rPr>
                <w:rStyle w:val="Codeattribute"/>
              </w:rPr>
              <w:t xml:space="preserve"> part</w:t>
            </w:r>
            <w:r>
              <w:rPr>
                <w:rStyle w:val="Code"/>
              </w:rPr>
              <w:t>=</w:t>
            </w:r>
            <w:r>
              <w:rPr>
                <w:rStyle w:val="Codevalue"/>
              </w:rPr>
              <w:t>"F"</w:t>
            </w:r>
            <w:r>
              <w:rPr>
                <w:rStyle w:val="Code"/>
                <w:lang w:eastAsia="en-US" w:bidi="ar-SA"/>
              </w:rPr>
              <w:t>&gt;</w:t>
            </w:r>
          </w:p>
        </w:tc>
        <w:tc>
          <w:tcPr>
            <w:tcW w:w="3683" w:type="dxa"/>
            <w:tcBorders>
              <w:left w:val="single" w:sz="4" w:space="0" w:color="auto"/>
            </w:tcBorders>
          </w:tcPr>
          <w:p w14:paraId="0E85FEBF" w14:textId="77777777">
            <w:pPr>
              <w:jc w:val="center"/>
              <w:rPr>
                <w:rStyle w:val="Code"/>
                <w:lang w:eastAsia="en-US" w:bidi="ar-SA"/>
              </w:rPr>
            </w:pPr>
            <w:r>
              <w:rPr>
                <w:rStyle w:val="Code"/>
                <w:lang w:eastAsia="en-US" w:bidi="ar-SA"/>
              </w:rPr>
              <w:t>&lt;lb</w:t>
            </w:r>
            <w:r>
              <w:rPr>
                <w:rStyle w:val="Codeattribute"/>
              </w:rPr>
              <w:t xml:space="preserve"> n</w:t>
            </w:r>
            <w:r>
              <w:rPr>
                <w:rStyle w:val="Code"/>
              </w:rPr>
              <w:t>=</w:t>
            </w:r>
            <w:r>
              <w:rPr>
                <w:rStyle w:val="Codevalue"/>
              </w:rPr>
              <w:t>"y"/</w:t>
            </w:r>
            <w:r>
              <w:rPr>
                <w:rStyle w:val="Code"/>
                <w:lang w:eastAsia="en-US" w:bidi="ar-SA"/>
              </w:rPr>
              <w:t>&gt;</w:t>
            </w:r>
          </w:p>
        </w:tc>
      </w:tr>
      <w:tr w14:paraId="46449F2E" w14:textId="77777777">
        <w:tc>
          <w:tcPr>
            <w:tcW w:w="2263" w:type="dxa"/>
            <w:tcBorders>
              <w:right w:val="single" w:sz="4" w:space="0" w:color="auto"/>
            </w:tcBorders>
            <w:shd w:val="clear" w:color="auto" w:fill="D9D9D9" w:themeFill="background1" w:themeFillShade="D9"/>
          </w:tcPr>
          <w:p w14:paraId="710BA879" w14:textId="77777777">
            <w:pPr>
              <w:jc w:val="right"/>
              <w:rPr>
                <w:b/>
                <w:bCs/>
                <w:lang w:eastAsia="en-US" w:bidi="ar-SA"/>
              </w:rPr>
            </w:pPr>
            <w:r>
              <w:rPr>
                <w:b/>
                <w:bCs/>
                <w:lang w:eastAsia="en-US" w:bidi="ar-SA"/>
              </w:rPr>
              <w:t>restored text</w:t>
            </w:r>
          </w:p>
        </w:tc>
        <w:tc>
          <w:tcPr>
            <w:tcW w:w="7365" w:type="dxa"/>
            <w:gridSpan w:val="2"/>
            <w:tcBorders>
              <w:left w:val="single" w:sz="4" w:space="0" w:color="auto"/>
            </w:tcBorders>
          </w:tcPr>
          <w:p w14:paraId="674B13D4" w14:textId="77777777">
            <w:pPr>
              <w:jc w:val="center"/>
              <w:rPr>
                <w:lang w:eastAsia="en-US" w:bidi="ar-SA"/>
              </w:rPr>
            </w:pPr>
            <w:r>
              <w:rPr>
                <w:rStyle w:val="Code"/>
                <w:lang w:eastAsia="en-US" w:bidi="ar-SA"/>
              </w:rPr>
              <w:t>&lt;supplied&gt;</w:t>
            </w:r>
            <w:proofErr w:type="spellStart"/>
            <w:r>
              <w:t>uvw</w:t>
            </w:r>
            <w:proofErr w:type="spellEnd"/>
            <w:r>
              <w:rPr>
                <w:rStyle w:val="Code"/>
                <w:lang w:eastAsia="en-US" w:bidi="ar-SA"/>
              </w:rPr>
              <w:t>&lt;/supplied&gt;</w:t>
            </w:r>
          </w:p>
        </w:tc>
      </w:tr>
      <w:tr w14:paraId="3059D56A" w14:textId="77777777">
        <w:tc>
          <w:tcPr>
            <w:tcW w:w="2263" w:type="dxa"/>
            <w:tcBorders>
              <w:right w:val="single" w:sz="4" w:space="0" w:color="auto"/>
            </w:tcBorders>
            <w:shd w:val="clear" w:color="auto" w:fill="FFFFFF" w:themeFill="background1"/>
          </w:tcPr>
          <w:p w14:paraId="519B8884" w14:textId="77777777">
            <w:pPr>
              <w:jc w:val="right"/>
              <w:rPr>
                <w:b/>
                <w:bCs/>
                <w:lang w:eastAsia="en-US" w:bidi="ar-SA"/>
              </w:rPr>
            </w:pPr>
            <w:r>
              <w:rPr>
                <w:b/>
                <w:bCs/>
                <w:lang w:eastAsia="en-US" w:bidi="ar-SA"/>
              </w:rPr>
              <w:t>extant text</w:t>
            </w:r>
          </w:p>
        </w:tc>
        <w:tc>
          <w:tcPr>
            <w:tcW w:w="7365" w:type="dxa"/>
            <w:gridSpan w:val="2"/>
            <w:tcBorders>
              <w:left w:val="single" w:sz="4" w:space="0" w:color="auto"/>
            </w:tcBorders>
          </w:tcPr>
          <w:p w14:paraId="56D123DE" w14:textId="77777777">
            <w:pPr>
              <w:jc w:val="center"/>
              <w:rPr>
                <w:lang w:eastAsia="en-US" w:bidi="ar-SA"/>
              </w:rPr>
            </w:pPr>
            <w:proofErr w:type="spellStart"/>
            <w:r>
              <w:rPr>
                <w:lang w:eastAsia="en-US" w:bidi="ar-SA"/>
              </w:rPr>
              <w:t>xyz</w:t>
            </w:r>
            <w:proofErr w:type="spellEnd"/>
          </w:p>
        </w:tc>
      </w:tr>
      <w:tr w14:paraId="5E1018D8" w14:textId="77777777">
        <w:tc>
          <w:tcPr>
            <w:tcW w:w="2263" w:type="dxa"/>
            <w:tcBorders>
              <w:right w:val="single" w:sz="4" w:space="0" w:color="auto"/>
            </w:tcBorders>
            <w:shd w:val="clear" w:color="auto" w:fill="FFFF00"/>
          </w:tcPr>
          <w:p w14:paraId="015D0E37" w14:textId="77777777">
            <w:pPr>
              <w:jc w:val="right"/>
              <w:rPr>
                <w:b/>
                <w:bCs/>
                <w:lang w:eastAsia="en-US" w:bidi="ar-SA"/>
              </w:rPr>
            </w:pPr>
            <w:r>
              <w:rPr>
                <w:b/>
                <w:bCs/>
                <w:lang w:eastAsia="en-US" w:bidi="ar-SA"/>
              </w:rPr>
              <w:t>structure end</w:t>
            </w:r>
          </w:p>
        </w:tc>
        <w:tc>
          <w:tcPr>
            <w:tcW w:w="3682" w:type="dxa"/>
            <w:tcBorders>
              <w:left w:val="single" w:sz="4" w:space="0" w:color="auto"/>
              <w:right w:val="single" w:sz="4" w:space="0" w:color="auto"/>
            </w:tcBorders>
          </w:tcPr>
          <w:p w14:paraId="69F70B20" w14:textId="77777777">
            <w:pPr>
              <w:jc w:val="center"/>
              <w:rPr>
                <w:lang w:eastAsia="en-US" w:bidi="ar-SA"/>
              </w:rPr>
            </w:pPr>
            <w:r>
              <w:rPr>
                <w:rStyle w:val="Code"/>
                <w:lang w:eastAsia="en-US" w:bidi="ar-SA"/>
              </w:rPr>
              <w:t>&lt;/p&gt;</w:t>
            </w:r>
          </w:p>
        </w:tc>
        <w:tc>
          <w:tcPr>
            <w:tcW w:w="3683" w:type="dxa"/>
            <w:tcBorders>
              <w:left w:val="single" w:sz="4" w:space="0" w:color="auto"/>
            </w:tcBorders>
          </w:tcPr>
          <w:p w14:paraId="4572BED7" w14:textId="77777777">
            <w:pPr>
              <w:jc w:val="center"/>
              <w:rPr>
                <w:lang w:eastAsia="en-US" w:bidi="ar-SA"/>
              </w:rPr>
            </w:pPr>
          </w:p>
        </w:tc>
      </w:tr>
    </w:tbl>
    <w:p w14:paraId="54FFFA92" w14:textId="77777777">
      <w:pPr>
        <w:pStyle w:val="Cmsor4"/>
      </w:pPr>
      <w:bookmarkStart w:id="591" w:name="_Ref228452369"/>
      <w:r>
        <w:t>Encoding a massive lacuna</w:t>
      </w:r>
    </w:p>
    <w:p w14:paraId="7B3C85C2" w14:textId="77777777">
      <w:pPr>
        <w:pStyle w:val="Lista"/>
        <w:rPr>
          <w:lang w:eastAsia="en-US" w:bidi="ar-SA"/>
        </w:rPr>
      </w:pPr>
      <w:r>
        <w:rPr>
          <w:lang w:eastAsia="en-US" w:bidi="ar-SA"/>
        </w:rPr>
        <w:t xml:space="preserve">the massive lacuna itself must usually be encoded with a single </w:t>
      </w:r>
      <w:r>
        <w:rPr>
          <w:rStyle w:val="Code"/>
        </w:rPr>
        <w:t>&lt;gap/&gt;</w:t>
      </w:r>
      <w:r>
        <w:t xml:space="preserve"> element for a multiline lacuna as per §</w:t>
      </w:r>
      <w:r>
        <w:fldChar w:fldCharType="begin"/>
      </w:r>
      <w:r>
        <w:instrText xml:space="preserve"> REF _Ref228349461 \r \h </w:instrText>
      </w:r>
      <w:r>
        <w:fldChar w:fldCharType="separate"/>
      </w:r>
      <w:r>
        <w:t>6.5.3.2</w:t>
      </w:r>
      <w:r>
        <w:fldChar w:fldCharType="end"/>
      </w:r>
      <w:r>
        <w:t>, with a known, estimated or unknown number of lines</w:t>
      </w:r>
    </w:p>
    <w:p w14:paraId="5BE451B2" w14:textId="77777777">
      <w:pPr>
        <w:pStyle w:val="Lista"/>
        <w:rPr>
          <w:lang w:eastAsia="en-US" w:bidi="ar-SA"/>
        </w:rPr>
      </w:pPr>
      <w:r>
        <w:rPr>
          <w:lang w:eastAsia="en-US" w:bidi="ar-SA"/>
        </w:rPr>
        <w:t xml:space="preserve">this </w:t>
      </w:r>
      <w:r>
        <w:rPr>
          <w:rStyle w:val="Code"/>
        </w:rPr>
        <w:t>&lt;gap/&gt;</w:t>
      </w:r>
      <w:r>
        <w:t xml:space="preserve"> element is to be placed, exceptionally, outside block-level text containers, so it will be a direct child of the edition division or (if present), a textpart division</w:t>
      </w:r>
    </w:p>
    <w:p w14:paraId="611EFAFF" w14:textId="77777777">
      <w:pPr>
        <w:pStyle w:val="Lista"/>
        <w:rPr>
          <w:lang w:eastAsia="en-US" w:bidi="ar-SA"/>
        </w:rPr>
      </w:pPr>
      <w:r>
        <w:t>the subsections below provide additional considerations for encoding an edition involving a massive lacuna, of which the following are indispensable:</w:t>
      </w:r>
    </w:p>
    <w:p w14:paraId="7C8FE099" w14:textId="77777777">
      <w:pPr>
        <w:pStyle w:val="Lista2"/>
        <w:rPr>
          <w:lang w:eastAsia="en-US" w:bidi="ar-SA"/>
        </w:rPr>
      </w:pPr>
      <w:r>
        <w:rPr>
          <w:lang w:eastAsia="en-US" w:bidi="ar-SA"/>
        </w:rPr>
        <w:t>for a massive final lacuna (i.e. where the end of an inscription is lost):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p>
    <w:p w14:paraId="36A8573A" w14:textId="77777777">
      <w:pPr>
        <w:pStyle w:val="Lista2"/>
        <w:rPr>
          <w:lang w:eastAsia="en-US" w:bidi="ar-SA"/>
        </w:rPr>
      </w:pPr>
      <w:r>
        <w:rPr>
          <w:lang w:eastAsia="en-US" w:bidi="ar-SA"/>
        </w:rPr>
        <w:t>for a massive initial lacuna (i.e. where the beginning of an inscription is lost):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p>
    <w:p w14:paraId="73271978" w14:textId="77777777">
      <w:pPr>
        <w:pStyle w:val="Lista2"/>
        <w:rPr>
          <w:lang w:eastAsia="en-US" w:bidi="ar-SA"/>
        </w:rPr>
      </w:pPr>
      <w:r>
        <w:rPr>
          <w:lang w:eastAsia="en-US" w:bidi="ar-SA"/>
        </w:rPr>
        <w:t>for a massive medial lacuna (i.e. where the middle of an inscription is lost):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p>
    <w:p w14:paraId="3E0902C9" w14:textId="77777777">
      <w:pPr>
        <w:pStyle w:val="Lista2"/>
        <w:rPr>
          <w:lang w:eastAsia="en-US" w:bidi="ar-SA"/>
        </w:rPr>
      </w:pPr>
      <w:r>
        <w:rPr>
          <w:lang w:eastAsia="en-US" w:bidi="ar-SA"/>
        </w:rPr>
        <w:t>for a massive bilateral lacuna (i.e. where the beginning and end of an inscription are both lost): §</w:t>
      </w:r>
      <w:r>
        <w:rPr>
          <w:lang w:eastAsia="en-US" w:bidi="ar-SA"/>
        </w:rPr>
        <w:fldChar w:fldCharType="begin"/>
      </w:r>
      <w:r>
        <w:rPr>
          <w:lang w:eastAsia="en-US" w:bidi="ar-SA"/>
        </w:rPr>
        <w:instrText xml:space="preserve"> REF _Ref228453546 \r \h </w:instrText>
      </w:r>
      <w:r>
        <w:rPr>
          <w:lang w:eastAsia="en-US" w:bidi="ar-SA"/>
        </w:rPr>
      </w:r>
      <w:r>
        <w:rPr>
          <w:lang w:eastAsia="en-US" w:bidi="ar-SA"/>
        </w:rPr>
        <w:fldChar w:fldCharType="separate"/>
      </w:r>
      <w:r>
        <w:rPr>
          <w:lang w:eastAsia="en-US" w:bidi="ar-SA"/>
        </w:rPr>
        <w:t>6.5.4.4</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_Ref228453535 \r \h </w:instrText>
      </w:r>
      <w:r>
        <w:rPr>
          <w:lang w:eastAsia="en-US" w:bidi="ar-SA"/>
        </w:rPr>
      </w:r>
      <w:r>
        <w:rPr>
          <w:lang w:eastAsia="en-US" w:bidi="ar-SA"/>
        </w:rPr>
        <w:fldChar w:fldCharType="separate"/>
      </w:r>
      <w:r>
        <w:rPr>
          <w:lang w:eastAsia="en-US" w:bidi="ar-SA"/>
        </w:rPr>
        <w:t>6.5.4.3</w:t>
      </w:r>
      <w:r>
        <w:rPr>
          <w:lang w:eastAsia="en-US" w:bidi="ar-SA"/>
        </w:rPr>
        <w:fldChar w:fldCharType="end"/>
      </w:r>
    </w:p>
    <w:p w14:paraId="7ABCABF6" w14:textId="77777777">
      <w:pPr>
        <w:pStyle w:val="Cmsor4"/>
      </w:pPr>
      <w:bookmarkStart w:id="592" w:name="_Ref228458226"/>
      <w:r>
        <w:t>Alternatives to encoding a massive lacuna</w:t>
      </w:r>
      <w:bookmarkEnd w:id="591"/>
      <w:bookmarkEnd w:id="592"/>
    </w:p>
    <w:p w14:paraId="331DFF7E" w14:textId="77777777">
      <w:pPr>
        <w:pStyle w:val="Lista"/>
      </w:pPr>
      <w:r>
        <w:t xml:space="preserve">when the extrinsic structure of the unavailable text (including line beginnings by default and the beginnings of pages or other larger structural units when applicable) can be reconstructed with fair confidence, then it is preferable to create the applicable structural milestones and encode inline lacunae </w:t>
      </w:r>
      <w:r>
        <w:rPr>
          <w:lang w:eastAsia="en-US" w:bidi="ar-SA"/>
        </w:rPr>
        <w:t>as per §</w:t>
      </w:r>
      <w:r>
        <w:rPr>
          <w:lang w:eastAsia="en-US" w:bidi="ar-SA"/>
        </w:rPr>
        <w:fldChar w:fldCharType="begin"/>
      </w:r>
      <w:r>
        <w:rPr>
          <w:lang w:eastAsia="en-US" w:bidi="ar-SA"/>
        </w:rPr>
        <w:instrText xml:space="preserve"> REF _Ref228368995 \r \h </w:instrText>
      </w:r>
      <w:r>
        <w:rPr>
          <w:lang w:eastAsia="en-US" w:bidi="ar-SA"/>
        </w:rPr>
      </w:r>
      <w:r>
        <w:rPr>
          <w:lang w:eastAsia="en-US" w:bidi="ar-SA"/>
        </w:rPr>
        <w:fldChar w:fldCharType="separate"/>
      </w:r>
      <w:r>
        <w:rPr>
          <w:lang w:eastAsia="en-US" w:bidi="ar-SA"/>
        </w:rPr>
        <w:t>6.5.3.1</w:t>
      </w:r>
      <w:r>
        <w:rPr>
          <w:lang w:eastAsia="en-US" w:bidi="ar-SA"/>
        </w:rPr>
        <w:fldChar w:fldCharType="end"/>
      </w:r>
    </w:p>
    <w:p w14:paraId="20DF59D2" w14:textId="77777777">
      <w:pPr>
        <w:pStyle w:val="Lista2"/>
      </w:pPr>
      <w:r>
        <w:t>however, if this would result in a large number of empty lines (as a rule of thumb: more than half of the edition), then feel free to forego this and encode a massive lacuna instead</w:t>
      </w:r>
    </w:p>
    <w:p w14:paraId="338586FC" w14:textId="77777777">
      <w:pPr>
        <w:pStyle w:val="Lista2"/>
      </w:pPr>
      <w:r>
        <w:t>the structural milestones must be contained within the usual block-level containers for text (§</w:t>
      </w:r>
      <w:r>
        <w:fldChar w:fldCharType="begin"/>
      </w:r>
      <w:r>
        <w:instrText xml:space="preserve"> REF _Ref225502709 \r \h </w:instrText>
      </w:r>
      <w:r>
        <w:fldChar w:fldCharType="separate"/>
      </w:r>
      <w:r>
        <w:t>4.3.3.1</w:t>
      </w:r>
      <w:r>
        <w:fldChar w:fldCharType="end"/>
      </w:r>
      <w:r>
        <w:t>)</w:t>
      </w:r>
    </w:p>
    <w:p w14:paraId="24984625" w14:textId="77777777">
      <w:pPr>
        <w:pStyle w:val="Lista3"/>
      </w:pPr>
      <w:r>
        <w:t xml:space="preserve">occasionally, it may be possible to reconstruct the intrinsic structure of the unavailable text (especially when physical lines correspond to verse lines), in which case feel free to do so and create separate </w:t>
      </w:r>
      <w:r>
        <w:rPr>
          <w:rStyle w:val="Code"/>
        </w:rPr>
        <w:t>&lt;gap/&gt;</w:t>
      </w:r>
      <w:r>
        <w:t xml:space="preserve"> elements within each container as per §</w:t>
      </w:r>
      <w:r>
        <w:fldChar w:fldCharType="begin"/>
      </w:r>
      <w:r>
        <w:instrText xml:space="preserve"> REF _Ref228267821 \r \h </w:instrText>
      </w:r>
      <w:r>
        <w:fldChar w:fldCharType="separate"/>
      </w:r>
      <w:r>
        <w:t>6.5.2.2</w:t>
      </w:r>
      <w:r>
        <w:fldChar w:fldCharType="end"/>
      </w:r>
    </w:p>
    <w:p w14:paraId="00C7AFB2" w14:textId="77777777">
      <w:pPr>
        <w:pStyle w:val="Lista3"/>
      </w:pPr>
      <w:r>
        <w:t xml:space="preserve">but if this is impossible or impracticable, simply create a single </w:t>
      </w:r>
      <w:r>
        <w:rPr>
          <w:rStyle w:val="Code"/>
        </w:rPr>
        <w:t>&lt;ab&gt;</w:t>
      </w:r>
      <w:r>
        <w:t xml:space="preserve"> element (§</w:t>
      </w:r>
      <w:r>
        <w:fldChar w:fldCharType="begin"/>
      </w:r>
      <w:r>
        <w:instrText xml:space="preserve"> REF _Ref43981028 \r \h </w:instrText>
      </w:r>
      <w:r>
        <w:fldChar w:fldCharType="separate"/>
      </w:r>
      <w:r>
        <w:t>3.2.1.2</w:t>
      </w:r>
      <w:r>
        <w:fldChar w:fldCharType="end"/>
      </w:r>
      <w:r>
        <w:t>) as a container for the reconstructed lines without available text</w:t>
      </w:r>
    </w:p>
    <w:p w14:paraId="07ABE043" w14:textId="77777777">
      <w:pPr>
        <w:pStyle w:val="Lista"/>
        <w:rPr>
          <w:lang w:eastAsia="en-US" w:bidi="ar-SA"/>
        </w:rPr>
      </w:pPr>
      <w:r>
        <w:rPr>
          <w:lang w:eastAsia="en-US" w:bidi="ar-SA"/>
        </w:rPr>
        <w:lastRenderedPageBreak/>
        <w:t>when an inscription is interrupted by a massive medial lacuna in such a way that the number of lost lines cannot be counted or estimated reliably, then creating textpart divisions for the extant parts is a viable alternative to encoding a massive lacuna</w:t>
      </w:r>
    </w:p>
    <w:p w14:paraId="67C71E57" w14:textId="77777777">
      <w:pPr>
        <w:pStyle w:val="Lista2"/>
      </w:pPr>
      <w:r>
        <w:t>this, in effect, treats the inscription as consisting of unconnected fragments (§</w:t>
      </w:r>
      <w:r>
        <w:fldChar w:fldCharType="begin"/>
      </w:r>
      <w:r>
        <w:instrText xml:space="preserve"> REF _Ref225346692 \r \h </w:instrText>
      </w:r>
      <w:r>
        <w:fldChar w:fldCharType="separate"/>
      </w:r>
      <w:r>
        <w:t>4.7.3.2</w:t>
      </w:r>
      <w:r>
        <w:fldChar w:fldCharType="end"/>
      </w:r>
      <w:r>
        <w:t>), even if the massive lacuna is merely due to surface damage</w:t>
      </w:r>
    </w:p>
    <w:p w14:paraId="5CE3D731" w14:textId="77777777">
      <w:pPr>
        <w:pStyle w:val="Lista2"/>
      </w:pPr>
      <w:r>
        <w:t xml:space="preserve">putting the final extant chunk in a new textpart division allows </w:t>
      </w:r>
      <w:r>
        <w:rPr>
          <w:noProof/>
        </w:rPr>
        <w:t>(</w:t>
      </w:r>
      <w:r>
        <w:t>and compels) you to restart line and stanza numbering from 1, thus avoiding complications arising from being unable to count the number of unavailable lines and stanzas</w:t>
      </w:r>
    </w:p>
    <w:p w14:paraId="2BC36465" w14:textId="77777777">
      <w:pPr>
        <w:pStyle w:val="Lista2"/>
      </w:pPr>
      <w:r>
        <w:t>since textpart divisions encoded as fragments necessarily imply the presence of lacunae between the textparts, lines lost between the fragments shall not be encoded explicitly</w:t>
      </w:r>
    </w:p>
    <w:p w14:paraId="01EF3842" w14:textId="77777777">
      <w:pPr>
        <w:pStyle w:val="Lista3"/>
      </w:pPr>
      <w:r>
        <w:t xml:space="preserve">the use of </w:t>
      </w:r>
      <w:r>
        <w:rPr>
          <w:rStyle w:val="Codeattribute"/>
        </w:rPr>
        <w:t>@part</w:t>
      </w:r>
      <w:r>
        <w:t xml:space="preserve"> on incomplete block-level containers before and after the lacuna applies as described below </w:t>
      </w:r>
    </w:p>
    <w:p w14:paraId="514DECFB" w14:textId="77777777">
      <w:pPr>
        <w:pStyle w:val="Lista3"/>
      </w:pPr>
      <w:r>
        <w:t xml:space="preserve">any partially available lines (i.e. those that contain extant or restored text at the end or beginning) must be completed by encoding an inline lacuna for the part of the line where text is not available </w:t>
      </w:r>
    </w:p>
    <w:p w14:paraId="35892B15" w14:textId="77777777">
      <w:pPr>
        <w:pStyle w:val="Cmsor4"/>
      </w:pPr>
      <w:bookmarkStart w:id="593" w:name="_Ref228453535"/>
      <w:r>
        <w:t>Structure before a massive lacuna</w:t>
      </w:r>
      <w:bookmarkEnd w:id="593"/>
    </w:p>
    <w:p w14:paraId="6A46A390" w14:textId="77777777">
      <w:pPr>
        <w:rPr>
          <w:lang w:eastAsia="en-US" w:bidi="ar-SA"/>
        </w:rPr>
      </w:pPr>
      <w:r>
        <w:rPr>
          <w:lang w:eastAsia="en-US" w:bidi="ar-SA"/>
        </w:rPr>
        <w:t xml:space="preserve">The encoding of a massive final lacuna is illustrated in </w:t>
      </w:r>
      <w:r>
        <w:rPr>
          <w:lang w:eastAsia="en-US" w:bidi="ar-SA"/>
        </w:rPr>
        <w:fldChar w:fldCharType="begin"/>
      </w:r>
      <w:r>
        <w:rPr>
          <w:lang w:eastAsia="en-US" w:bidi="ar-SA"/>
        </w:rPr>
        <w:instrText xml:space="preserve"> REF _Ref228450971 \h </w:instrText>
      </w:r>
      <w:r>
        <w:rPr>
          <w:lang w:eastAsia="en-US" w:bidi="ar-SA"/>
        </w:rPr>
      </w:r>
      <w:r>
        <w:rPr>
          <w:lang w:eastAsia="en-US" w:bidi="ar-SA"/>
        </w:rPr>
        <w:fldChar w:fldCharType="separate"/>
      </w:r>
      <w:r>
        <w:t xml:space="preserve">Exhibit </w:t>
      </w:r>
      <w:r>
        <w:rPr>
          <w:noProof/>
        </w:rPr>
        <w:t>6.5</w:t>
      </w:r>
      <w:r>
        <w:t>.</w:t>
      </w:r>
      <w:r>
        <w:rPr>
          <w:noProof/>
        </w:rPr>
        <w:t>G</w:t>
      </w:r>
      <w:r>
        <w:rPr>
          <w:lang w:eastAsia="en-US" w:bidi="ar-SA"/>
        </w:rPr>
        <w:fldChar w:fldCharType="end"/>
      </w:r>
      <w:r>
        <w:rPr>
          <w:lang w:eastAsia="en-US" w:bidi="ar-SA"/>
        </w:rPr>
        <w:t>.</w:t>
      </w:r>
    </w:p>
    <w:p w14:paraId="32FDAA79" w14:textId="77777777">
      <w:pPr>
        <w:pStyle w:val="Lista"/>
        <w:rPr>
          <w:lang w:eastAsia="en-US" w:bidi="ar-SA"/>
        </w:rPr>
      </w:pPr>
      <w:r>
        <w:rPr>
          <w:b/>
          <w:bCs/>
          <w:lang w:eastAsia="en-US" w:bidi="ar-SA"/>
        </w:rPr>
        <w:t>intrinsic structure</w:t>
      </w:r>
    </w:p>
    <w:p w14:paraId="4881B1A8" w14:textId="77777777">
      <w:pPr>
        <w:pStyle w:val="Lista2"/>
        <w:rPr>
          <w:lang w:eastAsia="en-US" w:bidi="ar-SA"/>
        </w:rPr>
      </w:pPr>
      <w:r>
        <w:rPr>
          <w:lang w:eastAsia="en-US" w:bidi="ar-SA"/>
        </w:rPr>
        <w:t>because all available text must be within a container for intrinsic structure (§</w:t>
      </w:r>
      <w:r>
        <w:rPr>
          <w:lang w:eastAsia="en-US" w:bidi="ar-SA"/>
        </w:rPr>
        <w:fldChar w:fldCharType="begin"/>
      </w:r>
      <w:r>
        <w:rPr>
          <w:lang w:eastAsia="en-US" w:bidi="ar-SA"/>
        </w:rPr>
        <w:instrText xml:space="preserve"> REF _Ref225153755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but intrinsic structure is not reconstructed within a massive lacuna, any open block-level containers must be closed after all text ends and before the lacuna is encoded</w:t>
      </w:r>
    </w:p>
    <w:p w14:paraId="328961BC" w14:textId="77777777">
      <w:pPr>
        <w:pStyle w:val="Lista2"/>
        <w:rPr>
          <w:lang w:eastAsia="en-US" w:bidi="ar-SA"/>
        </w:rPr>
      </w:pPr>
      <w:r>
        <w:rPr>
          <w:lang w:eastAsia="en-US" w:bidi="ar-SA"/>
        </w:rPr>
        <w:t xml:space="preserve">if the end of the available text does not coincide with the natural (semantic or metrical) end of the container, so the container ends prematurely, then the interrupted container must be encoded with </w:t>
      </w:r>
      <w:r>
        <w:rPr>
          <w:rStyle w:val="Codeattribute"/>
        </w:rPr>
        <w:t>@part</w:t>
      </w:r>
      <w:r>
        <w:rPr>
          <w:rStyle w:val="Code"/>
        </w:rPr>
        <w:t>=</w:t>
      </w:r>
      <w:r>
        <w:rPr>
          <w:rStyle w:val="Codevalue"/>
        </w:rPr>
        <w:t>"I"</w:t>
      </w:r>
      <w:r>
        <w:t xml:space="preserve"> (or </w:t>
      </w:r>
      <w:r>
        <w:rPr>
          <w:rStyle w:val="Codeattribute"/>
        </w:rPr>
        <w:t>@part</w:t>
      </w:r>
      <w:r>
        <w:rPr>
          <w:rStyle w:val="Code"/>
        </w:rPr>
        <w:t>=</w:t>
      </w:r>
      <w:r>
        <w:rPr>
          <w:rStyle w:val="Codevalue"/>
        </w:rPr>
        <w:t>"M"</w:t>
      </w:r>
      <w:r>
        <w:t xml:space="preserve"> if the beginning of the same container is lost to another lacuna) as per §</w:t>
      </w:r>
      <w:r>
        <w:fldChar w:fldCharType="begin"/>
      </w:r>
      <w:r>
        <w:instrText xml:space="preserve"> REF _Ref228980509 \r \h </w:instrText>
      </w:r>
      <w:r>
        <w:fldChar w:fldCharType="separate"/>
      </w:r>
      <w:r>
        <w:t>3.2.3.1</w:t>
      </w:r>
      <w:r>
        <w:fldChar w:fldCharType="end"/>
      </w:r>
      <w:r>
        <w:rPr>
          <w:lang w:eastAsia="en-US" w:bidi="ar-SA"/>
        </w:rPr>
        <w:t xml:space="preserve"> </w:t>
      </w:r>
    </w:p>
    <w:p w14:paraId="5B772BC2" w14:textId="77777777">
      <w:pPr>
        <w:pStyle w:val="Lista2"/>
        <w:rPr>
          <w:lang w:eastAsia="en-US" w:bidi="ar-SA"/>
        </w:rPr>
      </w:pPr>
      <w:r>
        <w:t>if the available text is in more than one nested container (verse lines in a stanza or a list in a paragraph), then care must be taken</w:t>
      </w:r>
    </w:p>
    <w:p w14:paraId="05D68FBD" w14:textId="77777777">
      <w:pPr>
        <w:pStyle w:val="Lista3"/>
        <w:rPr>
          <w:lang w:eastAsia="en-US" w:bidi="ar-SA"/>
        </w:rPr>
      </w:pPr>
      <w:r>
        <w:t>to add the end tag for all containers</w:t>
      </w:r>
    </w:p>
    <w:p w14:paraId="13550C78" w14:textId="77777777">
      <w:pPr>
        <w:pStyle w:val="Lista3"/>
        <w:rPr>
          <w:lang w:eastAsia="en-US" w:bidi="ar-SA"/>
        </w:rPr>
      </w:pPr>
      <w:r>
        <w:t xml:space="preserve">and to add </w:t>
      </w:r>
      <w:r>
        <w:rPr>
          <w:rStyle w:val="Codeattribute"/>
        </w:rPr>
        <w:t>@part</w:t>
      </w:r>
      <w:r>
        <w:t xml:space="preserve"> to all containers which end prematurely</w:t>
      </w:r>
    </w:p>
    <w:p w14:paraId="40CC2405" w14:textId="77777777">
      <w:pPr>
        <w:pStyle w:val="Lista4"/>
      </w:pPr>
      <w:r>
        <w:t xml:space="preserve">if the end of the available text coincides with the end of a verse line, then </w:t>
      </w:r>
      <w:r>
        <w:rPr>
          <w:rStyle w:val="Codeattribute"/>
        </w:rPr>
        <w:t>@part</w:t>
      </w:r>
      <w:r>
        <w:t xml:space="preserve"> is not applicable to that </w:t>
      </w:r>
      <w:r>
        <w:rPr>
          <w:rStyle w:val="Code"/>
        </w:rPr>
        <w:t>&lt;l&gt;</w:t>
      </w:r>
      <w:r>
        <w:t xml:space="preserve"> element, but may still be applicable to the enclosing </w:t>
      </w:r>
      <w:r>
        <w:rPr>
          <w:rStyle w:val="Code"/>
        </w:rPr>
        <w:t>&lt;lg&gt;</w:t>
      </w:r>
      <w:r>
        <w:t xml:space="preserve"> element if the stanza had subsequent lines lost to the lacuna</w:t>
      </w:r>
    </w:p>
    <w:p w14:paraId="728EB825" w14:textId="77777777">
      <w:pPr>
        <w:pStyle w:val="Lista2"/>
        <w:rPr>
          <w:lang w:eastAsia="en-US" w:bidi="ar-SA"/>
        </w:rPr>
      </w:pPr>
      <w:r>
        <w:rPr>
          <w:lang w:eastAsia="en-US" w:bidi="ar-SA"/>
        </w:rPr>
        <w:t xml:space="preserve">because structure is not reconstructed within a massive lacuna and interrupted containers are tagged with </w:t>
      </w:r>
      <w:r>
        <w:rPr>
          <w:rStyle w:val="Codeattribute"/>
        </w:rPr>
        <w:t>@part</w:t>
      </w:r>
      <w:r>
        <w:t xml:space="preserve"> to show that they are incomplete, additional containers for unavailable verse lines need not and must not be created (unlike the case in §</w:t>
      </w:r>
      <w:r>
        <w:fldChar w:fldCharType="begin"/>
      </w:r>
      <w:r>
        <w:instrText xml:space="preserve"> REF _Ref228267821 \r \h </w:instrText>
      </w:r>
      <w:r>
        <w:fldChar w:fldCharType="separate"/>
      </w:r>
      <w:r>
        <w:t>6.5.2.2</w:t>
      </w:r>
      <w:r>
        <w:fldChar w:fldCharType="end"/>
      </w:r>
      <w:r>
        <w:t>)</w:t>
      </w:r>
    </w:p>
    <w:p w14:paraId="683B4598" w14:textId="77777777">
      <w:pPr>
        <w:pStyle w:val="Lista"/>
      </w:pPr>
      <w:r>
        <w:rPr>
          <w:b/>
          <w:bCs/>
          <w:lang w:eastAsia="en-US" w:bidi="ar-SA"/>
        </w:rPr>
        <w:t>extrinsic structure</w:t>
      </w:r>
    </w:p>
    <w:p w14:paraId="44E9D69F" w14:textId="77777777">
      <w:pPr>
        <w:pStyle w:val="Lista2"/>
      </w:pPr>
      <w:r>
        <w:t>the elements representing extrinsic structure are milestones that mark transition points (§</w:t>
      </w:r>
      <w:r>
        <w:fldChar w:fldCharType="begin"/>
      </w:r>
      <w:r>
        <w:instrText xml:space="preserve"> REF _Ref182923075 \r \h </w:instrText>
      </w:r>
      <w:r>
        <w:fldChar w:fldCharType="separate"/>
      </w:r>
      <w:r>
        <w:t>4.1</w:t>
      </w:r>
      <w:r>
        <w:fldChar w:fldCharType="end"/>
      </w:r>
      <w:r>
        <w:t>), so units of extrinsic structure do not have endpoints represented in the encoding and therefore cannot be “closed” before a lacuna</w:t>
      </w:r>
    </w:p>
    <w:p w14:paraId="59DB7C02" w14:textId="77777777">
      <w:pPr>
        <w:pStyle w:val="Lista2"/>
      </w:pPr>
      <w:r>
        <w:t>line numbering is mandatory in all our editions (§</w:t>
      </w:r>
      <w:r>
        <w:fldChar w:fldCharType="begin"/>
      </w:r>
      <w:r>
        <w:instrText xml:space="preserve"> REF _Ref225761016 \r \h </w:instrText>
      </w:r>
      <w:r>
        <w:fldChar w:fldCharType="separate"/>
      </w:r>
      <w:r>
        <w:t>4.5.2</w:t>
      </w:r>
      <w:r>
        <w:fldChar w:fldCharType="end"/>
      </w:r>
      <w:r>
        <w:t>), so all available text must belong to a numbered line</w:t>
      </w:r>
    </w:p>
    <w:p w14:paraId="5431484B" w14:textId="77777777">
      <w:pPr>
        <w:pStyle w:val="Lista3"/>
      </w:pPr>
      <w:r>
        <w:t>thus, if any text is restored after the last extant line, a line beginning must be created for the line containing that restored text</w:t>
      </w:r>
    </w:p>
    <w:p w14:paraId="01AF50D9" w14:textId="77777777">
      <w:pPr>
        <w:pStyle w:val="Lista3"/>
      </w:pPr>
      <w:r>
        <w:t>however, see §</w:t>
      </w:r>
      <w:r>
        <w:fldChar w:fldCharType="begin"/>
      </w:r>
      <w:r>
        <w:instrText xml:space="preserve"> REF _Ref228367464 \r \h </w:instrText>
      </w:r>
      <w:r>
        <w:fldChar w:fldCharType="separate"/>
      </w:r>
      <w:r>
        <w:t>6.5.4.5</w:t>
      </w:r>
      <w:r>
        <w:fldChar w:fldCharType="end"/>
      </w:r>
      <w:r>
        <w:t xml:space="preserve"> for an alternative</w:t>
      </w:r>
    </w:p>
    <w:p w14:paraId="3DBD4204" w14:textId="77777777">
      <w:pPr>
        <w:pStyle w:val="Lista2"/>
      </w:pPr>
      <w:r>
        <w:t>if any line has available text (whether extant or restored) at the beginning but no available text later on, then an inline lacuna (§</w:t>
      </w:r>
      <w:r>
        <w:fldChar w:fldCharType="begin"/>
      </w:r>
      <w:r>
        <w:instrText xml:space="preserve"> REF _Ref43988016 \r \h </w:instrText>
      </w:r>
      <w:r>
        <w:fldChar w:fldCharType="separate"/>
      </w:r>
      <w:r>
        <w:t>6.5.2</w:t>
      </w:r>
      <w:r>
        <w:fldChar w:fldCharType="end"/>
      </w:r>
      <w:r>
        <w:t>) must be encoded for the remainder of that line</w:t>
      </w:r>
    </w:p>
    <w:p w14:paraId="209A5B3D" w14:textId="77777777">
      <w:pPr>
        <w:pStyle w:val="Lista3"/>
      </w:pPr>
      <w:r>
        <w:t>the inline lacuna is an entity separate from the massive lacuna and must, as usual, be within and not outside the block level text containers</w:t>
      </w:r>
    </w:p>
    <w:p w14:paraId="5CAAFE16" w14:textId="77777777">
      <w:pPr>
        <w:pStyle w:val="Lista4"/>
      </w:pPr>
      <w:r>
        <w:t>if this happens in a verse context, attempt to reconstruct verse structure as per §</w:t>
      </w:r>
      <w:r>
        <w:fldChar w:fldCharType="begin"/>
      </w:r>
      <w:r>
        <w:instrText xml:space="preserve"> REF _Ref228267821 \r \h </w:instrText>
      </w:r>
      <w:r>
        <w:fldChar w:fldCharType="separate"/>
      </w:r>
      <w:r>
        <w:t>6.5.2.2</w:t>
      </w:r>
      <w:r>
        <w:fldChar w:fldCharType="end"/>
      </w:r>
      <w:r>
        <w:t xml:space="preserve"> for the duration of the inline lacuna, even though structure is not reconstructed for the massive lacuna itself</w:t>
      </w:r>
    </w:p>
    <w:p w14:paraId="26E28469" w14:textId="77777777">
      <w:pPr>
        <w:pStyle w:val="Lista4"/>
      </w:pPr>
      <w:r>
        <w:lastRenderedPageBreak/>
        <w:t xml:space="preserve">however, if this proves problematic, you may alternatively choose to encode the incomplete stanza as above, then create an </w:t>
      </w:r>
      <w:r>
        <w:rPr>
          <w:rStyle w:val="Code"/>
        </w:rPr>
        <w:t>&lt;ab&gt;</w:t>
      </w:r>
      <w:r>
        <w:t xml:space="preserve"> element after it (and before the massive lacuna) to contain only the inline lacuna</w:t>
      </w:r>
    </w:p>
    <w:p w14:paraId="5AFE71A1" w14:textId="77777777">
      <w:pPr>
        <w:pStyle w:val="Lista2"/>
      </w:pPr>
      <w:r>
        <w:t>if an inscription with a massive lacuna contains pages or pagelike milestones, handle it according to the considerations offered for incomplete copperplate sets (§</w:t>
      </w:r>
      <w:r>
        <w:fldChar w:fldCharType="begin"/>
      </w:r>
      <w:r>
        <w:instrText xml:space="preserve"> REF _Ref228453273 \r \h </w:instrText>
      </w:r>
      <w:r>
        <w:fldChar w:fldCharType="separate"/>
      </w:r>
      <w:r>
        <w:t>6.5.5</w:t>
      </w:r>
      <w:r>
        <w:fldChar w:fldCharType="end"/>
      </w:r>
      <w:r>
        <w:t>)</w:t>
      </w:r>
    </w:p>
    <w:p w14:paraId="6E5A243F" w14:textId="77777777">
      <w:pPr>
        <w:pStyle w:val="Lista2"/>
      </w:pPr>
      <w:r>
        <w:t>if an inscription with a massive lacuna contains lower-level structural boundaries (gridlike milestones), these must be ignored for the extent of the massive lacuna itself, but</w:t>
      </w:r>
    </w:p>
    <w:p w14:paraId="132D8145" w14:textId="77777777">
      <w:pPr>
        <w:pStyle w:val="Lista3"/>
      </w:pPr>
      <w:r>
        <w:t>must be reconstructed as applicable to any restored text</w:t>
      </w:r>
    </w:p>
    <w:p w14:paraId="46F5EE82" w14:textId="4DC9BAEA">
      <w:pPr>
        <w:pStyle w:val="Lista3"/>
      </w:pPr>
      <w:r>
        <w:t>may be optionally reconstructed for the segmentation of inline lacunae adjacent to the massive lacuna, when this is feasible</w:t>
      </w:r>
    </w:p>
    <w:tbl>
      <w:tblPr>
        <w:tblStyle w:val="CodeSampleTable"/>
        <w:tblW w:w="5000" w:type="pct"/>
        <w:tblLook w:val="04A0" w:firstRow="1" w:lastRow="0" w:firstColumn="1" w:lastColumn="0" w:noHBand="0" w:noVBand="1"/>
      </w:tblPr>
      <w:tblGrid>
        <w:gridCol w:w="9628"/>
      </w:tblGrid>
      <w:tr w14:paraId="1D5F4FA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3CBD2B5" w14:textId="77777777">
            <w:pPr>
              <w:pStyle w:val="Kpalrs"/>
            </w:pPr>
            <w:bookmarkStart w:id="594" w:name="_Ref228450971"/>
            <w:r>
              <w:t xml:space="preserve">Exhibit </w:t>
            </w:r>
            <w:fldSimple w:instr=" STYLEREF 2 \s ">
              <w:r>
                <w:rPr>
                  <w:noProof/>
                </w:rPr>
                <w:t>6.5</w:t>
              </w:r>
            </w:fldSimple>
            <w:r>
              <w:t>.</w:t>
            </w:r>
            <w:fldSimple w:instr=" SEQ Exhibit \* ALPHABETIC \s 2 ">
              <w:r>
                <w:rPr>
                  <w:noProof/>
                </w:rPr>
                <w:t>G</w:t>
              </w:r>
            </w:fldSimple>
            <w:bookmarkEnd w:id="594"/>
            <w:r>
              <w:t>: massive final lacuna</w:t>
            </w:r>
          </w:p>
        </w:tc>
      </w:tr>
      <w:tr w14:paraId="3F1EBE5D" w14:textId="77777777">
        <w:tc>
          <w:tcPr>
            <w:tcW w:w="5000" w:type="pct"/>
          </w:tcPr>
          <w:p w14:paraId="6C7FBB11" w14:textId="77777777">
            <w:pPr>
              <w:pStyle w:val="CodeParagraph"/>
              <w:rPr>
                <w:rStyle w:val="Code"/>
              </w:rPr>
            </w:pPr>
            <w:r>
              <w:rPr>
                <w:rStyle w:val="Code"/>
              </w:rPr>
              <w:t xml:space="preserve">&lt;p </w:t>
            </w:r>
            <w:r>
              <w:rPr>
                <w:rStyle w:val="Codeattribute"/>
              </w:rPr>
              <w:t>part</w:t>
            </w:r>
            <w:r>
              <w:rPr>
                <w:rStyle w:val="Code"/>
              </w:rPr>
              <w:t>=</w:t>
            </w:r>
            <w:r>
              <w:rPr>
                <w:rStyle w:val="Codevalue"/>
              </w:rPr>
              <w:t>"I"</w:t>
            </w:r>
            <w:r>
              <w:rPr>
                <w:rStyle w:val="Code"/>
              </w:rPr>
              <w:t>&gt;</w:t>
            </w:r>
            <w:r>
              <w:rPr>
                <w:rStyle w:val="Codetext"/>
              </w:rPr>
              <w:t>...</w:t>
            </w:r>
            <w:r>
              <w:rPr>
                <w:rStyle w:val="Codetext"/>
              </w:rPr>
              <w:br/>
            </w:r>
            <w:r>
              <w:rPr>
                <w:rStyle w:val="Code"/>
              </w:rPr>
              <w:t xml:space="preserve">  &lt;lb </w:t>
            </w:r>
            <w:r>
              <w:rPr>
                <w:rStyle w:val="Codeattribute"/>
              </w:rPr>
              <w:t>n</w:t>
            </w:r>
            <w:r>
              <w:rPr>
                <w:rStyle w:val="Code"/>
              </w:rPr>
              <w:t>=</w:t>
            </w:r>
            <w:r>
              <w:rPr>
                <w:rStyle w:val="Codevalue"/>
              </w:rPr>
              <w:t>"5"</w:t>
            </w:r>
            <w:r>
              <w:rPr>
                <w:rStyle w:val="Code"/>
              </w:rPr>
              <w:t>/&gt;</w:t>
            </w:r>
            <w:r>
              <w:rPr>
                <w:rStyle w:val="Codetext"/>
              </w:rPr>
              <w:t>tāpasāśrama-va</w:t>
            </w:r>
            <w:r>
              <w:rPr>
                <w:rStyle w:val="Code"/>
              </w:rPr>
              <w:t>&lt;supplied&gt;</w:t>
            </w:r>
            <w:r>
              <w:rPr>
                <w:rStyle w:val="Codetext"/>
              </w:rPr>
              <w:t>ne</w:t>
            </w:r>
            <w:r>
              <w:rPr>
                <w:rStyle w:val="Code"/>
              </w:rPr>
              <w:t xml:space="preserve">&lt;/supplied&gt; </w:t>
            </w:r>
          </w:p>
          <w:p w14:paraId="7B386F9C" w14:textId="77777777">
            <w:pPr>
              <w:pStyle w:val="CodeParagraph"/>
            </w:pPr>
            <w:r>
              <w:rPr>
                <w:rStyle w:val="Code"/>
              </w:rPr>
              <w:t xml:space="preserve">  &lt;gap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"character"</w:t>
            </w:r>
            <w:r>
              <w:rPr>
                <w:rStyle w:val="Code"/>
              </w:rPr>
              <w:t>&gt;</w:t>
            </w:r>
            <w:r>
              <w:rPr>
                <w:rStyle w:val="Codetext"/>
              </w:rPr>
              <w:br/>
            </w:r>
            <w:r>
              <w:rPr>
                <w:rStyle w:val="Code"/>
              </w:rPr>
              <w:t>&lt;/p&gt;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p>
        </w:tc>
      </w:tr>
      <w:tr w14:paraId="0BF00542" w14:textId="77777777">
        <w:tc>
          <w:tcPr>
            <w:tcW w:w="5000" w:type="pct"/>
          </w:tcPr>
          <w:p w14:paraId="1979D805" w14:textId="77777777">
            <w:pPr>
              <w:pStyle w:val="TableNote"/>
            </w:pPr>
            <w:r>
              <w:t>line 5 is the last extant line, containing some text followed by a partial restoration and an inline lacuna</w:t>
            </w:r>
          </w:p>
          <w:p w14:paraId="7260F04F" w14:textId="77777777">
            <w:pPr>
              <w:pStyle w:val="TableNote"/>
            </w:pPr>
            <w:r>
              <w:t>after the end-tag for the block-level container, a massive lacuna of unknown size is encoded</w:t>
            </w:r>
          </w:p>
        </w:tc>
      </w:tr>
    </w:tbl>
    <w:p w14:paraId="19B14986" w14:textId="77777777">
      <w:pPr>
        <w:pStyle w:val="Cmsor4"/>
      </w:pPr>
      <w:bookmarkStart w:id="595" w:name="_Ref228453546"/>
      <w:r>
        <w:t>Structure after a massive lacuna</w:t>
      </w:r>
      <w:bookmarkEnd w:id="595"/>
    </w:p>
    <w:p w14:paraId="415E5B8B" w14:textId="77777777">
      <w:pPr>
        <w:rPr>
          <w:lang w:eastAsia="en-US" w:bidi="ar-SA"/>
        </w:rPr>
      </w:pPr>
      <w:r>
        <w:rPr>
          <w:lang w:eastAsia="en-US" w:bidi="ar-SA"/>
        </w:rPr>
        <w:t xml:space="preserve">The encoding of a massive initial lacuna is illustrated in </w:t>
      </w:r>
      <w:r>
        <w:rPr>
          <w:lang w:eastAsia="en-US" w:bidi="ar-SA"/>
        </w:rPr>
        <w:fldChar w:fldCharType="begin"/>
      </w:r>
      <w:r>
        <w:rPr>
          <w:lang w:eastAsia="en-US" w:bidi="ar-SA"/>
        </w:rPr>
        <w:instrText xml:space="preserve"> REF _Ref228450997 \h </w:instrText>
      </w:r>
      <w:r>
        <w:rPr>
          <w:lang w:eastAsia="en-US" w:bidi="ar-SA"/>
        </w:rPr>
      </w:r>
      <w:r>
        <w:rPr>
          <w:lang w:eastAsia="en-US" w:bidi="ar-SA"/>
        </w:rPr>
        <w:fldChar w:fldCharType="separate"/>
      </w:r>
      <w:r>
        <w:t xml:space="preserve">Exhibit </w:t>
      </w:r>
      <w:r>
        <w:rPr>
          <w:noProof/>
        </w:rPr>
        <w:t>6.5</w:t>
      </w:r>
      <w:r>
        <w:t>.</w:t>
      </w:r>
      <w:r>
        <w:rPr>
          <w:noProof/>
        </w:rPr>
        <w:t>H</w:t>
      </w:r>
      <w:r>
        <w:rPr>
          <w:lang w:eastAsia="en-US" w:bidi="ar-SA"/>
        </w:rPr>
        <w:fldChar w:fldCharType="end"/>
      </w:r>
      <w:r>
        <w:rPr>
          <w:lang w:eastAsia="en-US" w:bidi="ar-SA"/>
        </w:rPr>
        <w:t>.</w:t>
      </w:r>
    </w:p>
    <w:p w14:paraId="5BEAB05F" w14:textId="77777777">
      <w:pPr>
        <w:pStyle w:val="Lista"/>
        <w:rPr>
          <w:lang w:eastAsia="en-US" w:bidi="ar-SA"/>
        </w:rPr>
      </w:pPr>
      <w:r>
        <w:rPr>
          <w:b/>
          <w:bCs/>
          <w:lang w:eastAsia="en-US" w:bidi="ar-SA"/>
        </w:rPr>
        <w:t>intrinsic structure</w:t>
      </w:r>
    </w:p>
    <w:p w14:paraId="557D1449" w14:textId="77777777">
      <w:pPr>
        <w:pStyle w:val="Lista2"/>
        <w:rPr>
          <w:lang w:eastAsia="en-US" w:bidi="ar-SA"/>
        </w:rPr>
      </w:pPr>
      <w:r>
        <w:rPr>
          <w:lang w:eastAsia="en-US" w:bidi="ar-SA"/>
        </w:rPr>
        <w:t>because all available text must be within a container for intrinsic structure (§</w:t>
      </w:r>
      <w:r>
        <w:rPr>
          <w:lang w:eastAsia="en-US" w:bidi="ar-SA"/>
        </w:rPr>
        <w:fldChar w:fldCharType="begin"/>
      </w:r>
      <w:r>
        <w:rPr>
          <w:lang w:eastAsia="en-US" w:bidi="ar-SA"/>
        </w:rPr>
        <w:instrText xml:space="preserve"> REF _Ref225153755 \r \h </w:instrText>
      </w:r>
      <w:r>
        <w:rPr>
          <w:lang w:eastAsia="en-US" w:bidi="ar-SA"/>
        </w:rPr>
      </w:r>
      <w:r>
        <w:rPr>
          <w:lang w:eastAsia="en-US" w:bidi="ar-SA"/>
        </w:rPr>
        <w:fldChar w:fldCharType="separate"/>
      </w:r>
      <w:r>
        <w:rPr>
          <w:lang w:eastAsia="en-US" w:bidi="ar-SA"/>
        </w:rPr>
        <w:t>3.1</w:t>
      </w:r>
      <w:r>
        <w:rPr>
          <w:lang w:eastAsia="en-US" w:bidi="ar-SA"/>
        </w:rPr>
        <w:fldChar w:fldCharType="end"/>
      </w:r>
      <w:r>
        <w:rPr>
          <w:lang w:eastAsia="en-US" w:bidi="ar-SA"/>
        </w:rPr>
        <w:t>) but intrinsic structure is not reconstructed within a massive lacuna, block-level containers must be opened right after the lacuna, before any text begins</w:t>
      </w:r>
    </w:p>
    <w:p w14:paraId="3A802450" w14:textId="77777777">
      <w:pPr>
        <w:pStyle w:val="Lista2"/>
        <w:rPr>
          <w:lang w:eastAsia="en-US" w:bidi="ar-SA"/>
        </w:rPr>
      </w:pPr>
      <w:r>
        <w:rPr>
          <w:lang w:eastAsia="en-US" w:bidi="ar-SA"/>
        </w:rPr>
        <w:t xml:space="preserve">if the beginning of the available text does not coincide with the natural (semantic or metrical) end of the container, so the container begins late, then the interrupted container must be encoded with </w:t>
      </w:r>
      <w:r>
        <w:rPr>
          <w:rStyle w:val="Codeattribute"/>
        </w:rPr>
        <w:t>@part</w:t>
      </w:r>
      <w:r>
        <w:rPr>
          <w:rStyle w:val="Code"/>
        </w:rPr>
        <w:t>=</w:t>
      </w:r>
      <w:r>
        <w:rPr>
          <w:rStyle w:val="Codevalue"/>
        </w:rPr>
        <w:t>"F"</w:t>
      </w:r>
      <w:r>
        <w:t xml:space="preserve"> (or </w:t>
      </w:r>
      <w:r>
        <w:rPr>
          <w:rStyle w:val="Codeattribute"/>
        </w:rPr>
        <w:t>@part</w:t>
      </w:r>
      <w:r>
        <w:rPr>
          <w:rStyle w:val="Code"/>
        </w:rPr>
        <w:t>=</w:t>
      </w:r>
      <w:r>
        <w:rPr>
          <w:rStyle w:val="Codevalue"/>
        </w:rPr>
        <w:t>"M"</w:t>
      </w:r>
      <w:r>
        <w:t xml:space="preserve"> if the end of the same container is lost to another lacuna) as per §</w:t>
      </w:r>
      <w:r>
        <w:fldChar w:fldCharType="begin"/>
      </w:r>
      <w:r>
        <w:instrText xml:space="preserve"> REF _Ref228980509 \r \h </w:instrText>
      </w:r>
      <w:r>
        <w:fldChar w:fldCharType="separate"/>
      </w:r>
      <w:r>
        <w:t>3.2.3.1</w:t>
      </w:r>
      <w:r>
        <w:fldChar w:fldCharType="end"/>
      </w:r>
      <w:r>
        <w:rPr>
          <w:lang w:eastAsia="en-US" w:bidi="ar-SA"/>
        </w:rPr>
        <w:t xml:space="preserve"> </w:t>
      </w:r>
    </w:p>
    <w:p w14:paraId="60FDEB33" w14:textId="77777777">
      <w:pPr>
        <w:pStyle w:val="Lista2"/>
        <w:rPr>
          <w:lang w:eastAsia="en-US" w:bidi="ar-SA"/>
        </w:rPr>
      </w:pPr>
      <w:r>
        <w:t>if the available text needs more than one nested container (verse lines in a stanza or a list in a paragraph), then care must be taken</w:t>
      </w:r>
    </w:p>
    <w:p w14:paraId="0834F114" w14:textId="77777777">
      <w:pPr>
        <w:pStyle w:val="Lista3"/>
        <w:rPr>
          <w:lang w:eastAsia="en-US" w:bidi="ar-SA"/>
        </w:rPr>
      </w:pPr>
      <w:r>
        <w:t>to create the start tag for all containers</w:t>
      </w:r>
    </w:p>
    <w:p w14:paraId="72112ECE" w14:textId="77777777">
      <w:pPr>
        <w:pStyle w:val="Lista3"/>
        <w:rPr>
          <w:lang w:eastAsia="en-US" w:bidi="ar-SA"/>
        </w:rPr>
      </w:pPr>
      <w:r>
        <w:t xml:space="preserve">and to add </w:t>
      </w:r>
      <w:r>
        <w:rPr>
          <w:rStyle w:val="Codeattribute"/>
        </w:rPr>
        <w:t>@part</w:t>
      </w:r>
      <w:r>
        <w:t xml:space="preserve"> to all containers which begin late</w:t>
      </w:r>
    </w:p>
    <w:p w14:paraId="183D8AED" w14:textId="77777777">
      <w:pPr>
        <w:pStyle w:val="Lista4"/>
      </w:pPr>
      <w:r>
        <w:t xml:space="preserve">if the beginning of the available text coincides with the beginning of a line, then </w:t>
      </w:r>
      <w:r>
        <w:rPr>
          <w:rStyle w:val="Codeattribute"/>
        </w:rPr>
        <w:t>@part</w:t>
      </w:r>
      <w:r>
        <w:t xml:space="preserve"> is not applicable to that </w:t>
      </w:r>
      <w:r>
        <w:rPr>
          <w:rStyle w:val="Code"/>
        </w:rPr>
        <w:t>&lt;l&gt;</w:t>
      </w:r>
      <w:r>
        <w:t xml:space="preserve"> element, but may still be applicable to the enclosing </w:t>
      </w:r>
      <w:r>
        <w:rPr>
          <w:rStyle w:val="Code"/>
        </w:rPr>
        <w:t>&lt;lg&gt;</w:t>
      </w:r>
      <w:r>
        <w:t xml:space="preserve"> element if the stanza had previous lines lost to the lacuna</w:t>
      </w:r>
    </w:p>
    <w:p w14:paraId="0C0763C4" w14:textId="77777777">
      <w:pPr>
        <w:pStyle w:val="Lista2"/>
        <w:rPr>
          <w:lang w:eastAsia="en-US" w:bidi="ar-SA"/>
        </w:rPr>
      </w:pPr>
      <w:r>
        <w:rPr>
          <w:lang w:eastAsia="en-US" w:bidi="ar-SA"/>
        </w:rPr>
        <w:t xml:space="preserve">because structure is not reconstructed within a massive lacuna and interrupted containers are tagged with </w:t>
      </w:r>
      <w:r>
        <w:rPr>
          <w:rStyle w:val="Codeattribute"/>
        </w:rPr>
        <w:t>@part</w:t>
      </w:r>
      <w:r>
        <w:t xml:space="preserve"> to show that they are incomplete, additional containers for unavailable verse lines need not and must not be created (unlike the case in §</w:t>
      </w:r>
      <w:r>
        <w:fldChar w:fldCharType="begin"/>
      </w:r>
      <w:r>
        <w:instrText xml:space="preserve"> REF _Ref228267821 \r \h </w:instrText>
      </w:r>
      <w:r>
        <w:fldChar w:fldCharType="separate"/>
      </w:r>
      <w:r>
        <w:t>6.5.2.2</w:t>
      </w:r>
      <w:r>
        <w:fldChar w:fldCharType="end"/>
      </w:r>
      <w:r>
        <w:t>)</w:t>
      </w:r>
    </w:p>
    <w:p w14:paraId="128B1C7D" w14:textId="77777777">
      <w:pPr>
        <w:pStyle w:val="Lista"/>
      </w:pPr>
      <w:r>
        <w:rPr>
          <w:b/>
          <w:bCs/>
          <w:lang w:eastAsia="en-US" w:bidi="ar-SA"/>
        </w:rPr>
        <w:t>extrinsic structure</w:t>
      </w:r>
    </w:p>
    <w:p w14:paraId="7DD0A96B" w14:textId="77777777">
      <w:pPr>
        <w:pStyle w:val="Lista2"/>
      </w:pPr>
      <w:r>
        <w:t>the elements representing extrinsic structure are milestones that mark transition points (§</w:t>
      </w:r>
      <w:r>
        <w:fldChar w:fldCharType="begin"/>
      </w:r>
      <w:r>
        <w:instrText xml:space="preserve"> REF _Ref182923075 \r \h </w:instrText>
      </w:r>
      <w:r>
        <w:fldChar w:fldCharType="separate"/>
      </w:r>
      <w:r>
        <w:t>4.1</w:t>
      </w:r>
      <w:r>
        <w:fldChar w:fldCharType="end"/>
      </w:r>
      <w:r>
        <w:t>), so units of extrinsic structure are represented in the encoding at their start and must be created after a lacuna</w:t>
      </w:r>
    </w:p>
    <w:p w14:paraId="49006F0C" w14:textId="77777777">
      <w:pPr>
        <w:pStyle w:val="Lista2"/>
      </w:pPr>
      <w:r>
        <w:t>line numbering is mandatory in all our editions (§</w:t>
      </w:r>
      <w:r>
        <w:fldChar w:fldCharType="begin"/>
      </w:r>
      <w:r>
        <w:instrText xml:space="preserve"> REF _Ref225761016 \r \h </w:instrText>
      </w:r>
      <w:r>
        <w:fldChar w:fldCharType="separate"/>
      </w:r>
      <w:r>
        <w:t>4.5.2</w:t>
      </w:r>
      <w:r>
        <w:fldChar w:fldCharType="end"/>
      </w:r>
      <w:r>
        <w:t>), so all available text must belong to a numbered line</w:t>
      </w:r>
    </w:p>
    <w:p w14:paraId="30B0FEE5" w14:textId="77777777">
      <w:pPr>
        <w:pStyle w:val="Lista2"/>
      </w:pPr>
      <w:r>
        <w:t>all applicable milestones must be present for all available text, even if a structural unit contains only a (partial) restoration</w:t>
      </w:r>
    </w:p>
    <w:p w14:paraId="112F6160" w14:textId="77777777">
      <w:pPr>
        <w:pStyle w:val="Lista3"/>
      </w:pPr>
      <w:r>
        <w:t>thus, if any text is restored before the first extant line, a line beginning must be created for the line containing that restored text</w:t>
      </w:r>
    </w:p>
    <w:p w14:paraId="61B74C9B" w14:textId="77777777">
      <w:pPr>
        <w:pStyle w:val="Lista3"/>
      </w:pPr>
      <w:r>
        <w:t>however, see §</w:t>
      </w:r>
      <w:r>
        <w:fldChar w:fldCharType="begin"/>
      </w:r>
      <w:r>
        <w:instrText xml:space="preserve"> REF _Ref228367464 \r \h </w:instrText>
      </w:r>
      <w:r>
        <w:fldChar w:fldCharType="separate"/>
      </w:r>
      <w:r>
        <w:t>6.5.4.5</w:t>
      </w:r>
      <w:r>
        <w:fldChar w:fldCharType="end"/>
      </w:r>
      <w:r>
        <w:t xml:space="preserve"> for an alternative</w:t>
      </w:r>
    </w:p>
    <w:p w14:paraId="5002C101" w14:textId="77777777">
      <w:pPr>
        <w:pStyle w:val="Lista2"/>
      </w:pPr>
      <w:r>
        <w:t>line beginnings (as well as all structural milestones) after the lacuna must, as usual, be contained within block-level containers</w:t>
      </w:r>
    </w:p>
    <w:p w14:paraId="14B33662" w14:textId="77777777">
      <w:pPr>
        <w:pStyle w:val="Lista2"/>
      </w:pPr>
      <w:r>
        <w:lastRenderedPageBreak/>
        <w:t xml:space="preserve">if the available text begins within a word, then </w:t>
      </w:r>
      <w:r>
        <w:rPr>
          <w:rStyle w:val="Codeattribute"/>
        </w:rPr>
        <w:t>@break</w:t>
      </w:r>
      <w:r>
        <w:rPr>
          <w:rStyle w:val="Code"/>
        </w:rPr>
        <w:t>=</w:t>
      </w:r>
      <w:r>
        <w:rPr>
          <w:rStyle w:val="Codevalue"/>
        </w:rPr>
        <w:t>"no"</w:t>
      </w:r>
      <w:r>
        <w:t xml:space="preserve"> must be used normally (§</w:t>
      </w:r>
      <w:r>
        <w:fldChar w:fldCharType="begin"/>
      </w:r>
      <w:r>
        <w:instrText xml:space="preserve"> REF _Ref225519777 \r \h </w:instrText>
      </w:r>
      <w:r>
        <w:fldChar w:fldCharType="separate"/>
      </w:r>
      <w:r>
        <w:t>4.3.2.1</w:t>
      </w:r>
      <w:r>
        <w:fldChar w:fldCharType="end"/>
      </w:r>
      <w:r>
        <w:t>) on the line beginning (as well as any higher-level structural milestone) preceding it</w:t>
      </w:r>
    </w:p>
    <w:p w14:paraId="3A39FA1C" w14:textId="77777777">
      <w:pPr>
        <w:pStyle w:val="Lista2"/>
      </w:pPr>
      <w:r>
        <w:t>if any line has available text (whether extant or restored) at the end but no available text earlier, then an inline lacuna (§</w:t>
      </w:r>
      <w:r>
        <w:fldChar w:fldCharType="begin"/>
      </w:r>
      <w:r>
        <w:instrText xml:space="preserve"> REF _Ref43988016 \r \h </w:instrText>
      </w:r>
      <w:r>
        <w:fldChar w:fldCharType="separate"/>
      </w:r>
      <w:r>
        <w:t>6.5.2</w:t>
      </w:r>
      <w:r>
        <w:fldChar w:fldCharType="end"/>
      </w:r>
      <w:r>
        <w:t>) must be encoded for the beginning of that line</w:t>
      </w:r>
    </w:p>
    <w:p w14:paraId="5D3CD9F7" w14:textId="77777777">
      <w:pPr>
        <w:pStyle w:val="Lista3"/>
      </w:pPr>
      <w:r>
        <w:t>the inline lacuna is an entity separate from the massive lacuna and must, as usual, be within and not outside the block level text containers</w:t>
      </w:r>
    </w:p>
    <w:p w14:paraId="0282B1C0" w14:textId="77777777">
      <w:pPr>
        <w:pStyle w:val="Lista4"/>
      </w:pPr>
      <w:r>
        <w:t>if this happens in a verse context, attempt to reconstruct verse structure as per §</w:t>
      </w:r>
      <w:r>
        <w:fldChar w:fldCharType="begin"/>
      </w:r>
      <w:r>
        <w:instrText xml:space="preserve"> REF _Ref228267821 \r \h </w:instrText>
      </w:r>
      <w:r>
        <w:fldChar w:fldCharType="separate"/>
      </w:r>
      <w:r>
        <w:t>6.5.2.2</w:t>
      </w:r>
      <w:r>
        <w:fldChar w:fldCharType="end"/>
      </w:r>
      <w:r>
        <w:t xml:space="preserve"> for the duration of the inline lacuna, even though structure is not reconstructed for the massive lacuna itself</w:t>
      </w:r>
    </w:p>
    <w:p w14:paraId="6AE9BE22" w14:textId="77777777">
      <w:pPr>
        <w:pStyle w:val="Lista4"/>
      </w:pPr>
      <w:r>
        <w:t xml:space="preserve">however, if this proves problematic, you may alternatively choose to encode the incomplete stanza as above, then create an </w:t>
      </w:r>
      <w:r>
        <w:rPr>
          <w:rStyle w:val="Code"/>
        </w:rPr>
        <w:t>&lt;ab&gt;</w:t>
      </w:r>
      <w:r>
        <w:t xml:space="preserve"> element after it (and before the massive lacuna) to contain only the inline lacuna</w:t>
      </w:r>
    </w:p>
    <w:p w14:paraId="242FFEB7" w14:textId="77777777">
      <w:pPr>
        <w:pStyle w:val="Lista2"/>
      </w:pPr>
      <w:r>
        <w:t>if an inscription with a massive lacuna contains pages or pagelike milestones, handle it according to the considerations offered for incomplete copperplate sets (§</w:t>
      </w:r>
      <w:r>
        <w:fldChar w:fldCharType="begin"/>
      </w:r>
      <w:r>
        <w:instrText xml:space="preserve"> REF _Ref228453273 \r \h </w:instrText>
      </w:r>
      <w:r>
        <w:fldChar w:fldCharType="separate"/>
      </w:r>
      <w:r>
        <w:t>6.5.5</w:t>
      </w:r>
      <w:r>
        <w:fldChar w:fldCharType="end"/>
      </w:r>
      <w:r>
        <w:t>)</w:t>
      </w:r>
    </w:p>
    <w:p w14:paraId="604B6D4C" w14:textId="77777777">
      <w:pPr>
        <w:pStyle w:val="Lista2"/>
      </w:pPr>
      <w:r>
        <w:t>if an inscription with a massive lacuna contains lower-level structural boundaries (gridlike milestones), these must be ignored for the extent of the massive lacuna itself, but</w:t>
      </w:r>
    </w:p>
    <w:p w14:paraId="48ACED00" w14:textId="77777777">
      <w:pPr>
        <w:pStyle w:val="Lista3"/>
      </w:pPr>
      <w:r>
        <w:t>must be reconstructed as applicable to any restored text</w:t>
      </w:r>
    </w:p>
    <w:p w14:paraId="67735541" w14:textId="377B2D01">
      <w:pPr>
        <w:pStyle w:val="Lista3"/>
      </w:pPr>
      <w:r>
        <w:t>may be optionally reconstructed for the segmentation of inline lacunae adjacent to the massive lacuna, when this is feasible</w:t>
      </w:r>
    </w:p>
    <w:tbl>
      <w:tblPr>
        <w:tblStyle w:val="CodeSampleTable"/>
        <w:tblW w:w="5000" w:type="pct"/>
        <w:tblLook w:val="04A0" w:firstRow="1" w:lastRow="0" w:firstColumn="1" w:lastColumn="0" w:noHBand="0" w:noVBand="1"/>
      </w:tblPr>
      <w:tblGrid>
        <w:gridCol w:w="9628"/>
      </w:tblGrid>
      <w:tr w14:paraId="1AB4E1A8"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E9A90E1" w14:textId="77777777">
            <w:pPr>
              <w:pStyle w:val="Kpalrs"/>
            </w:pPr>
            <w:bookmarkStart w:id="596" w:name="_Ref228450997"/>
            <w:r>
              <w:t xml:space="preserve">Exhibit </w:t>
            </w:r>
            <w:fldSimple w:instr=" STYLEREF 2 \s ">
              <w:r>
                <w:rPr>
                  <w:noProof/>
                </w:rPr>
                <w:t>6.5</w:t>
              </w:r>
            </w:fldSimple>
            <w:r>
              <w:t>.</w:t>
            </w:r>
            <w:fldSimple w:instr=" SEQ Exhibit \* ALPHABETIC \s 2 ">
              <w:r>
                <w:rPr>
                  <w:noProof/>
                </w:rPr>
                <w:t>H</w:t>
              </w:r>
            </w:fldSimple>
            <w:bookmarkEnd w:id="596"/>
            <w:r>
              <w:t>: massive initial lacuna</w:t>
            </w:r>
          </w:p>
        </w:tc>
      </w:tr>
      <w:tr w14:paraId="1B7A9DCD" w14:textId="77777777">
        <w:tc>
          <w:tcPr>
            <w:tcW w:w="5000" w:type="pct"/>
          </w:tcPr>
          <w:p w14:paraId="28419C4F" w14:textId="77777777">
            <w:pPr>
              <w:pStyle w:val="CodeParagraph"/>
              <w:rPr>
                <w:rStyle w:val="Code"/>
              </w:rPr>
            </w:pP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
              </w:rPr>
              <w:t xml:space="preserve">&lt;p </w:t>
            </w:r>
            <w:r>
              <w:rPr>
                <w:rStyle w:val="Codeattribute"/>
              </w:rPr>
              <w:t>part</w:t>
            </w:r>
            <w:r>
              <w:rPr>
                <w:rStyle w:val="Code"/>
              </w:rPr>
              <w:t>=</w:t>
            </w:r>
            <w:r>
              <w:rPr>
                <w:rStyle w:val="Codevalue"/>
              </w:rPr>
              <w:t>"F"</w:t>
            </w:r>
            <w:r>
              <w:rPr>
                <w:rStyle w:val="Code"/>
              </w:rPr>
              <w:t>&gt;</w:t>
            </w:r>
          </w:p>
          <w:p w14:paraId="781657F7" w14:textId="77777777">
            <w:pPr>
              <w:pStyle w:val="CodeParagraph"/>
              <w:rPr>
                <w:rStyle w:val="Codetext"/>
              </w:rPr>
            </w:pPr>
            <w:r>
              <w:rPr>
                <w:rStyle w:val="Code"/>
              </w:rPr>
              <w:t xml:space="preserve">  &lt;lb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"illegible"</w:t>
            </w:r>
            <w:r>
              <w:rPr>
                <w:rStyle w:val="Code"/>
              </w:rPr>
              <w:t xml:space="preserve"> </w:t>
            </w:r>
            <w:r>
              <w:rPr>
                <w:rStyle w:val="Codeattribute"/>
              </w:rPr>
              <w:t>precision</w:t>
            </w:r>
            <w:r>
              <w:rPr>
                <w:rStyle w:val="Code"/>
              </w:rPr>
              <w:t>=</w:t>
            </w:r>
            <w:r>
              <w:rPr>
                <w:rStyle w:val="Codevalue"/>
              </w:rPr>
              <w:t>"low"</w:t>
            </w:r>
            <w:r>
              <w:rPr>
                <w:rStyle w:val="Code"/>
              </w:rPr>
              <w:t xml:space="preserve"> </w:t>
            </w:r>
            <w:r>
              <w:rPr>
                <w:rStyle w:val="Codeattribute"/>
              </w:rPr>
              <w:t>quantity</w:t>
            </w:r>
            <w:r>
              <w:rPr>
                <w:rStyle w:val="Code"/>
              </w:rPr>
              <w:t>=</w:t>
            </w:r>
            <w:r>
              <w:rPr>
                <w:rStyle w:val="Codevalue"/>
              </w:rPr>
              <w:t>"7"</w:t>
            </w:r>
            <w:r>
              <w:rPr>
                <w:rStyle w:val="Code"/>
              </w:rPr>
              <w:t xml:space="preserve"> </w:t>
            </w:r>
            <w:r>
              <w:rPr>
                <w:rStyle w:val="Codeattribute"/>
              </w:rPr>
              <w:t>unit</w:t>
            </w:r>
            <w:r>
              <w:rPr>
                <w:rStyle w:val="Code"/>
              </w:rPr>
              <w:t>=</w:t>
            </w:r>
            <w:r>
              <w:rPr>
                <w:rStyle w:val="Codevalue"/>
              </w:rPr>
              <w:t>"character"</w:t>
            </w:r>
            <w:r>
              <w:rPr>
                <w:rStyle w:val="Code"/>
              </w:rPr>
              <w:t>/&gt;</w:t>
            </w:r>
            <w:r>
              <w:rPr>
                <w:rStyle w:val="Codetext"/>
              </w:rPr>
              <w:br/>
              <w:t xml:space="preserve">  bhagavat-paśupati-bhaṭṭāraka-pādānugr̥hīto bappa-pādānu</w:t>
            </w:r>
          </w:p>
          <w:p w14:paraId="0C3993B2" w14:textId="77777777">
            <w:pPr>
              <w:pStyle w:val="CodeParagraph"/>
              <w:rPr>
                <w:rStyle w:val="Codetext"/>
              </w:rPr>
            </w:pPr>
            <w:r>
              <w:rPr>
                <w:rStyle w:val="Codetext"/>
              </w:rPr>
              <w:t xml:space="preserve">  </w:t>
            </w:r>
            <w:r>
              <w:rPr>
                <w:rStyle w:val="Code"/>
              </w:rPr>
              <w:t xml:space="preserve">&lt;lb </w:t>
            </w:r>
            <w:r>
              <w:rPr>
                <w:rStyle w:val="Codeattribute"/>
              </w:rPr>
              <w:t>n</w:t>
            </w:r>
            <w:r>
              <w:rPr>
                <w:rStyle w:val="Code"/>
              </w:rPr>
              <w:t>=</w:t>
            </w:r>
            <w:r>
              <w:rPr>
                <w:rStyle w:val="Codevalue"/>
              </w:rPr>
              <w:t>"12"</w:t>
            </w:r>
            <w:r>
              <w:rPr>
                <w:rStyle w:val="Code"/>
              </w:rPr>
              <w:t xml:space="preserve"> </w:t>
            </w:r>
            <w:r>
              <w:rPr>
                <w:rStyle w:val="Codeattribute"/>
              </w:rPr>
              <w:t>break</w:t>
            </w:r>
            <w:r>
              <w:rPr>
                <w:rStyle w:val="Code"/>
              </w:rPr>
              <w:t>=</w:t>
            </w:r>
            <w:r>
              <w:rPr>
                <w:rStyle w:val="Codevalue"/>
              </w:rPr>
              <w:t>"no"</w:t>
            </w:r>
            <w:r>
              <w:rPr>
                <w:rStyle w:val="Code"/>
              </w:rPr>
              <w:t>/&gt;</w:t>
            </w:r>
            <w:r>
              <w:rPr>
                <w:rStyle w:val="Codetext"/>
              </w:rPr>
              <w:t>dhyātaḥ parama-bhaṭṭāraka-mahārājādhirāja-śrī-narendradevaḥ kuśali ...</w:t>
            </w:r>
          </w:p>
          <w:p w14:paraId="17E3DBF9" w14:textId="77777777">
            <w:pPr>
              <w:pStyle w:val="CodeParagraph"/>
            </w:pPr>
            <w:r>
              <w:rPr>
                <w:rStyle w:val="Code"/>
              </w:rPr>
              <w:t>&lt;/p&gt;</w:t>
            </w:r>
          </w:p>
        </w:tc>
      </w:tr>
      <w:tr w14:paraId="5EFE6952" w14:textId="77777777">
        <w:tc>
          <w:tcPr>
            <w:tcW w:w="5000" w:type="pct"/>
          </w:tcPr>
          <w:p w14:paraId="4A0479BE" w14:textId="77777777">
            <w:pPr>
              <w:pStyle w:val="TableNote"/>
            </w:pPr>
            <w:r>
              <w:t>an unknown number of lines have been lost before the first extant line</w:t>
            </w:r>
          </w:p>
          <w:p w14:paraId="28BF57AD" w14:textId="77777777">
            <w:pPr>
              <w:pStyle w:val="TableNote"/>
            </w:pPr>
            <w:r>
              <w:t>the initial part of the fist extant line is also illegible, encoded as an inline lacuna</w:t>
            </w:r>
          </w:p>
          <w:p w14:paraId="4F933FAB" w14:textId="77777777">
            <w:pPr>
              <w:pStyle w:val="TableNote"/>
            </w:pPr>
            <w:r>
              <w:t>a block-level container is opened after the massive lacuna</w:t>
            </w:r>
          </w:p>
        </w:tc>
      </w:tr>
    </w:tbl>
    <w:p w14:paraId="611B65B3" w14:textId="77777777">
      <w:pPr>
        <w:pStyle w:val="Cmsor4"/>
      </w:pPr>
      <w:bookmarkStart w:id="597" w:name="_Ref228367464"/>
      <w:r>
        <w:t>Avoiding the need to reconstruct structure for restored text</w:t>
      </w:r>
      <w:bookmarkEnd w:id="597"/>
    </w:p>
    <w:p w14:paraId="731967FB" w14:textId="77777777">
      <w:pPr>
        <w:rPr>
          <w:lang w:eastAsia="en-US" w:bidi="ar-SA"/>
        </w:rPr>
      </w:pPr>
      <w:r>
        <w:rPr>
          <w:lang w:eastAsia="en-US" w:bidi="ar-SA"/>
        </w:rPr>
        <w:t>The procedure for encoding a massive lacuna allows you not to reconstruct the document’s intrinsic and extrinsic structure within the stretch lost to the lacuna, but requires you to reconstruct both structures for all available text. A consequence of this is that when a lacuna’s physical beginning or end coincides with a structural boundary, then a separate structural unit must be created for any restored text, even if that text is just the beginning or end of a partially extant word. In order to avoid this complication, we suggest the following workaround.</w:t>
      </w:r>
    </w:p>
    <w:p w14:paraId="30B6EDDD" w14:textId="77777777">
      <w:pPr>
        <w:pStyle w:val="Lista"/>
      </w:pPr>
      <w:r>
        <w:t xml:space="preserve">instead of including the restoration in the text of your edition, mention it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74CFFD7D" w14:textId="77777777">
      <w:pPr>
        <w:pStyle w:val="Lista"/>
      </w:pPr>
      <w:r>
        <w:t>this method is recommended especially in the following cases:</w:t>
      </w:r>
    </w:p>
    <w:p w14:paraId="6A3CAC2E" w14:textId="77777777">
      <w:pPr>
        <w:pStyle w:val="Lista2"/>
      </w:pPr>
      <w:r>
        <w:t xml:space="preserve">for very short restorations </w:t>
      </w:r>
      <w:r>
        <w:rPr>
          <w:noProof/>
        </w:rPr>
        <w:t>(</w:t>
      </w:r>
      <w:r>
        <w:t>smaller than one word)</w:t>
      </w:r>
    </w:p>
    <w:p w14:paraId="34A63FA5" w14:textId="77777777">
      <w:pPr>
        <w:pStyle w:val="Lista2"/>
      </w:pPr>
      <w:r>
        <w:t>for the restoration of widely occurring text such as standardised genealogies or stock admonitory verses in land grants</w:t>
      </w:r>
    </w:p>
    <w:p w14:paraId="68E47C19" w14:textId="77777777">
      <w:pPr>
        <w:pStyle w:val="Lista2"/>
      </w:pPr>
      <w:r>
        <w:t>for restorations where several alternatives are deemed possible, so including them in the text of the edition would be difficult anyway</w:t>
      </w:r>
    </w:p>
    <w:p w14:paraId="2079BF26" w14:textId="77777777">
      <w:pPr>
        <w:pStyle w:val="Cmsor4"/>
      </w:pPr>
      <w:r>
        <w:t>Massive lacunae affecting the numbering of structural elements</w:t>
      </w:r>
    </w:p>
    <w:p w14:paraId="79A6D624" w14:textId="77777777">
      <w:pPr>
        <w:rPr>
          <w:lang w:eastAsia="en-US" w:bidi="ar-SA"/>
        </w:rPr>
      </w:pPr>
      <w:r>
        <w:rPr>
          <w:lang w:eastAsia="en-US" w:bidi="ar-SA"/>
        </w:rPr>
        <w:t>DHARMA editions mandatorily include editorial numbering for units of extrinsic structure and for stanzas of verse. A massive final lacuna has no relevance to such numeration, but if a large chunk of text is unavailable at the beginning or middle of the document, then the numbers assigned to these units require an editorial decision. This subsection presents rules of thumb for that decision.</w:t>
      </w:r>
    </w:p>
    <w:p w14:paraId="10720BE8" w14:textId="77777777">
      <w:pPr>
        <w:pStyle w:val="Lista"/>
        <w:rPr>
          <w:lang w:eastAsia="en-US" w:bidi="ar-SA"/>
        </w:rPr>
      </w:pPr>
      <w:r>
        <w:rPr>
          <w:lang w:eastAsia="en-US" w:bidi="ar-SA"/>
        </w:rPr>
        <w:t>after an initial lacuna</w:t>
      </w:r>
    </w:p>
    <w:p w14:paraId="023F7B42" w14:textId="77777777">
      <w:pPr>
        <w:pStyle w:val="Lista2"/>
      </w:pPr>
      <w:r>
        <w:lastRenderedPageBreak/>
        <w:t>if it is possible to calculate or estimate how many units are unavailable, then feel free to number the extant units from the next greater number onward</w:t>
      </w:r>
    </w:p>
    <w:p w14:paraId="58683A63" w14:textId="77777777">
      <w:pPr>
        <w:pStyle w:val="Lista2"/>
      </w:pPr>
      <w:r>
        <w:t>if such an estimate is not possible, or for any reason you prefer not to rely on it, then treat the lacuna as a black box and start numbering the extant units from 1</w:t>
      </w:r>
    </w:p>
    <w:p w14:paraId="3194D6A3" w14:textId="77777777">
      <w:pPr>
        <w:pStyle w:val="Lista2"/>
      </w:pPr>
      <w:r>
        <w:t>any mix of these numeration schemes may be used</w:t>
      </w:r>
    </w:p>
    <w:p w14:paraId="35FB008F" w14:textId="77777777">
      <w:pPr>
        <w:pStyle w:val="Lista3"/>
      </w:pPr>
      <w:r>
        <w:t>for example you may choose to number lines from the next greater number because the unavailable lines can be counted with fair confidence, but number stanzas from 1 because there is no way to tell how many, if any, stanzas were present in the unavailable text</w:t>
      </w:r>
    </w:p>
    <w:p w14:paraId="79514384" w14:textId="77777777">
      <w:pPr>
        <w:pStyle w:val="Lista"/>
      </w:pPr>
      <w:r>
        <w:t>after a medial lacuna</w:t>
      </w:r>
    </w:p>
    <w:p w14:paraId="3D98096D" w14:textId="77777777">
      <w:pPr>
        <w:pStyle w:val="Lista2"/>
      </w:pPr>
      <w:r>
        <w:t>if it is possible to calculate or estimate how many units are unavailable, then preferably add their number to the number of extant units before the lacuna, and number the extant units after the lacuna from the next greater number onward</w:t>
      </w:r>
    </w:p>
    <w:p w14:paraId="0CAE78C9" w14:textId="77777777">
      <w:pPr>
        <w:pStyle w:val="Lista2"/>
      </w:pPr>
      <w:r>
        <w:t>if such an estimate is not possible, or you strongly prefer not to rely on it, then treat the lacuna as a black box and start numbering the extant units after the lacuna from the next higher number following the extant units before the lacuna</w:t>
      </w:r>
    </w:p>
    <w:p w14:paraId="1C5C76DC" w14:textId="77777777">
      <w:pPr>
        <w:pStyle w:val="Lista2"/>
      </w:pPr>
      <w:r>
        <w:t>any mix of the above numeration schemes may be used</w:t>
      </w:r>
    </w:p>
    <w:p w14:paraId="2248A679" w14:textId="77777777">
      <w:pPr>
        <w:pStyle w:val="Lista2"/>
      </w:pPr>
      <w:r>
        <w:t>if neither seems satisfactory, you may opt to create complex numbers (analogous to repetitive line numbering, §</w:t>
      </w:r>
      <w:r>
        <w:fldChar w:fldCharType="begin"/>
      </w:r>
      <w:r>
        <w:instrText xml:space="preserve"> REF _Ref182228380 \r \h </w:instrText>
      </w:r>
      <w:r>
        <w:fldChar w:fldCharType="separate"/>
      </w:r>
      <w:r>
        <w:t>4.5.2.2</w:t>
      </w:r>
      <w:r>
        <w:fldChar w:fldCharType="end"/>
      </w:r>
      <w:r>
        <w:t>) for all units that require numeration</w:t>
      </w:r>
    </w:p>
    <w:p w14:paraId="58272D8C" w14:textId="77777777">
      <w:pPr>
        <w:pStyle w:val="Lista2"/>
      </w:pPr>
      <w:r>
        <w:t>keep in mind that if you choose to create textparts instead of encoding a massive lacuna (§</w:t>
      </w:r>
      <w:r>
        <w:fldChar w:fldCharType="begin"/>
      </w:r>
      <w:r>
        <w:instrText xml:space="preserve"> REF _Ref228452369 \r \h </w:instrText>
      </w:r>
      <w:r>
        <w:fldChar w:fldCharType="separate"/>
      </w:r>
      <w:r>
        <w:t>6.5.4.1</w:t>
      </w:r>
      <w:r>
        <w:fldChar w:fldCharType="end"/>
      </w:r>
      <w:r>
        <w:t>), then numeration of all units must be restarted in every textpart division</w:t>
      </w:r>
    </w:p>
    <w:p w14:paraId="720B3989" w14:textId="77777777">
      <w:pPr>
        <w:pStyle w:val="Cmsor3"/>
      </w:pPr>
      <w:bookmarkStart w:id="598" w:name="_ogtcaja4eie" w:colFirst="0" w:colLast="0"/>
      <w:bookmarkStart w:id="599" w:name="_Ref228453273"/>
      <w:bookmarkStart w:id="600" w:name="_Toc243900328"/>
      <w:bookmarkEnd w:id="598"/>
      <w:r>
        <w:t>Managing incomplete copperplate sets</w:t>
      </w:r>
      <w:bookmarkEnd w:id="599"/>
      <w:bookmarkEnd w:id="600"/>
    </w:p>
    <w:p w14:paraId="33AB2944" w14:textId="77777777">
      <w:r>
        <w:rPr>
          <w:lang w:eastAsia="en-US" w:bidi="ar-SA"/>
        </w:rPr>
        <w:t xml:space="preserve">Essentially, sets of copper plates of which one or more plates are missing are no different from any other document with a massive lacuna. However, the existence of discrete and separable plates complicates the encoding of structure. It </w:t>
      </w:r>
      <w:r>
        <w:t xml:space="preserve">would be theoretically permissible to use </w:t>
      </w:r>
      <w:r>
        <w:rPr>
          <w:rStyle w:val="Codevalue"/>
        </w:rPr>
        <w:t>"plate"</w:t>
      </w:r>
      <w:r>
        <w:t xml:space="preserve"> or a related concept as the value of </w:t>
      </w:r>
      <w:r>
        <w:rPr>
          <w:rStyle w:val="Codeattribute"/>
        </w:rPr>
        <w:t>@unit</w:t>
      </w:r>
      <w:r>
        <w:t xml:space="preserve"> in a </w:t>
      </w:r>
      <w:r>
        <w:rPr>
          <w:rStyle w:val="Code"/>
        </w:rPr>
        <w:t>&lt;gap/&gt;</w:t>
      </w:r>
      <w:r>
        <w:t xml:space="preserve"> element for encoding plate-level lacunae, but we see no practical advantage to doing so. Instead, proceed as instructed in this section.</w:t>
      </w:r>
    </w:p>
    <w:p w14:paraId="485AF024" w14:textId="77777777">
      <w:pPr>
        <w:pStyle w:val="Cmsor4"/>
      </w:pPr>
      <w:bookmarkStart w:id="601" w:name="_Ref228457421"/>
      <w:r>
        <w:t>Lost final plates</w:t>
      </w:r>
      <w:bookmarkEnd w:id="601"/>
    </w:p>
    <w:p w14:paraId="63BB7822" w14:textId="77777777">
      <w:pPr>
        <w:rPr>
          <w:b/>
          <w:bCs/>
        </w:rPr>
      </w:pPr>
      <w:r>
        <w:t>Lost final plates shall normally be ignored in the encoding. However it is, at least in some corpora, possible to confidently estimate the number of lost pages, and even that of lines on each lost page. In such a case you may choose at your discretion to reconstruct the structure for all lost pages as per §</w:t>
      </w:r>
      <w:r>
        <w:fldChar w:fldCharType="begin"/>
      </w:r>
      <w:r>
        <w:instrText xml:space="preserve"> REF _Ref228455432 \r \h </w:instrText>
      </w:r>
      <w:r>
        <w:fldChar w:fldCharType="separate"/>
      </w:r>
      <w:r>
        <w:t>6.5.5.4</w:t>
      </w:r>
      <w:r>
        <w:fldChar w:fldCharType="end"/>
      </w:r>
      <w:r>
        <w:t>.</w:t>
      </w:r>
    </w:p>
    <w:p w14:paraId="29FC8F23" w14:textId="77777777">
      <w:pPr>
        <w:pStyle w:val="Lista"/>
      </w:pPr>
      <w:r>
        <w:t>as a rule, simply end your edition at the end of the extant text</w:t>
      </w:r>
    </w:p>
    <w:p w14:paraId="590C02F0" w14:textId="77777777">
      <w:pPr>
        <w:pStyle w:val="Lista2"/>
      </w:pPr>
      <w:r>
        <w:t>closing the currently open block-level container</w:t>
      </w:r>
    </w:p>
    <w:p w14:paraId="3CD98721" w14:textId="77777777">
      <w:pPr>
        <w:pStyle w:val="Lista2"/>
      </w:pPr>
      <w:r>
        <w:t xml:space="preserve">and adding </w:t>
      </w:r>
      <w:r>
        <w:rPr>
          <w:rStyle w:val="Codeattribute"/>
        </w:rPr>
        <w:t>@part</w:t>
      </w:r>
      <w:r>
        <w:rPr>
          <w:rStyle w:val="Code"/>
        </w:rPr>
        <w:t>=</w:t>
      </w:r>
      <w:r>
        <w:rPr>
          <w:rStyle w:val="Codevalue"/>
        </w:rPr>
        <w:t>"I"</w:t>
      </w:r>
      <w:r>
        <w:t xml:space="preserve"> if it is incomplete, as per §</w:t>
      </w:r>
      <w:r>
        <w:fldChar w:fldCharType="begin"/>
      </w:r>
      <w:r>
        <w:instrText xml:space="preserve"> REF _Ref228980509 \r \h </w:instrText>
      </w:r>
      <w:r>
        <w:fldChar w:fldCharType="separate"/>
      </w:r>
      <w:r>
        <w:t>3.2.3.1</w:t>
      </w:r>
      <w:r>
        <w:fldChar w:fldCharType="end"/>
      </w:r>
      <w:r>
        <w:t xml:space="preserve"> </w:t>
      </w:r>
    </w:p>
    <w:p w14:paraId="0021E3F2" w14:textId="77777777">
      <w:pPr>
        <w:pStyle w:val="Lista"/>
      </w:pPr>
      <w:r>
        <w:t>mention in your annotation that the subsequent plate(s) are lost</w:t>
      </w:r>
    </w:p>
    <w:p w14:paraId="2F325E0F" w14:textId="77777777">
      <w:pPr>
        <w:pStyle w:val="Lista"/>
      </w:pPr>
      <w:r>
        <w:t>if you are able to restore any text following the last extant plate</w:t>
      </w:r>
    </w:p>
    <w:p w14:paraId="3A4F2032" w14:textId="77777777">
      <w:pPr>
        <w:pStyle w:val="Lista2"/>
      </w:pPr>
      <w:r>
        <w:t>preferably record it outside the edition as suggested in §</w:t>
      </w:r>
      <w:r>
        <w:fldChar w:fldCharType="begin"/>
      </w:r>
      <w:r>
        <w:instrText xml:space="preserve"> REF _Ref228367464 \r \h </w:instrText>
      </w:r>
      <w:r>
        <w:fldChar w:fldCharType="separate"/>
      </w:r>
      <w:r>
        <w:t>6.5.4.5</w:t>
      </w:r>
      <w:r>
        <w:fldChar w:fldCharType="end"/>
      </w:r>
    </w:p>
    <w:p w14:paraId="0892EF9D" w14:textId="77777777">
      <w:pPr>
        <w:pStyle w:val="Lista2"/>
      </w:pPr>
      <w:r>
        <w:t>alternatively, reconstruct the structure for the following page as per §</w:t>
      </w:r>
      <w:r>
        <w:fldChar w:fldCharType="begin"/>
      </w:r>
      <w:r>
        <w:instrText xml:space="preserve"> REF _Ref228455432 \r \h </w:instrText>
      </w:r>
      <w:r>
        <w:fldChar w:fldCharType="separate"/>
      </w:r>
      <w:r>
        <w:t>6.5.5.4</w:t>
      </w:r>
      <w:r>
        <w:fldChar w:fldCharType="end"/>
      </w:r>
    </w:p>
    <w:p w14:paraId="07FF1E86" w14:textId="77777777">
      <w:pPr>
        <w:pStyle w:val="Cmsor4"/>
      </w:pPr>
      <w:bookmarkStart w:id="602" w:name="_Ref228457448"/>
      <w:r>
        <w:t>Lost initial plates</w:t>
      </w:r>
      <w:bookmarkEnd w:id="602"/>
    </w:p>
    <w:p w14:paraId="6142AEE7" w14:textId="77777777">
      <w:pPr>
        <w:rPr>
          <w:lang w:eastAsia="en-US" w:bidi="ar-SA"/>
        </w:rPr>
      </w:pPr>
      <w:r>
        <w:rPr>
          <w:lang w:eastAsia="en-US" w:bidi="ar-SA"/>
        </w:rPr>
        <w:t xml:space="preserve">Lost initial plates shall preferably be ignored in the encoding, but may affect the editorial numbering of extrinsic and intrinsic structural units in the extant text. </w:t>
      </w:r>
      <w:r>
        <w:t>At least in some corpora, it may be possible to confidently estimate the number of lost pages, and even that of lines on each lost page. In such a case you may choose at your discretion to reconstruct the structure for all lost pages as per §</w:t>
      </w:r>
      <w:r>
        <w:fldChar w:fldCharType="begin"/>
      </w:r>
      <w:r>
        <w:instrText xml:space="preserve"> REF _Ref228455432 \r \h </w:instrText>
      </w:r>
      <w:r>
        <w:fldChar w:fldCharType="separate"/>
      </w:r>
      <w:r>
        <w:t>6.5.5.4</w:t>
      </w:r>
      <w:r>
        <w:fldChar w:fldCharType="end"/>
      </w:r>
      <w:r>
        <w:t>.</w:t>
      </w:r>
    </w:p>
    <w:p w14:paraId="563CC4E9" w14:textId="77777777">
      <w:pPr>
        <w:pStyle w:val="Lista"/>
      </w:pPr>
      <w:r>
        <w:t>as a rule, simply start your edition at the beginning of the extant text</w:t>
      </w:r>
    </w:p>
    <w:p w14:paraId="745AF52F" w14:textId="77777777">
      <w:pPr>
        <w:pStyle w:val="Lista2"/>
      </w:pPr>
      <w:r>
        <w:t>creating the applicable block-level container(s)</w:t>
      </w:r>
    </w:p>
    <w:p w14:paraId="607D0468" w14:textId="77777777">
      <w:pPr>
        <w:pStyle w:val="Lista3"/>
      </w:pPr>
      <w:r>
        <w:t xml:space="preserve">and adding </w:t>
      </w:r>
      <w:r>
        <w:rPr>
          <w:rStyle w:val="Codeattribute"/>
        </w:rPr>
        <w:t>@part</w:t>
      </w:r>
      <w:r>
        <w:rPr>
          <w:rStyle w:val="Code"/>
        </w:rPr>
        <w:t>=</w:t>
      </w:r>
      <w:r>
        <w:rPr>
          <w:rStyle w:val="Codevalue"/>
        </w:rPr>
        <w:t>"F"</w:t>
      </w:r>
      <w:r>
        <w:t xml:space="preserve"> if they are incomplete, as per §</w:t>
      </w:r>
      <w:r>
        <w:fldChar w:fldCharType="begin"/>
      </w:r>
      <w:r>
        <w:instrText xml:space="preserve"> REF _Ref228980509 \r \h </w:instrText>
      </w:r>
      <w:r>
        <w:fldChar w:fldCharType="separate"/>
      </w:r>
      <w:r>
        <w:t>3.2.3.1</w:t>
      </w:r>
      <w:r>
        <w:fldChar w:fldCharType="end"/>
      </w:r>
      <w:r>
        <w:t xml:space="preserve"> </w:t>
      </w:r>
    </w:p>
    <w:p w14:paraId="371EFF32" w14:textId="77777777">
      <w:pPr>
        <w:pStyle w:val="Lista2"/>
      </w:pPr>
      <w:r>
        <w:t>and creating page and line beginnings normally</w:t>
      </w:r>
    </w:p>
    <w:p w14:paraId="3B30ECD8" w14:textId="77777777">
      <w:pPr>
        <w:pStyle w:val="Lista3"/>
      </w:pPr>
      <w:r>
        <w:t xml:space="preserve">adding </w:t>
      </w:r>
      <w:r>
        <w:rPr>
          <w:rStyle w:val="Codeattribute"/>
        </w:rPr>
        <w:t>@break</w:t>
      </w:r>
      <w:r>
        <w:rPr>
          <w:rStyle w:val="Code"/>
        </w:rPr>
        <w:t>=</w:t>
      </w:r>
      <w:r>
        <w:rPr>
          <w:rStyle w:val="Codevalue"/>
        </w:rPr>
        <w:t>"no"</w:t>
      </w:r>
      <w:r>
        <w:t xml:space="preserve"> to both if applicable (§</w:t>
      </w:r>
      <w:r>
        <w:fldChar w:fldCharType="begin"/>
      </w:r>
      <w:r>
        <w:instrText xml:space="preserve"> REF _Ref225519777 \r \h </w:instrText>
      </w:r>
      <w:r>
        <w:fldChar w:fldCharType="separate"/>
      </w:r>
      <w:r>
        <w:t>4.3.2.1</w:t>
      </w:r>
      <w:r>
        <w:fldChar w:fldCharType="end"/>
      </w:r>
      <w:r>
        <w:t>)</w:t>
      </w:r>
    </w:p>
    <w:p w14:paraId="5EFADF7A" w14:textId="77777777">
      <w:pPr>
        <w:pStyle w:val="Lista"/>
      </w:pPr>
      <w:r>
        <w:t>if you are able to restore any text preceding the first extant plate</w:t>
      </w:r>
    </w:p>
    <w:p w14:paraId="595C3053" w14:textId="77777777">
      <w:pPr>
        <w:pStyle w:val="Lista2"/>
      </w:pPr>
      <w:r>
        <w:lastRenderedPageBreak/>
        <w:t>preferably record it outside the edition as suggested in §</w:t>
      </w:r>
      <w:r>
        <w:fldChar w:fldCharType="begin"/>
      </w:r>
      <w:r>
        <w:instrText xml:space="preserve"> REF _Ref228367464 \r \h </w:instrText>
      </w:r>
      <w:r>
        <w:fldChar w:fldCharType="separate"/>
      </w:r>
      <w:r>
        <w:t>6.5.4.5</w:t>
      </w:r>
      <w:r>
        <w:fldChar w:fldCharType="end"/>
      </w:r>
    </w:p>
    <w:p w14:paraId="40B6B44C" w14:textId="77777777">
      <w:pPr>
        <w:pStyle w:val="Lista2"/>
      </w:pPr>
      <w:r>
        <w:t>alternatively, reconstruct the structure for the preceding page as per §</w:t>
      </w:r>
      <w:r>
        <w:fldChar w:fldCharType="begin"/>
      </w:r>
      <w:r>
        <w:instrText xml:space="preserve"> REF _Ref228455432 \r \h </w:instrText>
      </w:r>
      <w:r>
        <w:fldChar w:fldCharType="separate"/>
      </w:r>
      <w:r>
        <w:t>6.5.5.4</w:t>
      </w:r>
      <w:r>
        <w:fldChar w:fldCharType="end"/>
      </w:r>
    </w:p>
    <w:p w14:paraId="3C2FA0C6" w14:textId="77777777">
      <w:pPr>
        <w:pStyle w:val="Lista"/>
      </w:pPr>
      <w:r>
        <w:t>depending on your corpus, it may be possible to confidently estimate the number of lost pages, and even that of lines on each lost page</w:t>
      </w:r>
    </w:p>
    <w:p w14:paraId="0A37AB9E" w14:textId="77777777">
      <w:pPr>
        <w:pStyle w:val="Lista2"/>
      </w:pPr>
      <w:r>
        <w:t>if this is the case, you may choose at your discretion to reconstruct all lost pages as per §</w:t>
      </w:r>
      <w:r>
        <w:fldChar w:fldCharType="begin"/>
      </w:r>
      <w:r>
        <w:instrText xml:space="preserve"> REF _Ref228455432 \r \h </w:instrText>
      </w:r>
      <w:r>
        <w:fldChar w:fldCharType="separate"/>
      </w:r>
      <w:r>
        <w:t>6.5.5.4</w:t>
      </w:r>
      <w:r>
        <w:fldChar w:fldCharType="end"/>
      </w:r>
    </w:p>
    <w:p w14:paraId="14BF7E27" w14:textId="77777777">
      <w:pPr>
        <w:pStyle w:val="Lista"/>
      </w:pPr>
      <w:r>
        <w:t>number pages as follows</w:t>
      </w:r>
    </w:p>
    <w:p w14:paraId="11576906" w14:textId="77777777">
      <w:pPr>
        <w:pStyle w:val="Lista2"/>
      </w:pPr>
      <w:r>
        <w:t>preferably: calculate or estimate the number of lost initial plates and start the numbering of the extant plates with the next higher number</w:t>
      </w:r>
    </w:p>
    <w:p w14:paraId="6164D043" w14:textId="77777777">
      <w:pPr>
        <w:pStyle w:val="Lista3"/>
      </w:pPr>
      <w:r>
        <w:t>thus, if you estimate that two plates were lost at the beginning of a set, then</w:t>
      </w:r>
    </w:p>
    <w:p w14:paraId="7396864F" w14:textId="77777777">
      <w:pPr>
        <w:pStyle w:val="Lista4"/>
      </w:pPr>
      <w:r>
        <w:t>the extant text will be encoded as beginning on page 3r</w:t>
      </w:r>
    </w:p>
    <w:p w14:paraId="70AB7B15" w14:textId="77777777">
      <w:pPr>
        <w:pStyle w:val="Lista4"/>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being at the bottom of page 2v</w:t>
      </w:r>
    </w:p>
    <w:p w14:paraId="7D9DD487" w14:textId="77777777">
      <w:pPr>
        <w:pStyle w:val="Lista2"/>
      </w:pPr>
      <w:r>
        <w:t>if no reliable estimate can be made, start the numbering of the plates with available text from 1, thus</w:t>
      </w:r>
    </w:p>
    <w:p w14:paraId="2AEF41A5" w14:textId="77777777">
      <w:pPr>
        <w:pStyle w:val="Lista3"/>
      </w:pPr>
      <w:r>
        <w:t>if no restoration precedes the extant text, then extant text will be encoded as beginning on page 1r</w:t>
      </w:r>
    </w:p>
    <w:p w14:paraId="37B6217F" w14:textId="77777777">
      <w:pPr>
        <w:pStyle w:val="Lista3"/>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beginning at the bottom of page 1v, while the extant text will be encoded as beginning on page 2r</w:t>
      </w:r>
    </w:p>
    <w:p w14:paraId="612FD4B5" w14:textId="77777777">
      <w:pPr>
        <w:pStyle w:val="Lista"/>
      </w:pPr>
      <w:r>
        <w:t>number lines as follows</w:t>
      </w:r>
    </w:p>
    <w:p w14:paraId="03002037" w14:textId="77777777">
      <w:pPr>
        <w:pStyle w:val="Lista2"/>
      </w:pPr>
      <w:r>
        <w:t>if the number of lost lines can be calculated or at least estimated confidently, then start the numbering of the extant lines with the next higher number</w:t>
      </w:r>
    </w:p>
    <w:p w14:paraId="36E08625" w14:textId="77777777">
      <w:pPr>
        <w:pStyle w:val="Lista3"/>
      </w:pPr>
      <w:r>
        <w:t>thus, if you estimate that twenty lines were lost at the beginning of a set, then</w:t>
      </w:r>
    </w:p>
    <w:p w14:paraId="5E86FAB4" w14:textId="77777777">
      <w:pPr>
        <w:pStyle w:val="Lista4"/>
      </w:pPr>
      <w:r>
        <w:t>the extant text will be encoded as beginning in line 21</w:t>
      </w:r>
    </w:p>
    <w:p w14:paraId="7B4CC43F" w14:textId="77777777">
      <w:pPr>
        <w:pStyle w:val="Lista4"/>
      </w:pPr>
      <w:r>
        <w:t>any restoration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being at the end of line 20</w:t>
      </w:r>
    </w:p>
    <w:p w14:paraId="4B11A490" w14:textId="77777777">
      <w:pPr>
        <w:pStyle w:val="Lista2"/>
      </w:pPr>
      <w:r>
        <w:t>if no reliable estimate can be made, start the numbering of the lines with available text from 1, thus</w:t>
      </w:r>
    </w:p>
    <w:p w14:paraId="7EE315EE" w14:textId="77777777">
      <w:pPr>
        <w:pStyle w:val="Lista3"/>
      </w:pPr>
      <w:r>
        <w:t>if no restoration precedes the extant text, then the extant text will be encoded as beginning in line 1</w:t>
      </w:r>
    </w:p>
    <w:p w14:paraId="68CD41B2" w14:textId="77777777">
      <w:pPr>
        <w:pStyle w:val="Lista3"/>
      </w:pPr>
      <w:r>
        <w:t>any restoration (covering less than a full line) preceding the extant text (when not recorded outside the edition as per §</w:t>
      </w:r>
      <w:r>
        <w:fldChar w:fldCharType="begin"/>
      </w:r>
      <w:r>
        <w:instrText xml:space="preserve"> REF _Ref228367464 \r \h </w:instrText>
      </w:r>
      <w:r>
        <w:fldChar w:fldCharType="separate"/>
      </w:r>
      <w:r>
        <w:t>6.5.4.5</w:t>
      </w:r>
      <w:r>
        <w:fldChar w:fldCharType="end"/>
      </w:r>
      <w:r>
        <w:t>) will be encoded as beginning at the end of line 1, while the extant text will be encoded as beginning in line 2</w:t>
      </w:r>
    </w:p>
    <w:p w14:paraId="255E3BC8" w14:textId="77777777">
      <w:pPr>
        <w:pStyle w:val="Lista2"/>
      </w:pPr>
      <w:r>
        <w:t>alternatively, especially if the number of lost plates can be estimated but that of lost lines cannot, use complex line numbering (§</w:t>
      </w:r>
      <w:r>
        <w:fldChar w:fldCharType="begin"/>
      </w:r>
      <w:r>
        <w:instrText xml:space="preserve"> REF _Ref182228380 \r \h </w:instrText>
      </w:r>
      <w:r>
        <w:fldChar w:fldCharType="separate"/>
      </w:r>
      <w:r>
        <w:t>4.5.2.2</w:t>
      </w:r>
      <w:r>
        <w:fldChar w:fldCharType="end"/>
      </w:r>
      <w:r>
        <w:t>) even if the rest of your corpus uses consecutive line numbers</w:t>
      </w:r>
    </w:p>
    <w:p w14:paraId="2B2833A3" w14:textId="77777777">
      <w:pPr>
        <w:pStyle w:val="Lista"/>
      </w:pPr>
      <w:r>
        <w:t>number stanzas as follows</w:t>
      </w:r>
    </w:p>
    <w:p w14:paraId="4051AEBC" w14:textId="77777777">
      <w:pPr>
        <w:pStyle w:val="Lista2"/>
      </w:pPr>
      <w:r>
        <w:t>if on the basis of related texts you can estimate the number of lost stanzas with great confidence, start numbering extant stanzas with the next higher number</w:t>
      </w:r>
    </w:p>
    <w:p w14:paraId="18A936D2" w14:textId="77777777">
      <w:pPr>
        <w:pStyle w:val="Lista2"/>
      </w:pPr>
      <w:r>
        <w:t>in all other cases, number extant stanzas from 1</w:t>
      </w:r>
    </w:p>
    <w:p w14:paraId="2EA8C592" w14:textId="77777777">
      <w:pPr>
        <w:pStyle w:val="Cmsor4"/>
      </w:pPr>
      <w:bookmarkStart w:id="603" w:name="_Ref149918878"/>
      <w:r>
        <w:t>Lost medial plates</w:t>
      </w:r>
      <w:bookmarkEnd w:id="603"/>
    </w:p>
    <w:p w14:paraId="1BB03D1F" w14:textId="77777777">
      <w:r>
        <w:t>Unlike incomplete copperplate sets with only the end and/or only the beginning missing, we prefer not to ignore lost medial plates in our encoding.</w:t>
      </w:r>
    </w:p>
    <w:p w14:paraId="532581E3" w14:textId="77777777">
      <w:pPr>
        <w:pStyle w:val="Lista"/>
      </w:pPr>
      <w:r>
        <w:t xml:space="preserve">if the number of lost plates is known or can be estimated with at least some confidence, then </w:t>
      </w:r>
    </w:p>
    <w:p w14:paraId="60F4C112" w14:textId="77777777">
      <w:pPr>
        <w:pStyle w:val="Lista2"/>
      </w:pPr>
      <w:r>
        <w:t>reconstruct the structure for the lost plates as per §</w:t>
      </w:r>
      <w:r>
        <w:fldChar w:fldCharType="begin"/>
      </w:r>
      <w:r>
        <w:instrText xml:space="preserve"> REF _Ref228455432 \r \h </w:instrText>
      </w:r>
      <w:r>
        <w:fldChar w:fldCharType="separate"/>
      </w:r>
      <w:r>
        <w:t>6.5.5.4</w:t>
      </w:r>
      <w:r>
        <w:fldChar w:fldCharType="end"/>
      </w:r>
    </w:p>
    <w:p w14:paraId="289FC70D" w14:textId="77777777">
      <w:pPr>
        <w:pStyle w:val="Lista3"/>
      </w:pPr>
      <w:r>
        <w:t xml:space="preserve">the Case Study in </w:t>
      </w:r>
      <w:r>
        <w:fldChar w:fldCharType="begin"/>
      </w:r>
      <w:r>
        <w:instrText xml:space="preserve"> REF _Ref239844389 \r \h </w:instrText>
      </w:r>
      <w:r>
        <w:fldChar w:fldCharType="separate"/>
      </w:r>
      <w:r>
        <w:t>Appendix A.3</w:t>
      </w:r>
      <w:r>
        <w:fldChar w:fldCharType="end"/>
      </w:r>
      <w:r>
        <w:t xml:space="preserve"> shows a fully encoded illustration of a reconstructed medial plate </w:t>
      </w:r>
    </w:p>
    <w:p w14:paraId="14A40CB3" w14:textId="77777777">
      <w:pPr>
        <w:pStyle w:val="Lista2"/>
      </w:pPr>
      <w:r>
        <w:t>before the first lost plate, encode the text as you would for lost final plates (§</w:t>
      </w:r>
      <w:r>
        <w:fldChar w:fldCharType="begin"/>
      </w:r>
      <w:r>
        <w:instrText xml:space="preserve"> REF _Ref228457421 \r \h </w:instrText>
      </w:r>
      <w:r>
        <w:fldChar w:fldCharType="separate"/>
      </w:r>
      <w:r>
        <w:t>6.5.5.1</w:t>
      </w:r>
      <w:r>
        <w:fldChar w:fldCharType="end"/>
      </w:r>
      <w:r>
        <w:t>)</w:t>
      </w:r>
    </w:p>
    <w:p w14:paraId="7487F3BC" w14:textId="77777777">
      <w:pPr>
        <w:pStyle w:val="Lista2"/>
      </w:pPr>
      <w:r>
        <w:t>after the last lost plate, encode the text as you would for lost initial plates (§</w:t>
      </w:r>
      <w:r>
        <w:fldChar w:fldCharType="begin"/>
      </w:r>
      <w:r>
        <w:instrText xml:space="preserve"> REF _Ref228457448 \r \h </w:instrText>
      </w:r>
      <w:r>
        <w:fldChar w:fldCharType="separate"/>
      </w:r>
      <w:r>
        <w:t>6.5.5.2</w:t>
      </w:r>
      <w:r>
        <w:fldChar w:fldCharType="end"/>
      </w:r>
      <w:r>
        <w:t>)</w:t>
      </w:r>
    </w:p>
    <w:p w14:paraId="1E9E62CB" w14:textId="77777777">
      <w:pPr>
        <w:pStyle w:val="Lista2"/>
      </w:pPr>
      <w:r>
        <w:t>since the structure of the lost plates is reconstructed, any restored text on a lost plate can be integrated into that structure, so do not resort to recording restorations outside the edition</w:t>
      </w:r>
    </w:p>
    <w:p w14:paraId="3D40C403" w14:textId="77777777">
      <w:pPr>
        <w:pStyle w:val="Lista2"/>
      </w:pPr>
      <w:r>
        <w:t>in the section after the last lost plate, number units as follows</w:t>
      </w:r>
    </w:p>
    <w:p w14:paraId="78AC7EC1" w14:textId="77777777">
      <w:pPr>
        <w:pStyle w:val="Lista3"/>
      </w:pPr>
      <w:r>
        <w:t>continue page numbering after the reconstructed numbering for the lost plates</w:t>
      </w:r>
    </w:p>
    <w:p w14:paraId="0C879FE3" w14:textId="77777777">
      <w:pPr>
        <w:pStyle w:val="Lista3"/>
      </w:pPr>
      <w:r>
        <w:t>continue line numbering after the reconstructed numbering for the lost plates</w:t>
      </w:r>
    </w:p>
    <w:p w14:paraId="4A0D7EFD" w14:textId="77777777">
      <w:pPr>
        <w:pStyle w:val="Lista4"/>
      </w:pPr>
      <w:r>
        <w:t>or use complex line numbering (§</w:t>
      </w:r>
      <w:r>
        <w:fldChar w:fldCharType="begin"/>
      </w:r>
      <w:r>
        <w:instrText xml:space="preserve"> REF _Ref182228380 \r \h </w:instrText>
      </w:r>
      <w:r>
        <w:fldChar w:fldCharType="separate"/>
      </w:r>
      <w:r>
        <w:t>4.5.2.2</w:t>
      </w:r>
      <w:r>
        <w:fldChar w:fldCharType="end"/>
      </w:r>
      <w:r>
        <w:t>) if the number of lost pages could be estimated but that of lost lines could not</w:t>
      </w:r>
    </w:p>
    <w:p w14:paraId="02CD7A3E" w14:textId="77777777">
      <w:pPr>
        <w:pStyle w:val="Lista3"/>
      </w:pPr>
      <w:r>
        <w:lastRenderedPageBreak/>
        <w:t>continue stanza numbering with the next greater number after that of the last extant stanza</w:t>
      </w:r>
    </w:p>
    <w:p w14:paraId="1FD75732" w14:textId="77777777">
      <w:pPr>
        <w:pStyle w:val="Lista4"/>
      </w:pPr>
      <w:r>
        <w:t>unless you can estimate the number of stanzas in the lost plates with great confidence, in which case skip their numbers and continue numeration with the next higher number</w:t>
      </w:r>
    </w:p>
    <w:p w14:paraId="2338D543" w14:textId="77777777">
      <w:pPr>
        <w:pStyle w:val="Lista"/>
      </w:pPr>
      <w:r>
        <w:t xml:space="preserve">if the total number of lost medial pages cannot be estimated with any confidence, encode the extant sections as textpart divisions </w:t>
      </w:r>
      <w:r>
        <w:rPr>
          <w:noProof/>
        </w:rPr>
        <w:t>(</w:t>
      </w:r>
      <w:r>
        <w:t>§</w:t>
      </w:r>
      <w:r>
        <w:fldChar w:fldCharType="begin"/>
      </w:r>
      <w:r>
        <w:instrText xml:space="preserve"> REF _Ref225778181 \r \h </w:instrText>
      </w:r>
      <w:r>
        <w:fldChar w:fldCharType="separate"/>
      </w:r>
      <w:r>
        <w:t>4.2</w:t>
      </w:r>
      <w:r>
        <w:fldChar w:fldCharType="end"/>
      </w:r>
      <w:r>
        <w:t>, §</w:t>
      </w:r>
      <w:r>
        <w:fldChar w:fldCharType="begin"/>
      </w:r>
      <w:r>
        <w:instrText xml:space="preserve"> REF _Ref228458226 \r \h </w:instrText>
      </w:r>
      <w:r>
        <w:fldChar w:fldCharType="separate"/>
      </w:r>
      <w:r>
        <w:t>6.5.4.2</w:t>
      </w:r>
      <w:r>
        <w:fldChar w:fldCharType="end"/>
      </w:r>
      <w:r>
        <w:t>) to eliminate difficulties with page and line numbering</w:t>
      </w:r>
    </w:p>
    <w:p w14:paraId="565A2961" w14:textId="77777777">
      <w:pPr>
        <w:pStyle w:val="Lista2"/>
      </w:pPr>
      <w:r>
        <w:t xml:space="preserve">the Case Study in </w:t>
      </w:r>
      <w:r>
        <w:fldChar w:fldCharType="begin"/>
      </w:r>
      <w:r>
        <w:instrText xml:space="preserve"> REF _Ref239844430 \r \h </w:instrText>
      </w:r>
      <w:r>
        <w:fldChar w:fldCharType="separate"/>
      </w:r>
      <w:r>
        <w:t>Appendix A.4</w:t>
      </w:r>
      <w:r>
        <w:fldChar w:fldCharType="end"/>
      </w:r>
      <w:r>
        <w:t xml:space="preserve"> shows a fully encoded illustration of a missing medial plate encoded with textpart divisions</w:t>
      </w:r>
    </w:p>
    <w:p w14:paraId="5BF2575C" w14:textId="77777777">
      <w:pPr>
        <w:pStyle w:val="Lista2"/>
      </w:pPr>
      <w:r>
        <w:t>within each textpart, encode only the pages pertaining to that part of the edition and do not reconstruct any page or line beginnings believed or known to be lost unless you find it essential to show a restoration in the edition</w:t>
      </w:r>
    </w:p>
    <w:p w14:paraId="7B0E5E8D" w14:textId="77777777">
      <w:pPr>
        <w:pStyle w:val="Lista2"/>
      </w:pPr>
      <w:r>
        <w:t>if you are able to restore any text preceding the first extant plate</w:t>
      </w:r>
    </w:p>
    <w:p w14:paraId="714E4A45" w14:textId="77777777">
      <w:pPr>
        <w:pStyle w:val="Lista3"/>
      </w:pPr>
      <w:r>
        <w:t>preferably record it outside the edition as suggested in §</w:t>
      </w:r>
      <w:r>
        <w:fldChar w:fldCharType="begin"/>
      </w:r>
      <w:r>
        <w:instrText xml:space="preserve"> REF _Ref228367464 \r \h </w:instrText>
      </w:r>
      <w:r>
        <w:fldChar w:fldCharType="separate"/>
      </w:r>
      <w:r>
        <w:t>6.5.4.5</w:t>
      </w:r>
      <w:r>
        <w:fldChar w:fldCharType="end"/>
      </w:r>
    </w:p>
    <w:p w14:paraId="63842D6E" w14:textId="77777777">
      <w:pPr>
        <w:pStyle w:val="Lista3"/>
      </w:pPr>
      <w:r>
        <w:t>alternatively, reconstruct the structure for the preceding page as per §</w:t>
      </w:r>
      <w:r>
        <w:fldChar w:fldCharType="begin"/>
      </w:r>
      <w:r>
        <w:instrText xml:space="preserve"> REF _Ref228455432 \r \h </w:instrText>
      </w:r>
      <w:r>
        <w:fldChar w:fldCharType="separate"/>
      </w:r>
      <w:r>
        <w:t>6.5.5.4</w:t>
      </w:r>
      <w:r>
        <w:fldChar w:fldCharType="end"/>
      </w:r>
    </w:p>
    <w:p w14:paraId="60CFB23F" w14:textId="77777777">
      <w:pPr>
        <w:pStyle w:val="Cmsor4"/>
      </w:pPr>
      <w:bookmarkStart w:id="604" w:name="_Ref228455432"/>
      <w:r>
        <w:t>Reconstructing structure for lost copper plates</w:t>
      </w:r>
      <w:bookmarkEnd w:id="604"/>
    </w:p>
    <w:p w14:paraId="1AF5FA33" w14:textId="77777777">
      <w:pPr>
        <w:rPr>
          <w:lang w:eastAsia="en-US" w:bidi="ar-SA"/>
        </w:rPr>
      </w:pPr>
      <w:r>
        <w:rPr>
          <w:lang w:eastAsia="en-US" w:bidi="ar-SA"/>
        </w:rPr>
        <w:t>Reconstruction of the page and line beginnings for lost copper plates is the less preferred option for missing final and initial plates and the preferred option for missing medial plates unless it is impossible to estimate their number.</w:t>
      </w:r>
    </w:p>
    <w:p w14:paraId="698C2BCD" w14:textId="77777777">
      <w:pPr>
        <w:pStyle w:val="Lista"/>
      </w:pPr>
      <w:r>
        <w:t xml:space="preserve">to reconstruct the page structure for one or more missing plates, estimate the number of missing plates and create </w:t>
      </w:r>
      <w:r>
        <w:rPr>
          <w:rStyle w:val="Code"/>
        </w:rPr>
        <w:t>&lt;pb/&gt;</w:t>
      </w:r>
      <w:r>
        <w:t xml:space="preserve"> elements for both the recto and the verso face of each</w:t>
      </w:r>
    </w:p>
    <w:p w14:paraId="417936EE" w14:textId="77777777">
      <w:pPr>
        <w:pStyle w:val="Lista"/>
      </w:pPr>
      <w:r>
        <w:t>to reconstruct a single page in order to accommodate a restoration (when not using the option to record such a restoration outside the edition, §</w:t>
      </w:r>
      <w:r>
        <w:fldChar w:fldCharType="begin"/>
      </w:r>
      <w:r>
        <w:instrText xml:space="preserve"> REF _Ref228367464 \r \h </w:instrText>
      </w:r>
      <w:r>
        <w:fldChar w:fldCharType="separate"/>
      </w:r>
      <w:r>
        <w:t>6.5.4.5</w:t>
      </w:r>
      <w:r>
        <w:fldChar w:fldCharType="end"/>
      </w:r>
      <w:r>
        <w:t>), create only the single (recto or verso) page beginning for the page on which the restored text would have been located</w:t>
      </w:r>
    </w:p>
    <w:p w14:paraId="623D3208" w14:textId="77777777">
      <w:pPr>
        <w:pStyle w:val="Lista"/>
      </w:pPr>
      <w:r>
        <w:t>handle the line structure on reconstructed pages as follows</w:t>
      </w:r>
    </w:p>
    <w:p w14:paraId="60B55A7C" w14:textId="77777777">
      <w:pPr>
        <w:pStyle w:val="Lista2"/>
      </w:pPr>
      <w:r>
        <w:t xml:space="preserve">the default option is to create no </w:t>
      </w:r>
      <w:r>
        <w:rPr>
          <w:rStyle w:val="Code"/>
        </w:rPr>
        <w:t>&lt;lb/&gt;</w:t>
      </w:r>
      <w:r>
        <w:t xml:space="preserve"> elements and instead encode a multiline lacuna (§</w:t>
      </w:r>
      <w:r>
        <w:fldChar w:fldCharType="begin"/>
      </w:r>
      <w:r>
        <w:instrText xml:space="preserve"> REF _Ref228349461 \r \h </w:instrText>
      </w:r>
      <w:r>
        <w:fldChar w:fldCharType="separate"/>
      </w:r>
      <w:r>
        <w:t>6.5.3.2</w:t>
      </w:r>
      <w:r>
        <w:fldChar w:fldCharType="end"/>
      </w:r>
      <w:r>
        <w:t>) on each lost page, with an extent of a known, estimated or unknown number of lines</w:t>
      </w:r>
    </w:p>
    <w:p w14:paraId="285D315F" w14:textId="77777777">
      <w:pPr>
        <w:pStyle w:val="Lista2"/>
      </w:pPr>
      <w:r>
        <w:t>if the page has been reconstructed in order to accommodate a restoration, then a line beginning must be reconstructed for the line(s) in which the restored text would have been located</w:t>
      </w:r>
    </w:p>
    <w:p w14:paraId="1A3BD9B0" w14:textId="77777777">
      <w:pPr>
        <w:pStyle w:val="Lista3"/>
      </w:pPr>
      <w:r>
        <w:t>for the remaining lines on the same page, encode a multiline lacuna (§</w:t>
      </w:r>
      <w:r>
        <w:fldChar w:fldCharType="begin"/>
      </w:r>
      <w:r>
        <w:instrText xml:space="preserve"> REF _Ref228349461 \r \h </w:instrText>
      </w:r>
      <w:r>
        <w:fldChar w:fldCharType="separate"/>
      </w:r>
      <w:r>
        <w:t>6.5.3.2</w:t>
      </w:r>
      <w:r>
        <w:fldChar w:fldCharType="end"/>
      </w:r>
      <w:r>
        <w:t>) on each lost page, with an extent of a known, estimated or unknown number of lines</w:t>
      </w:r>
    </w:p>
    <w:p w14:paraId="051AF60E" w14:textId="77777777">
      <w:pPr>
        <w:pStyle w:val="Lista3"/>
      </w:pPr>
      <w:r>
        <w:t>the part of the line outside the restored reading must be encoded as an inline lacuna (§</w:t>
      </w:r>
      <w:r>
        <w:fldChar w:fldCharType="begin"/>
      </w:r>
      <w:r>
        <w:instrText xml:space="preserve"> REF _Ref43988016 \r \h </w:instrText>
      </w:r>
      <w:r>
        <w:fldChar w:fldCharType="separate"/>
      </w:r>
      <w:r>
        <w:t>6.5.2</w:t>
      </w:r>
      <w:r>
        <w:fldChar w:fldCharType="end"/>
      </w:r>
      <w:r>
        <w:t>)</w:t>
      </w:r>
    </w:p>
    <w:p w14:paraId="765E24A4" w14:textId="77777777">
      <w:pPr>
        <w:pStyle w:val="Lista2"/>
      </w:pPr>
      <w:r>
        <w:t>alternatively, if it is feasible to do so, you may choose to reconstruct line beginnings for all lines on every lost page, encoding an inline lacuna for each line</w:t>
      </w:r>
    </w:p>
    <w:p w14:paraId="14B09234" w14:textId="77777777">
      <w:pPr>
        <w:pStyle w:val="Cmsor1"/>
      </w:pPr>
      <w:bookmarkStart w:id="605" w:name="_m2k3hdqjm9zb" w:colFirst="0" w:colLast="0"/>
      <w:bookmarkStart w:id="606" w:name="_v1clk7602zin" w:colFirst="0" w:colLast="0"/>
      <w:bookmarkStart w:id="607" w:name="_Ref43978565"/>
      <w:bookmarkStart w:id="608" w:name="_Ref181694670"/>
      <w:bookmarkStart w:id="609" w:name="_Toc243900329"/>
      <w:bookmarkEnd w:id="605"/>
      <w:bookmarkEnd w:id="606"/>
      <w:r>
        <w:lastRenderedPageBreak/>
        <w:t>Editorial intervention</w:t>
      </w:r>
      <w:bookmarkEnd w:id="607"/>
      <w:bookmarkEnd w:id="608"/>
      <w:bookmarkEnd w:id="609"/>
    </w:p>
    <w:p w14:paraId="54E59AA6" w14:textId="77777777">
      <w:pPr>
        <w:rPr>
          <w:lang w:eastAsia="en-US" w:bidi="ar-SA"/>
        </w:rPr>
      </w:pPr>
      <w:r>
        <w:rPr>
          <w:lang w:eastAsia="en-US" w:bidi="ar-SA"/>
        </w:rPr>
        <w:t>The editor intervenes in the text of a document because she perceives that there is something anomalous in the language of the text as received. The kind of editorial intervention, and thus the manner of its encoding, differs depending on the nature of the perceived anomaly (§</w:t>
      </w:r>
      <w:r>
        <w:rPr>
          <w:lang w:eastAsia="en-US" w:bidi="ar-SA"/>
        </w:rPr>
        <w:fldChar w:fldCharType="begin"/>
      </w:r>
      <w:r>
        <w:rPr>
          <w:lang w:eastAsia="en-US" w:bidi="ar-SA"/>
        </w:rPr>
        <w:instrText xml:space="preserve"> REF _Ref229054160 \r \h </w:instrText>
      </w:r>
      <w:r>
        <w:rPr>
          <w:lang w:eastAsia="en-US" w:bidi="ar-SA"/>
        </w:rPr>
      </w:r>
      <w:r>
        <w:rPr>
          <w:lang w:eastAsia="en-US" w:bidi="ar-SA"/>
        </w:rPr>
        <w:fldChar w:fldCharType="separate"/>
      </w:r>
      <w:r>
        <w:rPr>
          <w:lang w:eastAsia="en-US" w:bidi="ar-SA"/>
        </w:rPr>
        <w:t>7.1</w:t>
      </w:r>
      <w:r>
        <w:rPr>
          <w:lang w:eastAsia="en-US" w:bidi="ar-SA"/>
        </w:rPr>
        <w:fldChar w:fldCharType="end"/>
      </w:r>
      <w:r>
        <w:rPr>
          <w:lang w:eastAsia="en-US" w:bidi="ar-SA"/>
        </w:rPr>
        <w:t>): does the text contain an inadvertent scribal mistake, or is its unusualness likely to be deliberate on the part of its composer? Once an anomaly and its nature have been identified, you as editor must decide what to do about it and encode the intervention accordingly (§</w:t>
      </w:r>
      <w:r>
        <w:rPr>
          <w:lang w:eastAsia="en-US" w:bidi="ar-SA"/>
        </w:rPr>
        <w:fldChar w:fldCharType="begin"/>
      </w:r>
      <w:r>
        <w:rPr>
          <w:lang w:eastAsia="en-US" w:bidi="ar-SA"/>
        </w:rPr>
        <w:instrText xml:space="preserve"> REF _Ref229054270 \r \h </w:instrText>
      </w:r>
      <w:r>
        <w:rPr>
          <w:lang w:eastAsia="en-US" w:bidi="ar-SA"/>
        </w:rPr>
      </w:r>
      <w:r>
        <w:rPr>
          <w:lang w:eastAsia="en-US" w:bidi="ar-SA"/>
        </w:rPr>
        <w:fldChar w:fldCharType="separate"/>
      </w:r>
      <w:r>
        <w:rPr>
          <w:lang w:eastAsia="en-US" w:bidi="ar-SA"/>
        </w:rPr>
        <w:t>7.2</w:t>
      </w:r>
      <w:r>
        <w:rPr>
          <w:lang w:eastAsia="en-US" w:bidi="ar-SA"/>
        </w:rPr>
        <w:fldChar w:fldCharType="end"/>
      </w:r>
      <w:r>
        <w:rPr>
          <w:lang w:eastAsia="en-US" w:bidi="ar-SA"/>
        </w:rPr>
        <w:t>). Additional guidelines for good practice applicable to all editorial intervention are collected in §</w:t>
      </w:r>
      <w:r>
        <w:rPr>
          <w:lang w:eastAsia="en-US" w:bidi="ar-SA"/>
        </w:rPr>
        <w:fldChar w:fldCharType="begin"/>
      </w:r>
      <w:r>
        <w:rPr>
          <w:lang w:eastAsia="en-US" w:bidi="ar-SA"/>
        </w:rPr>
        <w:instrText xml:space="preserve"> REF _Ref43991017 \r \h </w:instrText>
      </w:r>
      <w:r>
        <w:rPr>
          <w:lang w:eastAsia="en-US" w:bidi="ar-SA"/>
        </w:rPr>
      </w:r>
      <w:r>
        <w:rPr>
          <w:lang w:eastAsia="en-US" w:bidi="ar-SA"/>
        </w:rPr>
        <w:fldChar w:fldCharType="separate"/>
      </w:r>
      <w:r>
        <w:rPr>
          <w:lang w:eastAsia="en-US" w:bidi="ar-SA"/>
        </w:rPr>
        <w:t>7.7</w:t>
      </w:r>
      <w:r>
        <w:rPr>
          <w:lang w:eastAsia="en-US" w:bidi="ar-SA"/>
        </w:rPr>
        <w:fldChar w:fldCharType="end"/>
      </w:r>
      <w:r>
        <w:rPr>
          <w:lang w:eastAsia="en-US" w:bidi="ar-SA"/>
        </w:rPr>
        <w:t>, while §</w:t>
      </w:r>
      <w:r>
        <w:rPr>
          <w:lang w:eastAsia="en-US" w:bidi="ar-SA"/>
        </w:rPr>
        <w:fldChar w:fldCharType="begin"/>
      </w:r>
      <w:r>
        <w:rPr>
          <w:lang w:eastAsia="en-US" w:bidi="ar-SA"/>
        </w:rPr>
        <w:instrText xml:space="preserve"> REF _Ref229056523 \r \h </w:instrText>
      </w:r>
      <w:r>
        <w:rPr>
          <w:lang w:eastAsia="en-US" w:bidi="ar-SA"/>
        </w:rPr>
      </w:r>
      <w:r>
        <w:rPr>
          <w:lang w:eastAsia="en-US" w:bidi="ar-SA"/>
        </w:rPr>
        <w:fldChar w:fldCharType="separate"/>
      </w:r>
      <w:r>
        <w:rPr>
          <w:lang w:eastAsia="en-US" w:bidi="ar-SA"/>
        </w:rPr>
        <w:t>7.8</w:t>
      </w:r>
      <w:r>
        <w:rPr>
          <w:lang w:eastAsia="en-US" w:bidi="ar-SA"/>
        </w:rPr>
        <w:fldChar w:fldCharType="end"/>
      </w:r>
      <w:r>
        <w:rPr>
          <w:lang w:eastAsia="en-US" w:bidi="ar-SA"/>
        </w:rPr>
        <w:t xml:space="preserve"> discusses “curatorial” modifications the editor can make in the text without encoding them as editorial.</w:t>
      </w:r>
    </w:p>
    <w:p w14:paraId="076AB045" w14:textId="77777777">
      <w:pPr>
        <w:pStyle w:val="Cmsor2"/>
      </w:pPr>
      <w:bookmarkStart w:id="610" w:name="_syuqjrbqvtf4" w:colFirst="0" w:colLast="0"/>
      <w:bookmarkStart w:id="611" w:name="_Ref229054160"/>
      <w:bookmarkStart w:id="612" w:name="_Toc243900330"/>
      <w:bookmarkEnd w:id="610"/>
      <w:r>
        <w:t>Distinguishing correction from normalisation</w:t>
      </w:r>
      <w:bookmarkEnd w:id="611"/>
      <w:bookmarkEnd w:id="612"/>
    </w:p>
    <w:p w14:paraId="22F8F201" w14:textId="77777777">
      <w:pPr>
        <w:rPr>
          <w:lang w:eastAsia="en-US" w:bidi="ar-SA"/>
        </w:rPr>
      </w:pPr>
      <w:r>
        <w:rPr>
          <w:lang w:eastAsia="en-US" w:bidi="ar-SA"/>
        </w:rPr>
        <w:t xml:space="preserve">While classical editions of Indic epigraphic texts rarely make such a distinction, TEI allows us to differentiate text written in error from non-standard usage. To set the two apart, you as editor must, informed by your expertise, establish the text as intended by the persons(s) who composed it. Doing so </w:t>
      </w:r>
      <w:r>
        <w:t>may be problematic and will often involve a subjective decision, which may be supported by the guidelines presented below.</w:t>
      </w:r>
    </w:p>
    <w:p w14:paraId="4368C6E9" w14:textId="77777777">
      <w:pPr>
        <w:pStyle w:val="Cmsor3"/>
      </w:pPr>
      <w:bookmarkStart w:id="613" w:name="_Toc243900331"/>
      <w:r>
        <w:t>Erroneous readings</w:t>
      </w:r>
      <w:bookmarkEnd w:id="613"/>
    </w:p>
    <w:p w14:paraId="25A3BB7A" w14:textId="77777777">
      <w:r>
        <w:rPr>
          <w:lang w:eastAsia="en-US" w:bidi="ar-SA"/>
        </w:rPr>
        <w:t>A received reading that deviates from the presumed intent of its composer is an erroneous reading, which may or may not be linguistically correct. An erroneous reading is of the nature of a typographic mistake: it is created inadvertently as a result of a mistake on the part of a scribe.</w:t>
      </w:r>
      <w:r>
        <w:rPr>
          <w:rStyle w:val="Lbjegyzet-hivatkozs"/>
          <w:lang w:eastAsia="en-US" w:bidi="ar-SA"/>
        </w:rPr>
        <w:footnoteReference w:id="33"/>
      </w:r>
      <w:r>
        <w:rPr>
          <w:lang w:eastAsia="en-US" w:bidi="ar-SA"/>
        </w:rPr>
        <w:t xml:space="preserve"> Correction is the editorial rectification of an erroneous reading by restoring the </w:t>
      </w:r>
      <w:r>
        <w:t>text to the form that you believe the composer of the text had intended.</w:t>
      </w:r>
    </w:p>
    <w:p w14:paraId="155C0134" w14:textId="77777777">
      <w:pPr>
        <w:pStyle w:val="Lista"/>
        <w:rPr>
          <w:lang w:eastAsia="en-US" w:bidi="ar-SA"/>
        </w:rPr>
      </w:pPr>
      <w:r>
        <w:rPr>
          <w:lang w:eastAsia="en-US" w:bidi="ar-SA"/>
        </w:rPr>
        <w:t>the correction of scribal mistakes is on the whole strongly recommended in our editions, because doing so may be necessary in order to make the text intelligible and, when the text is intelligible as received, can clarify the editor’s notion of what the text had been intended to be</w:t>
      </w:r>
    </w:p>
    <w:p w14:paraId="05A6DF1E" w14:textId="77777777">
      <w:pPr>
        <w:pStyle w:val="Lista"/>
        <w:rPr>
          <w:lang w:eastAsia="en-US" w:bidi="ar-SA"/>
        </w:rPr>
      </w:pPr>
      <w:r>
        <w:rPr>
          <w:lang w:eastAsia="en-US" w:bidi="ar-SA"/>
        </w:rPr>
        <w:t>when judging whether an unexpected reading is erroneous or non-standard, it may be helpful to keep in mind that scribal errors often (though not necessarily) have one or more of the following features</w:t>
      </w:r>
    </w:p>
    <w:p w14:paraId="6DCA305A" w14:textId="77777777">
      <w:pPr>
        <w:pStyle w:val="Lista2"/>
        <w:rPr>
          <w:lang w:eastAsia="en-US" w:bidi="ar-SA"/>
        </w:rPr>
      </w:pPr>
      <w:r>
        <w:rPr>
          <w:lang w:eastAsia="en-US" w:bidi="ar-SA"/>
        </w:rPr>
        <w:t>they occur inconsistently through a document and deviate from the expected form randomly, producing readings which are meaningless or inappropriate to the context</w:t>
      </w:r>
    </w:p>
    <w:p w14:paraId="00ADDE37" w14:textId="77777777">
      <w:pPr>
        <w:pStyle w:val="Lista3"/>
        <w:rPr>
          <w:lang w:eastAsia="en-US" w:bidi="ar-SA"/>
        </w:rPr>
      </w:pPr>
      <w:r>
        <w:rPr>
          <w:lang w:eastAsia="en-US" w:bidi="ar-SA"/>
        </w:rPr>
        <w:t>the expected (correct) form of the same word may thus also occur in the same document</w:t>
      </w:r>
    </w:p>
    <w:p w14:paraId="29329EA7" w14:textId="77777777">
      <w:pPr>
        <w:pStyle w:val="Lista2"/>
        <w:rPr>
          <w:lang w:eastAsia="en-US" w:bidi="ar-SA"/>
        </w:rPr>
      </w:pPr>
      <w:r>
        <w:rPr>
          <w:lang w:eastAsia="en-US" w:bidi="ar-SA"/>
        </w:rPr>
        <w:t>they involve a graphically similar glyph or graph instead of the expected one</w:t>
      </w:r>
    </w:p>
    <w:p w14:paraId="15FD28C4" w14:textId="77777777">
      <w:pPr>
        <w:pStyle w:val="Lista3"/>
        <w:rPr>
          <w:lang w:eastAsia="en-US" w:bidi="ar-SA"/>
        </w:rPr>
      </w:pPr>
      <w:r>
        <w:rPr>
          <w:lang w:eastAsia="en-US" w:bidi="ar-SA"/>
        </w:rPr>
        <w:t xml:space="preserve">e.g. </w:t>
      </w:r>
      <w:r>
        <w:rPr>
          <w:rStyle w:val="Foreign"/>
        </w:rPr>
        <w:t>ka</w:t>
      </w:r>
      <w:r>
        <w:t xml:space="preserve"> instead of </w:t>
      </w:r>
      <w:r>
        <w:rPr>
          <w:rStyle w:val="Foreign"/>
        </w:rPr>
        <w:t>ra</w:t>
      </w:r>
      <w:r>
        <w:t xml:space="preserve"> in a script where these look similar</w:t>
      </w:r>
    </w:p>
    <w:p w14:paraId="2C1199BE" w14:textId="77777777">
      <w:pPr>
        <w:pStyle w:val="Lista2"/>
        <w:rPr>
          <w:lang w:eastAsia="en-US" w:bidi="ar-SA"/>
        </w:rPr>
      </w:pPr>
      <w:r>
        <w:rPr>
          <w:lang w:eastAsia="en-US" w:bidi="ar-SA"/>
        </w:rPr>
        <w:t>they involve the omission of glyphs or sequences that ought to be repeated (haplography)</w:t>
      </w:r>
    </w:p>
    <w:p w14:paraId="3A43E880" w14:textId="77777777">
      <w:pPr>
        <w:pStyle w:val="Lista3"/>
        <w:rPr>
          <w:lang w:eastAsia="en-US" w:bidi="ar-SA"/>
        </w:rPr>
      </w:pPr>
      <w:r>
        <w:rPr>
          <w:lang w:eastAsia="en-US" w:bidi="ar-SA"/>
        </w:rPr>
        <w:t xml:space="preserve">e.g. </w:t>
      </w:r>
      <w:r>
        <w:rPr>
          <w:rStyle w:val="Foreign"/>
        </w:rPr>
        <w:t>varṣa</w:t>
      </w:r>
      <w:r>
        <w:t xml:space="preserve"> instead of </w:t>
      </w:r>
      <w:r>
        <w:rPr>
          <w:rStyle w:val="Foreign"/>
        </w:rPr>
        <w:t>vavarṣa</w:t>
      </w:r>
      <w:r>
        <w:t xml:space="preserve">; </w:t>
      </w:r>
      <w:r>
        <w:rPr>
          <w:rStyle w:val="Foreign"/>
        </w:rPr>
        <w:t>mandaṁ</w:t>
      </w:r>
      <w:r>
        <w:t xml:space="preserve"> instead of </w:t>
      </w:r>
      <w:r>
        <w:rPr>
          <w:rStyle w:val="Foreign"/>
        </w:rPr>
        <w:t>mandaṁ mandaṁ</w:t>
      </w:r>
    </w:p>
    <w:p w14:paraId="5A3B49DB" w14:textId="77777777">
      <w:pPr>
        <w:pStyle w:val="Lista2"/>
        <w:rPr>
          <w:lang w:eastAsia="en-US" w:bidi="ar-SA"/>
        </w:rPr>
      </w:pPr>
      <w:r>
        <w:rPr>
          <w:lang w:eastAsia="en-US" w:bidi="ar-SA"/>
        </w:rPr>
        <w:t>they involve the repetition of glyphs or sequences that ought to appear only once (dittography)</w:t>
      </w:r>
    </w:p>
    <w:p w14:paraId="2F8D4681" w14:textId="77777777">
      <w:pPr>
        <w:pStyle w:val="Lista3"/>
        <w:rPr>
          <w:lang w:eastAsia="en-US" w:bidi="ar-SA"/>
        </w:rPr>
      </w:pPr>
      <w:r>
        <w:rPr>
          <w:lang w:eastAsia="en-US" w:bidi="ar-SA"/>
        </w:rPr>
        <w:t xml:space="preserve">e.g. </w:t>
      </w:r>
      <w:r>
        <w:rPr>
          <w:rStyle w:val="Foreign"/>
          <w:lang w:eastAsia="en-US" w:bidi="ar-SA"/>
        </w:rPr>
        <w:t>sasarveṣāṁ</w:t>
      </w:r>
      <w:r>
        <w:t xml:space="preserve"> or </w:t>
      </w:r>
      <w:r>
        <w:rPr>
          <w:rStyle w:val="Foreign"/>
        </w:rPr>
        <w:t>sarvesarveṣāṁ</w:t>
      </w:r>
      <w:r>
        <w:t xml:space="preserve"> instead of </w:t>
      </w:r>
      <w:r>
        <w:rPr>
          <w:rStyle w:val="Foreign"/>
        </w:rPr>
        <w:t>sarveṣāṁ</w:t>
      </w:r>
    </w:p>
    <w:p w14:paraId="59D68493" w14:textId="77777777">
      <w:pPr>
        <w:pStyle w:val="Lista2"/>
        <w:rPr>
          <w:lang w:eastAsia="en-US" w:bidi="ar-SA"/>
        </w:rPr>
      </w:pPr>
      <w:r>
        <w:rPr>
          <w:lang w:eastAsia="en-US" w:bidi="ar-SA"/>
        </w:rPr>
        <w:t>they involve the omission of a chunk that is elsewhere preceded and followed by the same (or a very similar) glyph or sequence (eyeskip)</w:t>
      </w:r>
    </w:p>
    <w:p w14:paraId="15A8E0B5" w14:textId="77777777">
      <w:pPr>
        <w:pStyle w:val="Lista3"/>
        <w:rPr>
          <w:lang w:eastAsia="en-US" w:bidi="ar-SA"/>
        </w:rPr>
      </w:pPr>
      <w:r>
        <w:rPr>
          <w:lang w:eastAsia="en-US" w:bidi="ar-SA"/>
        </w:rPr>
        <w:t xml:space="preserve">e.g. </w:t>
      </w:r>
      <w:r>
        <w:rPr>
          <w:rStyle w:val="Foreign"/>
        </w:rPr>
        <w:t>mañjarī-puñjarita</w:t>
      </w:r>
      <w:r>
        <w:t xml:space="preserve"> instead of </w:t>
      </w:r>
      <w:r>
        <w:rPr>
          <w:rStyle w:val="Foreign"/>
        </w:rPr>
        <w:t>mañjarī-puñja-piñjarita</w:t>
      </w:r>
    </w:p>
    <w:p w14:paraId="0AC14969" w14:textId="77777777">
      <w:pPr>
        <w:pStyle w:val="Cmsor3"/>
      </w:pPr>
      <w:bookmarkStart w:id="614" w:name="_Ref242868067"/>
      <w:bookmarkStart w:id="615" w:name="_Toc243900332"/>
      <w:r>
        <w:t>Non-standard readings</w:t>
      </w:r>
      <w:bookmarkEnd w:id="614"/>
      <w:bookmarkEnd w:id="615"/>
    </w:p>
    <w:p w14:paraId="342A09D3" w14:textId="77777777">
      <w:r>
        <w:rPr>
          <w:lang w:eastAsia="en-US" w:bidi="ar-SA"/>
        </w:rPr>
        <w:t xml:space="preserve">A received reading that matches the presumed intent of its composer is not erroneous, but may be non-standard if it does not conform to generally established linguistic conventions. A non-standard reading is created deliberately, although not necessarily with awareness of its non-standard nature. That is to say, non-standard language is written usually when a composer’s individual concept of a language differs from the </w:t>
      </w:r>
      <w:r>
        <w:rPr>
          <w:lang w:eastAsia="en-US" w:bidi="ar-SA"/>
        </w:rPr>
        <w:lastRenderedPageBreak/>
        <w:t>general conventions governing that language, or occasionally when a composer chooses to transgress such conventions. Normalisation is the</w:t>
      </w:r>
      <w:r>
        <w:t xml:space="preserve"> editorial rectification of non-standard usage by alteration into something that fits the standard more closely.</w:t>
      </w:r>
    </w:p>
    <w:p w14:paraId="4BC7C4D5" w14:textId="77777777">
      <w:pPr>
        <w:pStyle w:val="Lista"/>
        <w:rPr>
          <w:lang w:eastAsia="en-US" w:bidi="ar-SA"/>
        </w:rPr>
      </w:pPr>
      <w:r>
        <w:rPr>
          <w:lang w:eastAsia="en-US" w:bidi="ar-SA"/>
        </w:rPr>
        <w:t>normalisation is always optional in our editions, but is recommended whenever you deem it helpful to the reader for understanding difficult non-standard language or for clarifying your editorial interpretation of it</w:t>
      </w:r>
    </w:p>
    <w:p w14:paraId="49D70FC5" w14:textId="77777777">
      <w:pPr>
        <w:pStyle w:val="Lista"/>
        <w:rPr>
          <w:lang w:eastAsia="en-US" w:bidi="ar-SA"/>
        </w:rPr>
      </w:pPr>
      <w:r>
        <w:rPr>
          <w:lang w:eastAsia="en-US" w:bidi="ar-SA"/>
        </w:rPr>
        <w:t>when judging whether an unexpected reading is erroneous or non-standard, it may be helpful to keep in mind that non-standard variations often (though not necessarily) have one or more of the following features</w:t>
      </w:r>
    </w:p>
    <w:p w14:paraId="5A84E416" w14:textId="77777777">
      <w:pPr>
        <w:pStyle w:val="Lista2"/>
      </w:pPr>
      <w:r>
        <w:t>they occur consistently through a document and deviate from the expected form systematically, producing readings which are meaningful and appropriate to the context once their systematic deviation has been taken into account</w:t>
      </w:r>
    </w:p>
    <w:p w14:paraId="372F12EF" w14:textId="77777777">
      <w:pPr>
        <w:pStyle w:val="Lista2"/>
      </w:pPr>
      <w:r>
        <w:t>they involve a plausible phonological alternative to the standard pronunciation of a word or sequence</w:t>
      </w:r>
    </w:p>
    <w:p w14:paraId="23F626BB" w14:textId="77777777">
      <w:pPr>
        <w:pStyle w:val="Lista3"/>
        <w:rPr>
          <w:rStyle w:val="Foreign"/>
          <w:i w:val="0"/>
          <w:iCs w:val="0"/>
          <w:noProof w:val="0"/>
        </w:rPr>
      </w:pPr>
      <w:r>
        <w:t xml:space="preserve">e.g. </w:t>
      </w:r>
      <w:r>
        <w:rPr>
          <w:rStyle w:val="Foreign"/>
        </w:rPr>
        <w:t>vacchara</w:t>
      </w:r>
      <w:r>
        <w:t xml:space="preserve"> instead of </w:t>
      </w:r>
      <w:r>
        <w:rPr>
          <w:rStyle w:val="Foreign"/>
        </w:rPr>
        <w:t>vatsara</w:t>
      </w:r>
      <w:r>
        <w:t xml:space="preserve">; </w:t>
      </w:r>
      <w:r>
        <w:rPr>
          <w:rStyle w:val="Foreign"/>
        </w:rPr>
        <w:t>kuṭiṁbin</w:t>
      </w:r>
      <w:r>
        <w:t xml:space="preserve"> instead of </w:t>
      </w:r>
      <w:r>
        <w:rPr>
          <w:rStyle w:val="Foreign"/>
        </w:rPr>
        <w:t>kuṭuṁbin</w:t>
      </w:r>
      <w:r>
        <w:t xml:space="preserve">; </w:t>
      </w:r>
      <w:r>
        <w:rPr>
          <w:rStyle w:val="Foreign"/>
        </w:rPr>
        <w:t>krita</w:t>
      </w:r>
      <w:r>
        <w:t xml:space="preserve"> (or </w:t>
      </w:r>
      <w:r>
        <w:rPr>
          <w:rStyle w:val="Foreign"/>
        </w:rPr>
        <w:t>kruta</w:t>
      </w:r>
      <w:r>
        <w:t xml:space="preserve"> or </w:t>
      </w:r>
      <w:r>
        <w:rPr>
          <w:rStyle w:val="Foreign"/>
        </w:rPr>
        <w:t>krata</w:t>
      </w:r>
      <w:r>
        <w:t xml:space="preserve">) instead of </w:t>
      </w:r>
      <w:r>
        <w:rPr>
          <w:rStyle w:val="Foreign"/>
        </w:rPr>
        <w:t>kr̥ta</w:t>
      </w:r>
    </w:p>
    <w:p w14:paraId="3538877C" w14:textId="77777777">
      <w:pPr>
        <w:pStyle w:val="Lista2"/>
      </w:pPr>
      <w:r>
        <w:t>they involve a plausible graphemic alternative to the standard orthography of a word or sequence</w:t>
      </w:r>
    </w:p>
    <w:p w14:paraId="54B278B0" w14:textId="77777777">
      <w:pPr>
        <w:pStyle w:val="Lista3"/>
      </w:pPr>
      <w:r>
        <w:t xml:space="preserve">e.g. </w:t>
      </w:r>
      <w:r>
        <w:rPr>
          <w:rStyle w:val="Foreign"/>
        </w:rPr>
        <w:t>satva</w:t>
      </w:r>
      <w:r>
        <w:t xml:space="preserve"> instead of </w:t>
      </w:r>
      <w:r>
        <w:rPr>
          <w:rStyle w:val="Foreign"/>
        </w:rPr>
        <w:t>sattva</w:t>
      </w:r>
      <w:r>
        <w:t xml:space="preserve">; </w:t>
      </w:r>
      <w:r>
        <w:rPr>
          <w:rStyle w:val="Foreign"/>
        </w:rPr>
        <w:t>sattya</w:t>
      </w:r>
      <w:r>
        <w:t xml:space="preserve"> instead of </w:t>
      </w:r>
      <w:r>
        <w:rPr>
          <w:rStyle w:val="Foreign"/>
        </w:rPr>
        <w:t>satya</w:t>
      </w:r>
    </w:p>
    <w:p w14:paraId="5DCCCD34" w14:textId="77777777">
      <w:pPr>
        <w:pStyle w:val="Lista2"/>
      </w:pPr>
      <w:r>
        <w:t>they involve the application of a generic grammatical rule where a specific rule (exception) is expected</w:t>
      </w:r>
    </w:p>
    <w:p w14:paraId="14E938DB" w14:textId="77777777">
      <w:pPr>
        <w:pStyle w:val="Lista3"/>
        <w:rPr>
          <w:rStyle w:val="Foreign"/>
          <w:i w:val="0"/>
          <w:iCs w:val="0"/>
          <w:noProof w:val="0"/>
        </w:rPr>
      </w:pPr>
      <w:r>
        <w:t xml:space="preserve">e.g. </w:t>
      </w:r>
      <w:r>
        <w:rPr>
          <w:rStyle w:val="Foreign"/>
        </w:rPr>
        <w:t>rājasya</w:t>
      </w:r>
      <w:r>
        <w:t xml:space="preserve"> instead of </w:t>
      </w:r>
      <w:r>
        <w:rPr>
          <w:rStyle w:val="Foreign"/>
        </w:rPr>
        <w:t>rājñaḥ</w:t>
      </w:r>
    </w:p>
    <w:p w14:paraId="5236F1CA" w14:textId="77777777">
      <w:pPr>
        <w:pStyle w:val="Lista2"/>
      </w:pPr>
      <w:r>
        <w:t>they involve the application of a specific grammatical rule where it is not expected to apply</w:t>
      </w:r>
    </w:p>
    <w:p w14:paraId="20E6B01F" w14:textId="77777777">
      <w:pPr>
        <w:pStyle w:val="Lista3"/>
      </w:pPr>
      <w:r>
        <w:t xml:space="preserve">e.g. </w:t>
      </w:r>
      <w:r>
        <w:rPr>
          <w:rStyle w:val="Foreign"/>
        </w:rPr>
        <w:t>mahārājñaḥ</w:t>
      </w:r>
      <w:r>
        <w:t xml:space="preserve"> instead of </w:t>
      </w:r>
      <w:r>
        <w:rPr>
          <w:rStyle w:val="Foreign"/>
        </w:rPr>
        <w:t>mahārājasya</w:t>
      </w:r>
    </w:p>
    <w:p w14:paraId="4CFF51A7" w14:textId="77777777">
      <w:pPr>
        <w:pStyle w:val="Cmsor2"/>
      </w:pPr>
      <w:bookmarkStart w:id="616" w:name="_8gcqc0hm9n9l" w:colFirst="0" w:colLast="0"/>
      <w:bookmarkStart w:id="617" w:name="_Ref229054270"/>
      <w:bookmarkStart w:id="618" w:name="_Toc243900333"/>
      <w:bookmarkEnd w:id="616"/>
      <w:r>
        <w:t>Encoding editorial intervention</w:t>
      </w:r>
      <w:bookmarkEnd w:id="617"/>
      <w:bookmarkEnd w:id="618"/>
    </w:p>
    <w:p w14:paraId="79EC5CF0" w14:textId="77777777">
      <w:pPr>
        <w:rPr>
          <w:lang w:eastAsia="en-US" w:bidi="ar-SA"/>
        </w:rPr>
      </w:pPr>
      <w:r>
        <w:rPr>
          <w:lang w:eastAsia="en-US" w:bidi="ar-SA"/>
        </w:rPr>
        <w:t>In DHARMA digital editions, the literal reading of the source must always be present (i.e. never discarded in favour of a correction or normalisation), and any editorial alteration must be explicitly tagged as such (i.e. never silent), except for the small number of specific cases listed in §</w:t>
      </w:r>
      <w:r>
        <w:rPr>
          <w:lang w:eastAsia="en-US" w:bidi="ar-SA"/>
        </w:rPr>
        <w:fldChar w:fldCharType="begin"/>
      </w:r>
      <w:r>
        <w:rPr>
          <w:lang w:eastAsia="en-US" w:bidi="ar-SA"/>
        </w:rPr>
        <w:instrText xml:space="preserve"> REF _Ref229056523 \r \h </w:instrText>
      </w:r>
      <w:r>
        <w:rPr>
          <w:lang w:eastAsia="en-US" w:bidi="ar-SA"/>
        </w:rPr>
      </w:r>
      <w:r>
        <w:rPr>
          <w:lang w:eastAsia="en-US" w:bidi="ar-SA"/>
        </w:rPr>
        <w:fldChar w:fldCharType="separate"/>
      </w:r>
      <w:r>
        <w:rPr>
          <w:lang w:eastAsia="en-US" w:bidi="ar-SA"/>
        </w:rPr>
        <w:t>7.8</w:t>
      </w:r>
      <w:r>
        <w:rPr>
          <w:lang w:eastAsia="en-US" w:bidi="ar-SA"/>
        </w:rPr>
        <w:fldChar w:fldCharType="end"/>
      </w:r>
      <w:r>
        <w:rPr>
          <w:lang w:eastAsia="en-US" w:bidi="ar-SA"/>
        </w:rPr>
        <w:t xml:space="preserve"> below. This requirement leaves us with the following practical scenarios for the treatment of an anomalous reading: ignore it (§</w:t>
      </w:r>
      <w:r>
        <w:rPr>
          <w:lang w:eastAsia="en-US" w:bidi="ar-SA"/>
        </w:rPr>
        <w:fldChar w:fldCharType="begin"/>
      </w:r>
      <w:r>
        <w:rPr>
          <w:lang w:eastAsia="en-US" w:bidi="ar-SA"/>
        </w:rPr>
        <w:instrText xml:space="preserve"> REF _Ref228976848 \r \h </w:instrText>
      </w:r>
      <w:r>
        <w:rPr>
          <w:lang w:eastAsia="en-US" w:bidi="ar-SA"/>
        </w:rPr>
      </w:r>
      <w:r>
        <w:rPr>
          <w:lang w:eastAsia="en-US" w:bidi="ar-SA"/>
        </w:rPr>
        <w:fldChar w:fldCharType="separate"/>
      </w:r>
      <w:r>
        <w:rPr>
          <w:lang w:eastAsia="en-US" w:bidi="ar-SA"/>
        </w:rPr>
        <w:t>7.3</w:t>
      </w:r>
      <w:r>
        <w:rPr>
          <w:lang w:eastAsia="en-US" w:bidi="ar-SA"/>
        </w:rPr>
        <w:fldChar w:fldCharType="end"/>
      </w:r>
      <w:r>
        <w:rPr>
          <w:lang w:eastAsia="en-US" w:bidi="ar-SA"/>
        </w:rPr>
        <w:t>), flag it as anomalous (§</w:t>
      </w:r>
      <w:r>
        <w:rPr>
          <w:lang w:eastAsia="en-US" w:bidi="ar-SA"/>
        </w:rPr>
        <w:fldChar w:fldCharType="begin"/>
      </w:r>
      <w:r>
        <w:rPr>
          <w:lang w:eastAsia="en-US" w:bidi="ar-SA"/>
        </w:rPr>
        <w:instrText xml:space="preserve"> REF _Ref228872759 \r \h </w:instrText>
      </w:r>
      <w:r>
        <w:rPr>
          <w:lang w:eastAsia="en-US" w:bidi="ar-SA"/>
        </w:rPr>
      </w:r>
      <w:r>
        <w:rPr>
          <w:lang w:eastAsia="en-US" w:bidi="ar-SA"/>
        </w:rPr>
        <w:fldChar w:fldCharType="separate"/>
      </w:r>
      <w:r>
        <w:rPr>
          <w:lang w:eastAsia="en-US" w:bidi="ar-SA"/>
        </w:rPr>
        <w:t>7.4</w:t>
      </w:r>
      <w:r>
        <w:rPr>
          <w:lang w:eastAsia="en-US" w:bidi="ar-SA"/>
        </w:rPr>
        <w:fldChar w:fldCharType="end"/>
      </w:r>
      <w:r>
        <w:rPr>
          <w:lang w:eastAsia="en-US" w:bidi="ar-SA"/>
        </w:rPr>
        <w:t>) or rectify it by providing the corrected or normalised reading as an alternative to the received reading (§</w:t>
      </w:r>
      <w:r>
        <w:rPr>
          <w:lang w:eastAsia="en-US" w:bidi="ar-SA"/>
        </w:rPr>
        <w:fldChar w:fldCharType="begin"/>
      </w:r>
      <w:r>
        <w:rPr>
          <w:lang w:eastAsia="en-US" w:bidi="ar-SA"/>
        </w:rPr>
        <w:instrText xml:space="preserve"> REF _Ref228872858 \r \h </w:instrText>
      </w:r>
      <w:r>
        <w:rPr>
          <w:lang w:eastAsia="en-US" w:bidi="ar-SA"/>
        </w:rPr>
      </w:r>
      <w:r>
        <w:rPr>
          <w:lang w:eastAsia="en-US" w:bidi="ar-SA"/>
        </w:rPr>
        <w:fldChar w:fldCharType="separate"/>
      </w:r>
      <w:r>
        <w:rPr>
          <w:lang w:eastAsia="en-US" w:bidi="ar-SA"/>
        </w:rPr>
        <w:t>7.5</w:t>
      </w:r>
      <w:r>
        <w:rPr>
          <w:lang w:eastAsia="en-US" w:bidi="ar-SA"/>
        </w:rPr>
        <w:fldChar w:fldCharType="end"/>
      </w:r>
      <w:r>
        <w:rPr>
          <w:lang w:eastAsia="en-US" w:bidi="ar-SA"/>
        </w:rPr>
        <w:t>). All of the encoding introduced in this section must comply with the guidance on good practice in §</w:t>
      </w:r>
      <w:r>
        <w:rPr>
          <w:lang w:eastAsia="en-US" w:bidi="ar-SA"/>
        </w:rPr>
        <w:fldChar w:fldCharType="begin"/>
      </w:r>
      <w:r>
        <w:rPr>
          <w:lang w:eastAsia="en-US" w:bidi="ar-SA"/>
        </w:rPr>
        <w:instrText xml:space="preserve"> REF _Ref43991017 \r \h </w:instrText>
      </w:r>
      <w:r>
        <w:rPr>
          <w:lang w:eastAsia="en-US" w:bidi="ar-SA"/>
        </w:rPr>
      </w:r>
      <w:r>
        <w:rPr>
          <w:lang w:eastAsia="en-US" w:bidi="ar-SA"/>
        </w:rPr>
        <w:fldChar w:fldCharType="separate"/>
      </w:r>
      <w:r>
        <w:rPr>
          <w:lang w:eastAsia="en-US" w:bidi="ar-SA"/>
        </w:rPr>
        <w:t>7.7</w:t>
      </w:r>
      <w:r>
        <w:rPr>
          <w:lang w:eastAsia="en-US" w:bidi="ar-SA"/>
        </w:rPr>
        <w:fldChar w:fldCharType="end"/>
      </w:r>
      <w:r>
        <w:rPr>
          <w:lang w:eastAsia="en-US" w:bidi="ar-SA"/>
        </w:rPr>
        <w:t>.</w:t>
      </w:r>
    </w:p>
    <w:p w14:paraId="7BB66B41" w14:textId="77777777">
      <w:pPr>
        <w:pStyle w:val="Normlbehzs"/>
        <w:rPr>
          <w:lang w:eastAsia="en-US" w:bidi="ar-SA"/>
        </w:rPr>
      </w:pPr>
      <w:r>
        <w:rPr>
          <w:lang w:eastAsia="en-US" w:bidi="ar-SA"/>
        </w:rPr>
        <w:t xml:space="preserve">The action you take with regard to any linguistic anomaly must be selected at your discretion, depending on your perception of the relative commonness or uncommonness of the anomaly in your corpus and of its transparency to the scholarly target audience. </w:t>
      </w:r>
      <w:r>
        <w:t>No objective and universal criteria can be established for such a decision,</w:t>
      </w:r>
      <w:r>
        <w:rPr>
          <w:lang w:eastAsia="en-US" w:bidi="ar-SA"/>
        </w:rPr>
        <w:t xml:space="preserve"> but the following subsections provide some rules of thumb for the kinds of cases where each level of intervention is appropriate. The general aim is not to clutter the edition with code (and its display rendition with character-based markup) unless it serves a useful purpose. A lower level of intervention may be applied to phenomena that you perceive to be common in your particular text or subcorpus. Erring on the side of caution is always allowed, so in any individual case where you deem a higher level of intervention to be warranted, feel free to encode it.</w:t>
      </w:r>
    </w:p>
    <w:p w14:paraId="203D976C" w14:textId="77777777">
      <w:pPr>
        <w:pStyle w:val="Cmsor3"/>
      </w:pPr>
      <w:bookmarkStart w:id="619" w:name="_yyyl8vy3rih7" w:colFirst="0" w:colLast="0"/>
      <w:bookmarkStart w:id="620" w:name="_tebtz9jasa9y" w:colFirst="0" w:colLast="0"/>
      <w:bookmarkStart w:id="621" w:name="_Ref228885762"/>
      <w:bookmarkStart w:id="622" w:name="_Toc243900334"/>
      <w:bookmarkStart w:id="623" w:name="_Ref228868276"/>
      <w:bookmarkStart w:id="624" w:name="_Ref43988218"/>
      <w:bookmarkEnd w:id="619"/>
      <w:bookmarkEnd w:id="620"/>
      <w:r>
        <w:t>Encoding tools for anomalous readings</w:t>
      </w:r>
      <w:bookmarkEnd w:id="621"/>
      <w:bookmarkEnd w:id="622"/>
    </w:p>
    <w:p w14:paraId="75E6D8FB" w14:textId="77777777">
      <w:r>
        <w:t>TEI and EpiDoc provide the following elements for encoding the editorial treatment of incorrect or non-standard text.</w:t>
      </w:r>
    </w:p>
    <w:p w14:paraId="341F11B7" w14:textId="77777777">
      <w:pPr>
        <w:pStyle w:val="Lista"/>
      </w:pPr>
      <w:r>
        <w:t>for encoding anomalous readings in the received text,</w:t>
      </w:r>
    </w:p>
    <w:p w14:paraId="26F76F20" w14:textId="77777777">
      <w:pPr>
        <w:pStyle w:val="Lista2"/>
      </w:pPr>
      <w:r>
        <w:t xml:space="preserve">the element </w:t>
      </w:r>
      <w:r>
        <w:rPr>
          <w:rStyle w:val="Code"/>
        </w:rPr>
        <w:t>&lt;orig&gt;</w:t>
      </w:r>
      <w:r>
        <w:t xml:space="preserve"> (for “original form”) serves as a wrapper for text that is literally present in the source, but is deemed by the editor to be non-standard</w:t>
      </w:r>
    </w:p>
    <w:p w14:paraId="7D6EE9B3" w14:textId="77777777">
      <w:pPr>
        <w:pStyle w:val="Lista2"/>
      </w:pPr>
      <w:r>
        <w:t xml:space="preserve">the element </w:t>
      </w:r>
      <w:r>
        <w:rPr>
          <w:rStyle w:val="Code"/>
        </w:rPr>
        <w:t>&lt;sic&gt;</w:t>
      </w:r>
      <w:r>
        <w:t xml:space="preserve"> (Latin for “thus”) serves as a wrapper for text that is literally present in the source, but is deemed by the editor to be incorrect</w:t>
      </w:r>
    </w:p>
    <w:p w14:paraId="23087862" w14:textId="77777777">
      <w:pPr>
        <w:pStyle w:val="Lista2"/>
      </w:pPr>
      <w:r>
        <w:t>on their own, these elements may be used for flagging a reading as anomalous (§</w:t>
      </w:r>
      <w:r>
        <w:fldChar w:fldCharType="begin"/>
      </w:r>
      <w:r>
        <w:instrText xml:space="preserve"> REF _Ref228872759 \r \h </w:instrText>
      </w:r>
      <w:r>
        <w:fldChar w:fldCharType="separate"/>
      </w:r>
      <w:r>
        <w:t>7.4</w:t>
      </w:r>
      <w:r>
        <w:fldChar w:fldCharType="end"/>
      </w:r>
      <w:r>
        <w:t>)</w:t>
      </w:r>
    </w:p>
    <w:p w14:paraId="16FF00ED" w14:textId="77777777">
      <w:pPr>
        <w:pStyle w:val="Lista"/>
      </w:pPr>
      <w:r>
        <w:t>for indicating readings altered by the editor,</w:t>
      </w:r>
    </w:p>
    <w:p w14:paraId="4FD335D9" w14:textId="77777777">
      <w:pPr>
        <w:pStyle w:val="Lista2"/>
      </w:pPr>
      <w:r>
        <w:lastRenderedPageBreak/>
        <w:t xml:space="preserve">the element </w:t>
      </w:r>
      <w:r>
        <w:rPr>
          <w:rStyle w:val="Code"/>
        </w:rPr>
        <w:t>&lt;reg&gt;</w:t>
      </w:r>
      <w:r>
        <w:t xml:space="preserve"> (for “regularisation,” which is a synonym of normalisation in TEI usage) serves as a wrapper for text that has been normalised by the editor because the received reading was deemed non-standard</w:t>
      </w:r>
    </w:p>
    <w:p w14:paraId="74C5B70C" w14:textId="77777777">
      <w:pPr>
        <w:pStyle w:val="Lista2"/>
      </w:pPr>
      <w:r>
        <w:t xml:space="preserve">the element </w:t>
      </w:r>
      <w:r>
        <w:rPr>
          <w:rStyle w:val="Code"/>
        </w:rPr>
        <w:t>&lt;corr&gt;</w:t>
      </w:r>
      <w:r>
        <w:t xml:space="preserve"> (for “correction”) serves as a wrapper for text that has been corrected by the editor because the received reading was deemed erroneous</w:t>
      </w:r>
    </w:p>
    <w:p w14:paraId="600C32CE" w14:textId="77777777">
      <w:pPr>
        <w:pStyle w:val="Lista2"/>
      </w:pPr>
      <w:r>
        <w:t>these elements are never used on their own in DHARMA editions, since the received (i.e. unaltered) reading must always be present</w:t>
      </w:r>
    </w:p>
    <w:p w14:paraId="4F05F4F5" w14:textId="77777777">
      <w:pPr>
        <w:pStyle w:val="Lista3"/>
      </w:pPr>
      <w:r>
        <w:t>instead, they are employed in rectification by substitution (§</w:t>
      </w:r>
      <w:r>
        <w:fldChar w:fldCharType="begin"/>
      </w:r>
      <w:r>
        <w:instrText xml:space="preserve"> REF _Ref229057056 \r \h </w:instrText>
      </w:r>
      <w:r>
        <w:fldChar w:fldCharType="separate"/>
      </w:r>
      <w:r>
        <w:t>7.5.1</w:t>
      </w:r>
      <w:r>
        <w:fldChar w:fldCharType="end"/>
      </w:r>
      <w:r>
        <w:t xml:space="preserve">), where the element </w:t>
      </w:r>
      <w:r>
        <w:rPr>
          <w:rStyle w:val="Code"/>
        </w:rPr>
        <w:t>&lt;choice&gt;</w:t>
      </w:r>
      <w:r>
        <w:t xml:space="preserve"> wraps both the received reading (tagged as above) and the editorial reading, indicating that only one of the two is actually present at the given locus</w:t>
      </w:r>
    </w:p>
    <w:p w14:paraId="329338F7" w14:textId="77777777">
      <w:pPr>
        <w:pStyle w:val="Lista"/>
      </w:pPr>
      <w:r>
        <w:t>TEI also caters for marking up parts of the text which are deemed superfluous and parts of the text which have been added by the editor:</w:t>
      </w:r>
    </w:p>
    <w:p w14:paraId="54FD2D07" w14:textId="77777777">
      <w:pPr>
        <w:pStyle w:val="Lista2"/>
      </w:pPr>
      <w:r>
        <w:t xml:space="preserve">the element </w:t>
      </w:r>
      <w:r>
        <w:rPr>
          <w:rStyle w:val="Code"/>
        </w:rPr>
        <w:t>&lt;surplus&gt;</w:t>
      </w:r>
      <w:r>
        <w:t xml:space="preserve"> serves as a wrapper for text that is present in the source but should not be there according to the editor</w:t>
      </w:r>
    </w:p>
    <w:p w14:paraId="0FB54275" w14:textId="77777777">
      <w:pPr>
        <w:pStyle w:val="Lista2"/>
      </w:pPr>
      <w:r>
        <w:t xml:space="preserve">the element </w:t>
      </w:r>
      <w:r>
        <w:rPr>
          <w:rStyle w:val="Code"/>
        </w:rPr>
        <w:t>&lt;supplied&gt;</w:t>
      </w:r>
      <w:r>
        <w:t xml:space="preserve"> serves as a wrapper for text that is no present in the source but should be there according to the editor</w:t>
      </w:r>
    </w:p>
    <w:p w14:paraId="37C33EF9" w14:textId="77777777">
      <w:pPr>
        <w:pStyle w:val="Lista3"/>
      </w:pPr>
      <w:r>
        <w:t xml:space="preserve">the attribute </w:t>
      </w:r>
      <w:r>
        <w:rPr>
          <w:rStyle w:val="Codeattribute"/>
        </w:rPr>
        <w:t>@reason</w:t>
      </w:r>
      <w:r>
        <w:t xml:space="preserve"> with the value </w:t>
      </w:r>
      <w:r>
        <w:rPr>
          <w:rStyle w:val="Codevalue"/>
        </w:rPr>
        <w:t>"omitted"</w:t>
      </w:r>
      <w:r>
        <w:t xml:space="preserve"> on this element indicates that the supplied text ought to have been written by the scribe but was omitted</w:t>
      </w:r>
      <w:r>
        <w:rPr>
          <w:rStyle w:val="Lbjegyzet-hivatkozs"/>
        </w:rPr>
        <w:footnoteReference w:id="34"/>
      </w:r>
    </w:p>
    <w:p w14:paraId="5853A056" w14:textId="77777777">
      <w:pPr>
        <w:pStyle w:val="Lista2"/>
      </w:pPr>
      <w:r>
        <w:t>these elements do not, by general TEI convention, assert anything about the nature or reason of redundance or omission, but in DHARMA editions, they are dedicated solely to the rectification of erroneous readings</w:t>
      </w:r>
    </w:p>
    <w:p w14:paraId="1B3AE0D5" w14:textId="77777777">
      <w:pPr>
        <w:pStyle w:val="Lista3"/>
      </w:pPr>
      <w:r>
        <w:t>therefore, even when non-standard orthography could be normalised simply by adding or suppressing specific graphemes, this must not be done with these elements but rather by the substitution method outlined above</w:t>
      </w:r>
    </w:p>
    <w:p w14:paraId="3CCFF9D6" w14:textId="77777777">
      <w:pPr>
        <w:pStyle w:val="Lista3"/>
      </w:pPr>
      <w:r>
        <w:t>this leaves us with the following possible editorial actions:</w:t>
      </w:r>
    </w:p>
    <w:p w14:paraId="11B051E6" w14:textId="77777777">
      <w:pPr>
        <w:pStyle w:val="Lista4"/>
      </w:pPr>
      <w:r>
        <w:t>correction by suppression of superfluous graphemes written by mistake (§</w:t>
      </w:r>
      <w:r>
        <w:fldChar w:fldCharType="begin"/>
      </w:r>
      <w:r>
        <w:instrText xml:space="preserve"> REF _Ref229054665 \r \h </w:instrText>
      </w:r>
      <w:r>
        <w:fldChar w:fldCharType="separate"/>
      </w:r>
      <w:r>
        <w:t>7.5.2</w:t>
      </w:r>
      <w:r>
        <w:fldChar w:fldCharType="end"/>
      </w:r>
      <w:r>
        <w:t>)</w:t>
      </w:r>
    </w:p>
    <w:p w14:paraId="34429F26" w14:textId="77777777">
      <w:pPr>
        <w:pStyle w:val="Lista4"/>
      </w:pPr>
      <w:r>
        <w:t>correction by restitution of erroneously omitted graphemes (§</w:t>
      </w:r>
      <w:r>
        <w:fldChar w:fldCharType="begin"/>
      </w:r>
      <w:r>
        <w:instrText xml:space="preserve"> REF _Ref228873746 \r \h </w:instrText>
      </w:r>
      <w:r>
        <w:fldChar w:fldCharType="separate"/>
      </w:r>
      <w:r>
        <w:t>7.5.3</w:t>
      </w:r>
      <w:r>
        <w:fldChar w:fldCharType="end"/>
      </w:r>
      <w:r>
        <w:t>)</w:t>
      </w:r>
    </w:p>
    <w:p w14:paraId="7AE0504A" w14:textId="77777777">
      <w:pPr>
        <w:pStyle w:val="Cmsor2"/>
      </w:pPr>
      <w:bookmarkStart w:id="625" w:name="_Ref228976848"/>
      <w:bookmarkStart w:id="626" w:name="_Toc243900335"/>
      <w:r>
        <w:t>Ignor</w:t>
      </w:r>
      <w:bookmarkEnd w:id="623"/>
      <w:r>
        <w:t>ing anomalous readings</w:t>
      </w:r>
      <w:bookmarkEnd w:id="625"/>
      <w:bookmarkEnd w:id="626"/>
    </w:p>
    <w:p w14:paraId="0A751EC6" w14:textId="77777777">
      <w:r>
        <w:t>Trivial linguistic anomalies may be left without any editorial encoding.</w:t>
      </w:r>
    </w:p>
    <w:p w14:paraId="4A2A3705" w14:textId="77777777">
      <w:pPr>
        <w:pStyle w:val="Lista"/>
      </w:pPr>
      <w:r>
        <w:t xml:space="preserve">this applies in particular to </w:t>
      </w:r>
      <w:r>
        <w:rPr>
          <w:noProof/>
        </w:rPr>
        <w:t>(</w:t>
      </w:r>
      <w:r>
        <w:t>near-)universal features of inscriptional orthography prevalent throughout South and Southeast Asia, or throughout a particular region, including but not limited to:</w:t>
      </w:r>
    </w:p>
    <w:p w14:paraId="508D9148" w14:textId="77777777">
      <w:pPr>
        <w:pStyle w:val="Lista2"/>
      </w:pPr>
      <w:r>
        <w:t xml:space="preserve">the doubling of plosives, nasals and glides after an </w:t>
      </w:r>
      <w:r>
        <w:rPr>
          <w:rStyle w:val="Foreign"/>
        </w:rPr>
        <w:t>r</w:t>
      </w:r>
      <w:r>
        <w:t xml:space="preserve"> </w:t>
      </w:r>
      <w:r>
        <w:rPr>
          <w:noProof/>
        </w:rPr>
        <w:t>(</w:t>
      </w:r>
      <w:r>
        <w:t xml:space="preserve">e.g. </w:t>
      </w:r>
      <w:r>
        <w:rPr>
          <w:rStyle w:val="Foreign"/>
        </w:rPr>
        <w:t>dharmma</w:t>
      </w:r>
      <w:r>
        <w:t xml:space="preserve"> for </w:t>
      </w:r>
      <w:r>
        <w:rPr>
          <w:rStyle w:val="Foreign"/>
        </w:rPr>
        <w:t>dharma</w:t>
      </w:r>
      <w:r>
        <w:t>)</w:t>
      </w:r>
    </w:p>
    <w:p w14:paraId="620B6885" w14:textId="77777777">
      <w:pPr>
        <w:pStyle w:val="Lista2"/>
      </w:pPr>
      <w:r>
        <w:t xml:space="preserve">the use of an </w:t>
      </w:r>
      <w:r>
        <w:rPr>
          <w:rStyle w:val="Foreign"/>
        </w:rPr>
        <w:t>anusvāra</w:t>
      </w:r>
      <w:r>
        <w:t xml:space="preserve"> instead of the class nasal or vice versa </w:t>
      </w:r>
      <w:r>
        <w:rPr>
          <w:noProof/>
        </w:rPr>
        <w:t>(</w:t>
      </w:r>
      <w:r>
        <w:t xml:space="preserve">e.g. </w:t>
      </w:r>
      <w:r>
        <w:rPr>
          <w:rStyle w:val="Foreign"/>
        </w:rPr>
        <w:t>maṁtra</w:t>
      </w:r>
      <w:r>
        <w:t xml:space="preserve"> for </w:t>
      </w:r>
      <w:r>
        <w:rPr>
          <w:rStyle w:val="Foreign"/>
        </w:rPr>
        <w:t>mantra</w:t>
      </w:r>
      <w:r>
        <w:t>)</w:t>
      </w:r>
    </w:p>
    <w:p w14:paraId="6AB5AFB3" w14:textId="77777777">
      <w:pPr>
        <w:pStyle w:val="Lista3"/>
      </w:pPr>
      <w:r>
        <w:t xml:space="preserve">including final positions (e.g. </w:t>
      </w:r>
      <w:r>
        <w:rPr>
          <w:rStyle w:val="Foreign"/>
        </w:rPr>
        <w:t>kin tu</w:t>
      </w:r>
      <w:r>
        <w:t xml:space="preserve"> for </w:t>
      </w:r>
      <w:r>
        <w:rPr>
          <w:rStyle w:val="Foreign"/>
        </w:rPr>
        <w:t>kiṁ tu</w:t>
      </w:r>
      <w:r>
        <w:t xml:space="preserve"> as well as </w:t>
      </w:r>
      <w:r>
        <w:rPr>
          <w:rStyle w:val="Foreign"/>
        </w:rPr>
        <w:t>tathoktaṁ|</w:t>
      </w:r>
      <w:r>
        <w:t xml:space="preserve"> for </w:t>
      </w:r>
      <w:r>
        <w:rPr>
          <w:rStyle w:val="Foreign"/>
        </w:rPr>
        <w:t>tathoktaM|</w:t>
      </w:r>
      <w:r>
        <w:t>)</w:t>
      </w:r>
    </w:p>
    <w:p w14:paraId="572249C1" w14:textId="77777777">
      <w:pPr>
        <w:pStyle w:val="Lista2"/>
      </w:pPr>
      <w:r>
        <w:t>the use of hiatus (often deliberately to imply a pause) where sandhi would be expected by modern standards</w:t>
      </w:r>
    </w:p>
    <w:p w14:paraId="5974683F" w14:textId="77777777">
      <w:pPr>
        <w:pStyle w:val="Lista"/>
      </w:pPr>
      <w:r>
        <w:t>in Old Javanese, it is recommended that you ignore the following kinds of anomalies unless they create ambiguity:</w:t>
      </w:r>
    </w:p>
    <w:p w14:paraId="61D031BF" w14:textId="77777777">
      <w:pPr>
        <w:pStyle w:val="Lista2"/>
      </w:pPr>
      <w:r>
        <w:t xml:space="preserve">spelling of long </w:t>
      </w:r>
      <w:r>
        <w:rPr>
          <w:rStyle w:val="Foreign"/>
        </w:rPr>
        <w:t>pepet</w:t>
      </w:r>
      <w:r>
        <w:t xml:space="preserve"> with </w:t>
      </w:r>
      <w:r>
        <w:rPr>
          <w:rStyle w:val="Foreign"/>
        </w:rPr>
        <w:t>ə</w:t>
      </w:r>
      <w:r>
        <w:t xml:space="preserve"> plus length mark (to be transliterated as </w:t>
      </w:r>
      <w:r>
        <w:rPr>
          <w:rStyle w:val="Foreign"/>
        </w:rPr>
        <w:t>ə:</w:t>
      </w:r>
      <w:r>
        <w:t xml:space="preserve"> as per TG §4.1.7</w:t>
      </w:r>
    </w:p>
    <w:p w14:paraId="0B1145B4" w14:textId="77777777">
      <w:pPr>
        <w:pStyle w:val="Lista2"/>
      </w:pPr>
      <w:r>
        <w:t xml:space="preserve">use of </w:t>
      </w:r>
      <w:r>
        <w:rPr>
          <w:rStyle w:val="Foreign"/>
        </w:rPr>
        <w:t>R̥</w:t>
      </w:r>
      <w:r>
        <w:t xml:space="preserve"> or </w:t>
      </w:r>
      <w:r>
        <w:rPr>
          <w:rStyle w:val="Foreign"/>
        </w:rPr>
        <w:t>L̥</w:t>
      </w:r>
      <w:r>
        <w:t xml:space="preserve"> </w:t>
      </w:r>
      <w:r>
        <w:rPr>
          <w:noProof/>
        </w:rPr>
        <w:t>(</w:t>
      </w:r>
      <w:r>
        <w:t xml:space="preserve">and </w:t>
      </w:r>
      <w:r>
        <w:rPr>
          <w:rStyle w:val="Foreign"/>
        </w:rPr>
        <w:t>R̥̄</w:t>
      </w:r>
      <w:r>
        <w:t xml:space="preserve"> or </w:t>
      </w:r>
      <w:r>
        <w:rPr>
          <w:rStyle w:val="Foreign"/>
        </w:rPr>
        <w:t>L̥̄</w:t>
      </w:r>
      <w:r>
        <w:t xml:space="preserve">) in words whose dictionary spelling has </w:t>
      </w:r>
      <w:r>
        <w:rPr>
          <w:rStyle w:val="Foreign"/>
        </w:rPr>
        <w:t>rə</w:t>
      </w:r>
      <w:r>
        <w:t xml:space="preserve"> or </w:t>
      </w:r>
      <w:r>
        <w:rPr>
          <w:rStyle w:val="Foreign"/>
        </w:rPr>
        <w:t>lə</w:t>
      </w:r>
      <w:r>
        <w:t xml:space="preserve"> </w:t>
      </w:r>
      <w:r>
        <w:rPr>
          <w:noProof/>
        </w:rPr>
        <w:t>(</w:t>
      </w:r>
      <w:r>
        <w:t xml:space="preserve">or </w:t>
      </w:r>
      <w:r>
        <w:rPr>
          <w:rStyle w:val="Foreign"/>
        </w:rPr>
        <w:t>rə̄</w:t>
      </w:r>
      <w:r>
        <w:t xml:space="preserve"> or </w:t>
      </w:r>
      <w:r>
        <w:rPr>
          <w:rStyle w:val="Foreign"/>
        </w:rPr>
        <w:t>lə̄</w:t>
      </w:r>
      <w:r>
        <w:t>)</w:t>
      </w:r>
    </w:p>
    <w:p w14:paraId="30ABD1A6" w14:textId="77777777">
      <w:pPr>
        <w:pStyle w:val="Lista"/>
      </w:pPr>
      <w:r>
        <w:t>in Old Khmer, it is recommended that you ignore the following kinds of anomalies unless they create ambiguity:</w:t>
      </w:r>
    </w:p>
    <w:p w14:paraId="4A969D2E" w14:textId="77777777">
      <w:pPr>
        <w:pStyle w:val="Lista2"/>
      </w:pPr>
      <w:r>
        <w:t xml:space="preserve">absence of </w:t>
      </w:r>
      <w:r>
        <w:rPr>
          <w:rStyle w:val="Foreign"/>
        </w:rPr>
        <w:t>virāma</w:t>
      </w:r>
    </w:p>
    <w:p w14:paraId="0F18B951" w14:textId="77777777">
      <w:pPr>
        <w:pStyle w:val="Lista2"/>
      </w:pPr>
      <w:r>
        <w:t xml:space="preserve">representation of final consonant </w:t>
      </w:r>
      <w:r>
        <w:rPr>
          <w:rStyle w:val="Foreign"/>
        </w:rPr>
        <w:t>C</w:t>
      </w:r>
      <w:r>
        <w:t xml:space="preserve"> by the spelling </w:t>
      </w:r>
      <w:r>
        <w:rPr>
          <w:rStyle w:val="Foreign"/>
        </w:rPr>
        <w:t>CCa</w:t>
      </w:r>
      <w:r>
        <w:t xml:space="preserve">, including final /h/ represented as </w:t>
      </w:r>
      <w:r>
        <w:rPr>
          <w:rStyle w:val="Foreign"/>
        </w:rPr>
        <w:t>ḥha</w:t>
      </w:r>
    </w:p>
    <w:p w14:paraId="428A1677" w14:textId="77777777">
      <w:pPr>
        <w:pStyle w:val="Lista"/>
      </w:pPr>
      <w:r>
        <w:t>grammatical laxity may in general be ignored, especially in complex constructions such as subordinate clauses, long compounds or compound-like structures, and very long “sentences” encompassing multiple topics and/or stanzas</w:t>
      </w:r>
    </w:p>
    <w:p w14:paraId="468CBC5B" w14:textId="77777777">
      <w:pPr>
        <w:pStyle w:val="Lista2"/>
      </w:pPr>
      <w:r>
        <w:lastRenderedPageBreak/>
        <w:t xml:space="preserve">we see no advantage in attempting </w:t>
      </w:r>
      <w:r>
        <w:rPr>
          <w:lang w:eastAsia="en-US" w:bidi="ar-SA"/>
        </w:rPr>
        <w:t>to force a source document into conforming to canons which, even if they exist for the language in question, may not have been known or perceived as binding by the document’s composer</w:t>
      </w:r>
    </w:p>
    <w:p w14:paraId="2022C2D5" w14:textId="77777777">
      <w:pPr>
        <w:pStyle w:val="Lista2"/>
      </w:pPr>
      <w:r>
        <w:rPr>
          <w:lang w:eastAsia="en-US" w:bidi="ar-SA"/>
        </w:rPr>
        <w:t>in particular, normalisation to high standards should be avoided if doing so requires altering or reorganising a  stretch of text longer than a word or two</w:t>
      </w:r>
    </w:p>
    <w:p w14:paraId="70991BB3" w14:textId="77777777">
      <w:pPr>
        <w:pStyle w:val="Lista"/>
      </w:pPr>
      <w:r>
        <w:t>scribal mistakes you deem to be completely insignificant and entirely transparent may be ignored at your discretion</w:t>
      </w:r>
    </w:p>
    <w:p w14:paraId="3CC89651" w14:textId="77777777">
      <w:pPr>
        <w:pStyle w:val="Cmsor2"/>
      </w:pPr>
      <w:bookmarkStart w:id="627" w:name="_Ref228868281"/>
      <w:bookmarkStart w:id="628" w:name="_Ref228872759"/>
      <w:bookmarkStart w:id="629" w:name="_Toc243900336"/>
      <w:r>
        <w:t>Flag</w:t>
      </w:r>
      <w:bookmarkEnd w:id="627"/>
      <w:r>
        <w:t>ging anomalous readings</w:t>
      </w:r>
      <w:bookmarkEnd w:id="628"/>
      <w:bookmarkEnd w:id="629"/>
    </w:p>
    <w:p w14:paraId="763B77AA" w14:textId="77777777">
      <w:r>
        <w:t xml:space="preserve">Flagging reading as linguistically anomalous without rectifying it serves two purposes: it highlights unexpected text for the reader’s attention, and it makes it clear to the reader that the unexpected text is not your editorial mistake. </w:t>
      </w:r>
    </w:p>
    <w:p w14:paraId="626AB795" w14:textId="77777777">
      <w:pPr>
        <w:pStyle w:val="Lista"/>
      </w:pPr>
      <w:r>
        <w:t>flagging without rectification is recommended for scribal errors and unintelligible text only if you cannot propose a single confident correction (tentative or alternative corrections may be discussed in an apparatus note, §</w:t>
      </w:r>
      <w:r>
        <w:fldChar w:fldCharType="begin"/>
      </w:r>
      <w:r>
        <w:instrText xml:space="preserve"> REF _Ref43988104 \w \h  \* MERGEFORMAT </w:instrText>
      </w:r>
      <w:r>
        <w:fldChar w:fldCharType="separate"/>
      </w:r>
      <w:r>
        <w:t>10.7</w:t>
      </w:r>
      <w:r>
        <w:fldChar w:fldCharType="end"/>
      </w:r>
      <w:r>
        <w:t>), or if a mistake is entirely transparent</w:t>
      </w:r>
    </w:p>
    <w:p w14:paraId="3311AEAA" w14:textId="77777777">
      <w:pPr>
        <w:pStyle w:val="Lista"/>
      </w:pPr>
      <w:r>
        <w:t xml:space="preserve">flagging without rectification is recommended for non-standard orthography that is common but not quite universal, such as </w:t>
      </w:r>
    </w:p>
    <w:p w14:paraId="486679F0" w14:textId="77777777">
      <w:pPr>
        <w:pStyle w:val="Lista2"/>
      </w:pPr>
      <w:r>
        <w:t xml:space="preserve">the doubling of consonants in certain conjuncts that do not begin with </w:t>
      </w:r>
      <w:r>
        <w:rPr>
          <w:rStyle w:val="Foreign"/>
        </w:rPr>
        <w:t>r</w:t>
      </w:r>
      <w:r>
        <w:t xml:space="preserve"> </w:t>
      </w:r>
      <w:r>
        <w:rPr>
          <w:noProof/>
        </w:rPr>
        <w:t>(</w:t>
      </w:r>
      <w:r>
        <w:t xml:space="preserve">e.g. </w:t>
      </w:r>
      <w:r>
        <w:rPr>
          <w:rStyle w:val="Foreign"/>
        </w:rPr>
        <w:t>puttra</w:t>
      </w:r>
      <w:r>
        <w:t xml:space="preserve"> for </w:t>
      </w:r>
      <w:r>
        <w:rPr>
          <w:rStyle w:val="Foreign"/>
        </w:rPr>
        <w:t>putra</w:t>
      </w:r>
      <w:r>
        <w:t xml:space="preserve">; </w:t>
      </w:r>
      <w:r>
        <w:rPr>
          <w:rStyle w:val="Foreign"/>
        </w:rPr>
        <w:t>sattya</w:t>
      </w:r>
      <w:r>
        <w:t xml:space="preserve"> for </w:t>
      </w:r>
      <w:r>
        <w:rPr>
          <w:rStyle w:val="Foreign"/>
        </w:rPr>
        <w:t>satya</w:t>
      </w:r>
      <w:r>
        <w:t>)</w:t>
      </w:r>
    </w:p>
    <w:p w14:paraId="1E60BF49" w14:textId="77777777">
      <w:pPr>
        <w:pStyle w:val="Lista2"/>
      </w:pPr>
      <w:r>
        <w:t xml:space="preserve">the exchange of a consonant for a phonetically similar one </w:t>
      </w:r>
      <w:r>
        <w:rPr>
          <w:noProof/>
        </w:rPr>
        <w:t>(</w:t>
      </w:r>
      <w:r>
        <w:t xml:space="preserve">e.g. </w:t>
      </w:r>
      <w:r>
        <w:rPr>
          <w:rStyle w:val="Foreign"/>
        </w:rPr>
        <w:t>muṇi</w:t>
      </w:r>
      <w:r>
        <w:t xml:space="preserve"> for </w:t>
      </w:r>
      <w:r>
        <w:rPr>
          <w:rStyle w:val="Foreign"/>
        </w:rPr>
        <w:t>muni</w:t>
      </w:r>
      <w:r>
        <w:t>)</w:t>
      </w:r>
    </w:p>
    <w:p w14:paraId="009717DC" w14:textId="77777777">
      <w:pPr>
        <w:pStyle w:val="Lista2"/>
      </w:pPr>
      <w:r>
        <w:t xml:space="preserve">infidelity to the correct length of vowels in words borrowed from Sanskrit, in languages where inconsistency in spelling of vowel-length is rampant </w:t>
      </w:r>
      <w:r>
        <w:rPr>
          <w:noProof/>
        </w:rPr>
        <w:t>(</w:t>
      </w:r>
      <w:r>
        <w:t xml:space="preserve">e.g. </w:t>
      </w:r>
      <w:r>
        <w:rPr>
          <w:rStyle w:val="Foreign"/>
        </w:rPr>
        <w:t>bhima</w:t>
      </w:r>
      <w:r>
        <w:t xml:space="preserve"> for </w:t>
      </w:r>
      <w:r>
        <w:rPr>
          <w:rStyle w:val="Foreign"/>
        </w:rPr>
        <w:t>bhīma</w:t>
      </w:r>
      <w:r>
        <w:t>)</w:t>
      </w:r>
    </w:p>
    <w:p w14:paraId="3F7AF936" w14:textId="77777777">
      <w:pPr>
        <w:pStyle w:val="Lista"/>
      </w:pPr>
      <w:r>
        <w:t>flagging without rectification is recommended for non-standard language use that is common in a given subcorpus or text, such as</w:t>
      </w:r>
    </w:p>
    <w:p w14:paraId="6BB75F7D" w14:textId="77777777">
      <w:pPr>
        <w:pStyle w:val="Lista2"/>
      </w:pPr>
      <w:r>
        <w:t xml:space="preserve">non-standard or substandard grammar </w:t>
      </w:r>
      <w:r>
        <w:rPr>
          <w:noProof/>
        </w:rPr>
        <w:t>(</w:t>
      </w:r>
      <w:r>
        <w:t xml:space="preserve">e.g. </w:t>
      </w:r>
      <w:r>
        <w:rPr>
          <w:rStyle w:val="Foreign"/>
        </w:rPr>
        <w:t>rājasya</w:t>
      </w:r>
      <w:r>
        <w:t xml:space="preserve"> for </w:t>
      </w:r>
      <w:r>
        <w:rPr>
          <w:rStyle w:val="Foreign"/>
        </w:rPr>
        <w:t>rājñaḥ</w:t>
      </w:r>
      <w:r>
        <w:t xml:space="preserve">; </w:t>
      </w:r>
      <w:r>
        <w:rPr>
          <w:rStyle w:val="Foreign"/>
        </w:rPr>
        <w:t>kr̥tedam</w:t>
      </w:r>
      <w:r>
        <w:t xml:space="preserve"> for </w:t>
      </w:r>
      <w:r>
        <w:rPr>
          <w:rStyle w:val="Foreign"/>
        </w:rPr>
        <w:t>kr̥tam idam</w:t>
      </w:r>
      <w:r>
        <w:t xml:space="preserve">; </w:t>
      </w:r>
      <w:r>
        <w:rPr>
          <w:rStyle w:val="Foreign"/>
        </w:rPr>
        <w:t>sā gataḥ</w:t>
      </w:r>
      <w:r>
        <w:t xml:space="preserve"> for </w:t>
      </w:r>
      <w:r>
        <w:rPr>
          <w:rStyle w:val="Foreign"/>
        </w:rPr>
        <w:t>sā gatā</w:t>
      </w:r>
      <w:r>
        <w:t>)</w:t>
      </w:r>
    </w:p>
    <w:p w14:paraId="74D71FAA" w14:textId="77777777">
      <w:pPr>
        <w:pStyle w:val="Lista2"/>
      </w:pPr>
      <w:r>
        <w:t xml:space="preserve">non-standard sandhi </w:t>
      </w:r>
      <w:r>
        <w:rPr>
          <w:noProof/>
        </w:rPr>
        <w:t>(</w:t>
      </w:r>
      <w:r>
        <w:t xml:space="preserve">e.g. </w:t>
      </w:r>
      <w:r>
        <w:rPr>
          <w:rStyle w:val="Foreign"/>
        </w:rPr>
        <w:t>anugrahāya-m udaka-pūrvveṇa</w:t>
      </w:r>
      <w:r>
        <w:t xml:space="preserve">; </w:t>
      </w:r>
      <w:r>
        <w:rPr>
          <w:rStyle w:val="Foreign"/>
        </w:rPr>
        <w:t>paṁca-s-triṁśottaratame</w:t>
      </w:r>
      <w:r>
        <w:t>)</w:t>
      </w:r>
    </w:p>
    <w:p w14:paraId="7BE6B444" w14:textId="77777777">
      <w:pPr>
        <w:pStyle w:val="Lista2"/>
      </w:pPr>
      <w:r>
        <w:t xml:space="preserve">hyper-Sanskritisation </w:t>
      </w:r>
      <w:r>
        <w:rPr>
          <w:noProof/>
        </w:rPr>
        <w:t>(</w:t>
      </w:r>
      <w:r>
        <w:t xml:space="preserve">e.g. </w:t>
      </w:r>
      <w:r>
        <w:rPr>
          <w:rStyle w:val="Foreign"/>
        </w:rPr>
        <w:t>prārk</w:t>
      </w:r>
      <w:r>
        <w:t xml:space="preserve"> instead of </w:t>
      </w:r>
      <w:r>
        <w:rPr>
          <w:rStyle w:val="Foreign"/>
        </w:rPr>
        <w:t>prāk</w:t>
      </w:r>
      <w:r>
        <w:t xml:space="preserve">, </w:t>
      </w:r>
      <w:r>
        <w:rPr>
          <w:rStyle w:val="Foreign"/>
        </w:rPr>
        <w:t>śrāpa</w:t>
      </w:r>
      <w:r>
        <w:t xml:space="preserve"> instead of </w:t>
      </w:r>
      <w:r>
        <w:rPr>
          <w:rStyle w:val="Foreign"/>
        </w:rPr>
        <w:t>śāpa</w:t>
      </w:r>
      <w:r>
        <w:t>)</w:t>
      </w:r>
    </w:p>
    <w:p w14:paraId="5C9E8A1D" w14:textId="77777777">
      <w:pPr>
        <w:pStyle w:val="Cmsor3"/>
      </w:pPr>
      <w:bookmarkStart w:id="630" w:name="_Toc243900337"/>
      <w:r>
        <w:t xml:space="preserve">Flagging erroneous and uninterpretable </w:t>
      </w:r>
      <w:bookmarkEnd w:id="624"/>
      <w:r>
        <w:t>readings</w:t>
      </w:r>
      <w:bookmarkEnd w:id="630"/>
    </w:p>
    <w:p w14:paraId="49256CA7" w14:textId="77777777">
      <w:pPr>
        <w:pStyle w:val="Lista"/>
      </w:pPr>
      <w:r>
        <w:t xml:space="preserve">to flag a reading deemed erroneous or unintelligible, wrap it in the element </w:t>
      </w:r>
      <w:r>
        <w:rPr>
          <w:rStyle w:val="Code"/>
        </w:rPr>
        <w:t>&lt;sic&gt;</w:t>
      </w:r>
    </w:p>
    <w:p w14:paraId="3BC60EA5" w14:textId="77777777">
      <w:pPr>
        <w:pStyle w:val="Lista2"/>
      </w:pPr>
      <w:r>
        <w:t>this markup on its own is primarily for use on text that is legible but does not seem intelligible (i.e. for which no straightforward correction can be offered)</w:t>
      </w:r>
    </w:p>
    <w:p w14:paraId="382CB0D3" w14:textId="77777777">
      <w:pPr>
        <w:pStyle w:val="Lista3"/>
      </w:pPr>
      <w:r>
        <w:t xml:space="preserve">stretches of text which are uninterpretable on account of poor legibility do not require </w:t>
      </w:r>
      <w:r>
        <w:rPr>
          <w:rStyle w:val="Code"/>
        </w:rPr>
        <w:t>&lt;sic&gt;</w:t>
      </w:r>
      <w:r>
        <w:t xml:space="preserve">, but </w:t>
      </w:r>
      <w:r>
        <w:rPr>
          <w:rStyle w:val="Code"/>
        </w:rPr>
        <w:t>&lt;sic&gt;</w:t>
      </w:r>
      <w:r>
        <w:t xml:space="preserve"> may of course include markup for unclear readings and lacunae</w:t>
      </w:r>
    </w:p>
    <w:p w14:paraId="2588632C" w14:textId="77777777">
      <w:pPr>
        <w:pStyle w:val="Lista"/>
      </w:pPr>
      <w:r>
        <w:t>for example,</w:t>
      </w:r>
    </w:p>
    <w:p w14:paraId="7C5164A0" w14:textId="77777777">
      <w:pPr>
        <w:pStyle w:val="Lista2"/>
      </w:pPr>
      <w:r>
        <w:t xml:space="preserve">a trivial scribal error flagged as such: </w:t>
      </w:r>
      <w:r>
        <w:rPr>
          <w:rStyle w:val="Codetext"/>
        </w:rPr>
        <w:t>mahār</w:t>
      </w:r>
      <w:r>
        <w:rPr>
          <w:rStyle w:val="Code"/>
        </w:rPr>
        <w:t>&lt;sic&gt;</w:t>
      </w:r>
      <w:r>
        <w:rPr>
          <w:rStyle w:val="Codetext"/>
        </w:rPr>
        <w:t>a</w:t>
      </w:r>
      <w:r>
        <w:rPr>
          <w:rStyle w:val="Code"/>
        </w:rPr>
        <w:t>&lt;/sic&gt;</w:t>
      </w:r>
      <w:r>
        <w:rPr>
          <w:rStyle w:val="Codetext"/>
        </w:rPr>
        <w:t>ja</w:t>
      </w:r>
      <w:r>
        <w:t xml:space="preserve"> </w:t>
      </w:r>
      <w:r>
        <w:rPr>
          <w:noProof/>
        </w:rPr>
        <w:t>(</w:t>
      </w:r>
      <w:r>
        <w:rPr>
          <w:rStyle w:val="Foreign"/>
        </w:rPr>
        <w:t>ā</w:t>
      </w:r>
      <w:r>
        <w:t xml:space="preserve"> would be correct)</w:t>
      </w:r>
    </w:p>
    <w:p w14:paraId="598E3F91" w14:textId="77777777">
      <w:pPr>
        <w:pStyle w:val="Lista2"/>
      </w:pPr>
      <w:r>
        <w:t xml:space="preserve">an unintelligible phrase flagged as such: </w:t>
      </w:r>
      <w:r>
        <w:rPr>
          <w:rStyle w:val="Code"/>
        </w:rPr>
        <w:t>&lt;sic&gt;</w:t>
      </w:r>
      <w:r>
        <w:rPr>
          <w:rStyle w:val="Codetext"/>
        </w:rPr>
        <w:t>marnta kali-kulanām</w:t>
      </w:r>
      <w:r>
        <w:rPr>
          <w:rStyle w:val="Code"/>
        </w:rPr>
        <w:t>&lt;/sic&gt;</w:t>
      </w:r>
      <w:r>
        <w:t xml:space="preserve"> </w:t>
      </w:r>
    </w:p>
    <w:p w14:paraId="412977D1" w14:textId="77777777">
      <w:pPr>
        <w:pStyle w:val="Cmsor3"/>
      </w:pPr>
      <w:bookmarkStart w:id="631" w:name="_wc8w2ovzvy8k" w:colFirst="0" w:colLast="0"/>
      <w:bookmarkStart w:id="632" w:name="_Ref43981422"/>
      <w:bookmarkStart w:id="633" w:name="_Ref228886903"/>
      <w:bookmarkStart w:id="634" w:name="_Toc243900338"/>
      <w:bookmarkStart w:id="635" w:name="_Ref43988258"/>
      <w:bookmarkEnd w:id="631"/>
      <w:r>
        <w:t xml:space="preserve">Flagging non-standard </w:t>
      </w:r>
      <w:bookmarkEnd w:id="632"/>
      <w:r>
        <w:t>readings</w:t>
      </w:r>
      <w:bookmarkEnd w:id="633"/>
      <w:bookmarkEnd w:id="634"/>
    </w:p>
    <w:p w14:paraId="6EE6541B" w14:textId="77777777">
      <w:pPr>
        <w:pStyle w:val="Lista"/>
      </w:pPr>
      <w:r>
        <w:t xml:space="preserve">to flag a reading deemed non-standard but intelligible, wrap it in the element </w:t>
      </w:r>
      <w:r>
        <w:rPr>
          <w:rStyle w:val="Code"/>
        </w:rPr>
        <w:t>&lt;orig&gt;</w:t>
      </w:r>
    </w:p>
    <w:p w14:paraId="15357F14" w14:textId="77777777">
      <w:pPr>
        <w:pStyle w:val="Lista"/>
      </w:pPr>
      <w:r>
        <w:t>for example,</w:t>
      </w:r>
    </w:p>
    <w:p w14:paraId="4058F211" w14:textId="77777777">
      <w:pPr>
        <w:pStyle w:val="Lista2"/>
      </w:pPr>
      <w:r>
        <w:t>a non-standard (</w:t>
      </w:r>
      <w:proofErr w:type="spellStart"/>
      <w:r>
        <w:rPr>
          <w:rStyle w:val="Foreign"/>
        </w:rPr>
        <w:t>tadbhava</w:t>
      </w:r>
      <w:proofErr w:type="spellEnd"/>
      <w:r>
        <w:t xml:space="preserve">) word form in Sanskrit text: </w:t>
      </w:r>
      <w:r>
        <w:rPr>
          <w:rStyle w:val="Codetext"/>
        </w:rPr>
        <w:t xml:space="preserve">dine </w:t>
      </w:r>
      <w:r>
        <w:rPr>
          <w:rStyle w:val="Code"/>
        </w:rPr>
        <w:t>&lt;orig&gt;</w:t>
      </w:r>
      <w:r>
        <w:rPr>
          <w:rStyle w:val="Codetext"/>
        </w:rPr>
        <w:t>Āśvoja</w:t>
      </w:r>
      <w:r>
        <w:rPr>
          <w:rStyle w:val="Code"/>
        </w:rPr>
        <w:t>&lt;/orig&gt;</w:t>
      </w:r>
      <w:r>
        <w:rPr>
          <w:rStyle w:val="Codetext"/>
        </w:rPr>
        <w:t>-śuklasya</w:t>
      </w:r>
      <w:r>
        <w:t xml:space="preserve"> </w:t>
      </w:r>
      <w:r>
        <w:rPr>
          <w:noProof/>
        </w:rPr>
        <w:t>(</w:t>
      </w:r>
      <w:r>
        <w:rPr>
          <w:rStyle w:val="Foreign"/>
        </w:rPr>
        <w:t>Āśvayuja</w:t>
      </w:r>
      <w:r>
        <w:t xml:space="preserve"> or </w:t>
      </w:r>
      <w:r>
        <w:rPr>
          <w:rStyle w:val="Foreign"/>
        </w:rPr>
        <w:t>’śvayuja</w:t>
      </w:r>
      <w:r>
        <w:t xml:space="preserve"> is expected)</w:t>
      </w:r>
    </w:p>
    <w:p w14:paraId="2F4B3AD0" w14:textId="77777777">
      <w:pPr>
        <w:pStyle w:val="Lista2"/>
      </w:pPr>
      <w:r>
        <w:t xml:space="preserve">a non-standard or substandard spelling: </w:t>
      </w:r>
      <w:r>
        <w:rPr>
          <w:rStyle w:val="Codetext"/>
        </w:rPr>
        <w:t>sahasrā</w:t>
      </w:r>
      <w:r>
        <w:rPr>
          <w:rStyle w:val="Code"/>
        </w:rPr>
        <w:t>&lt;orig&gt;</w:t>
      </w:r>
      <w:r>
        <w:rPr>
          <w:rStyle w:val="Codetext"/>
        </w:rPr>
        <w:t>n</w:t>
      </w:r>
      <w:r>
        <w:rPr>
          <w:rStyle w:val="Code"/>
        </w:rPr>
        <w:t>&lt;/orig&gt;</w:t>
      </w:r>
      <w:r>
        <w:rPr>
          <w:rStyle w:val="Codetext"/>
        </w:rPr>
        <w:t>i</w:t>
      </w:r>
      <w:r>
        <w:t xml:space="preserve"> </w:t>
      </w:r>
      <w:r>
        <w:rPr>
          <w:noProof/>
        </w:rPr>
        <w:t>(</w:t>
      </w:r>
      <w:r>
        <w:rPr>
          <w:rStyle w:val="Foreign"/>
        </w:rPr>
        <w:t>sahasrāṇi</w:t>
      </w:r>
      <w:r>
        <w:t xml:space="preserve"> is expected)</w:t>
      </w:r>
    </w:p>
    <w:p w14:paraId="741BFFB9" w14:textId="77777777">
      <w:pPr>
        <w:pStyle w:val="Cmsor2"/>
      </w:pPr>
      <w:bookmarkStart w:id="636" w:name="_Ref228872858"/>
      <w:bookmarkStart w:id="637" w:name="_Toc243900339"/>
      <w:bookmarkEnd w:id="635"/>
      <w:r>
        <w:lastRenderedPageBreak/>
        <w:t>Rectifying anomalous readings</w:t>
      </w:r>
      <w:bookmarkEnd w:id="636"/>
      <w:bookmarkEnd w:id="637"/>
    </w:p>
    <w:p w14:paraId="712E44F4" w14:textId="77777777">
      <w:r>
        <w:rPr>
          <w:lang w:eastAsia="en-US" w:bidi="ar-SA"/>
        </w:rPr>
        <w:t>Rectifying a linguistically anomalous reading means providing an editorial alternative for the anomalous reading, i.e. correcting or normalising it. Rectifying a reading rather than merely flagging it serves useful purposes. On the one hand, it</w:t>
      </w:r>
      <w:r>
        <w:t xml:space="preserve"> helps readers understand the text and makes your interpretation of it explicit. On the other hand, it facilitates searching texts by ensuring that the expected form is present in the XML file and can thus be returned as a match for queries even if the received text differs from the expected.</w:t>
      </w:r>
    </w:p>
    <w:p w14:paraId="18B9E85B" w14:textId="0B7A3FE1">
      <w:pPr>
        <w:pStyle w:val="Normlbehzs"/>
      </w:pPr>
      <w:r>
        <w:t xml:space="preserve">Anomalous language can be restituted by any combination of three actions, as illustrated in </w:t>
      </w:r>
      <w:r>
        <w:fldChar w:fldCharType="begin"/>
      </w:r>
      <w:r>
        <w:instrText xml:space="preserve"> REF _Ref229056027 \h </w:instrText>
      </w:r>
      <w:r>
        <w:fldChar w:fldCharType="separate"/>
      </w:r>
      <w:r>
        <w:t xml:space="preserve">Exhibit </w:t>
      </w:r>
      <w:r>
        <w:rPr>
          <w:noProof/>
        </w:rPr>
        <w:t>7.5</w:t>
      </w:r>
      <w:r>
        <w:t>.</w:t>
      </w:r>
      <w:r>
        <w:rPr>
          <w:noProof/>
        </w:rPr>
        <w:t>A</w:t>
      </w:r>
      <w:r>
        <w:fldChar w:fldCharType="end"/>
      </w:r>
      <w:r>
        <w:t xml:space="preserve"> — where the received reading </w:t>
      </w:r>
      <w:r>
        <w:rPr>
          <w:rStyle w:val="Foreign"/>
        </w:rPr>
        <w:t>surddha</w:t>
      </w:r>
      <w:r>
        <w:t xml:space="preserve"> is rectified into </w:t>
      </w:r>
      <w:r>
        <w:rPr>
          <w:rStyle w:val="Foreign"/>
        </w:rPr>
        <w:t>śuddhaḥ</w:t>
      </w:r>
      <w:r>
        <w:t xml:space="preserve"> — and detailed in the following subsections. Substitution (§</w:t>
      </w:r>
      <w:r>
        <w:fldChar w:fldCharType="begin"/>
      </w:r>
      <w:r>
        <w:instrText xml:space="preserve"> REF _Ref229057056 \r \h </w:instrText>
      </w:r>
      <w:r>
        <w:fldChar w:fldCharType="separate"/>
      </w:r>
      <w:r>
        <w:t>7.5.1</w:t>
      </w:r>
      <w:r>
        <w:fldChar w:fldCharType="end"/>
      </w:r>
      <w:r>
        <w:t>) is when the received reading is replaced by the editor with a rectified reading. Suppression (§</w:t>
      </w:r>
      <w:r>
        <w:fldChar w:fldCharType="begin"/>
      </w:r>
      <w:r>
        <w:instrText xml:space="preserve"> REF _Ref229056282 \r \h </w:instrText>
      </w:r>
      <w:r>
        <w:fldChar w:fldCharType="separate"/>
      </w:r>
      <w:r>
        <w:t>7.5.2</w:t>
      </w:r>
      <w:r>
        <w:fldChar w:fldCharType="end"/>
      </w:r>
      <w:r>
        <w:t>) is when part of the received reading is deemed superfluous and deleted by the editor. Restitution (§</w:t>
      </w:r>
      <w:r>
        <w:fldChar w:fldCharType="begin"/>
      </w:r>
      <w:r>
        <w:instrText xml:space="preserve"> REF _Ref229056324 \r \h </w:instrText>
      </w:r>
      <w:r>
        <w:fldChar w:fldCharType="separate"/>
      </w:r>
      <w:r>
        <w:t>7.5.3</w:t>
      </w:r>
      <w:r>
        <w:fldChar w:fldCharType="end"/>
      </w:r>
      <w:r>
        <w:t>), also called suppletion, is when the editor adds something to the received reading.</w:t>
      </w:r>
    </w:p>
    <w:tbl>
      <w:tblPr>
        <w:tblStyle w:val="FigureTable"/>
        <w:tblW w:w="0" w:type="auto"/>
        <w:tblLook w:val="04A0" w:firstRow="1" w:lastRow="0" w:firstColumn="1" w:lastColumn="0" w:noHBand="0" w:noVBand="1"/>
      </w:tblPr>
      <w:tblGrid>
        <w:gridCol w:w="1203"/>
        <w:gridCol w:w="1203"/>
        <w:gridCol w:w="1203"/>
        <w:gridCol w:w="1203"/>
        <w:gridCol w:w="1204"/>
        <w:gridCol w:w="1204"/>
        <w:gridCol w:w="1204"/>
        <w:gridCol w:w="1204"/>
      </w:tblGrid>
      <w:tr w14:paraId="2233B739" w14:textId="77777777">
        <w:trPr>
          <w:cnfStyle w:val="100000000000" w:firstRow="1" w:lastRow="0" w:firstColumn="0" w:lastColumn="0" w:oddVBand="0" w:evenVBand="0" w:oddHBand="0" w:evenHBand="0" w:firstRowFirstColumn="0" w:firstRowLastColumn="0" w:lastRowFirstColumn="0" w:lastRowLastColumn="0"/>
        </w:trPr>
        <w:tc>
          <w:tcPr>
            <w:tcW w:w="9628" w:type="dxa"/>
            <w:gridSpan w:val="8"/>
            <w:tcBorders>
              <w:bottom w:val="single" w:sz="4" w:space="0" w:color="auto"/>
            </w:tcBorders>
          </w:tcPr>
          <w:p w14:paraId="2F13B5D7" w14:textId="77777777">
            <w:pPr>
              <w:pStyle w:val="Kpalrs"/>
            </w:pPr>
            <w:bookmarkStart w:id="638" w:name="_Ref229056027"/>
            <w:r>
              <w:t xml:space="preserve">Exhibit </w:t>
            </w:r>
            <w:fldSimple w:instr=" STYLEREF 2 \s ">
              <w:r>
                <w:rPr>
                  <w:noProof/>
                </w:rPr>
                <w:t>7.5</w:t>
              </w:r>
            </w:fldSimple>
            <w:r>
              <w:t>.</w:t>
            </w:r>
            <w:fldSimple w:instr=" SEQ Exhibit \* ALPHABETIC \s 2 ">
              <w:r>
                <w:rPr>
                  <w:noProof/>
                </w:rPr>
                <w:t>A</w:t>
              </w:r>
            </w:fldSimple>
            <w:bookmarkEnd w:id="638"/>
            <w:r>
              <w:t>: editorial rectification of anomalous language</w:t>
            </w:r>
          </w:p>
        </w:tc>
      </w:tr>
      <w:tr w14:paraId="01855450" w14:textId="77777777">
        <w:tc>
          <w:tcPr>
            <w:tcW w:w="1203" w:type="dxa"/>
            <w:tcBorders>
              <w:bottom w:val="nil"/>
              <w:right w:val="single" w:sz="4" w:space="0" w:color="auto"/>
            </w:tcBorders>
            <w:shd w:val="clear" w:color="auto" w:fill="F0F7D7"/>
          </w:tcPr>
          <w:p w14:paraId="3508CF70" w14:textId="77777777">
            <w:pPr>
              <w:keepNext/>
              <w:keepLines/>
              <w:jc w:val="right"/>
              <w:rPr>
                <w:sz w:val="18"/>
                <w:szCs w:val="18"/>
              </w:rPr>
            </w:pPr>
            <w:r>
              <w:rPr>
                <w:sz w:val="18"/>
                <w:szCs w:val="18"/>
              </w:rPr>
              <w:t>received text:</w:t>
            </w:r>
          </w:p>
        </w:tc>
        <w:tc>
          <w:tcPr>
            <w:tcW w:w="1203" w:type="dxa"/>
            <w:tcBorders>
              <w:left w:val="single" w:sz="4" w:space="0" w:color="auto"/>
              <w:bottom w:val="nil"/>
              <w:right w:val="single" w:sz="4" w:space="0" w:color="auto"/>
            </w:tcBorders>
          </w:tcPr>
          <w:p w14:paraId="2E0ACB56" w14:textId="77777777">
            <w:pPr>
              <w:keepNext/>
              <w:keepLines/>
              <w:jc w:val="center"/>
              <w:rPr>
                <w:sz w:val="28"/>
                <w:szCs w:val="28"/>
              </w:rPr>
            </w:pPr>
            <w:r>
              <w:rPr>
                <w:sz w:val="28"/>
                <w:szCs w:val="28"/>
              </w:rPr>
              <w:t>s</w:t>
            </w:r>
          </w:p>
        </w:tc>
        <w:tc>
          <w:tcPr>
            <w:tcW w:w="1203" w:type="dxa"/>
            <w:tcBorders>
              <w:left w:val="single" w:sz="4" w:space="0" w:color="auto"/>
              <w:bottom w:val="nil"/>
              <w:right w:val="single" w:sz="4" w:space="0" w:color="auto"/>
            </w:tcBorders>
          </w:tcPr>
          <w:p w14:paraId="6F277F4D" w14:textId="77777777">
            <w:pPr>
              <w:keepNext/>
              <w:keepLines/>
              <w:jc w:val="center"/>
              <w:rPr>
                <w:sz w:val="28"/>
                <w:szCs w:val="28"/>
              </w:rPr>
            </w:pPr>
            <w:r>
              <w:rPr>
                <w:sz w:val="28"/>
                <w:szCs w:val="28"/>
              </w:rPr>
              <w:t>u</w:t>
            </w:r>
          </w:p>
        </w:tc>
        <w:tc>
          <w:tcPr>
            <w:tcW w:w="1203" w:type="dxa"/>
            <w:tcBorders>
              <w:left w:val="single" w:sz="4" w:space="0" w:color="auto"/>
              <w:bottom w:val="nil"/>
              <w:right w:val="single" w:sz="4" w:space="0" w:color="auto"/>
            </w:tcBorders>
          </w:tcPr>
          <w:p w14:paraId="594B9DBD" w14:textId="77777777">
            <w:pPr>
              <w:keepNext/>
              <w:keepLines/>
              <w:jc w:val="center"/>
              <w:rPr>
                <w:sz w:val="28"/>
                <w:szCs w:val="28"/>
              </w:rPr>
            </w:pPr>
            <w:r>
              <w:rPr>
                <w:sz w:val="28"/>
                <w:szCs w:val="28"/>
              </w:rPr>
              <w:t>r</w:t>
            </w:r>
          </w:p>
        </w:tc>
        <w:tc>
          <w:tcPr>
            <w:tcW w:w="1204" w:type="dxa"/>
            <w:tcBorders>
              <w:left w:val="single" w:sz="4" w:space="0" w:color="auto"/>
              <w:bottom w:val="nil"/>
              <w:right w:val="single" w:sz="4" w:space="0" w:color="auto"/>
            </w:tcBorders>
          </w:tcPr>
          <w:p w14:paraId="44EF43BC" w14:textId="77777777">
            <w:pPr>
              <w:keepNext/>
              <w:keepLines/>
              <w:jc w:val="center"/>
              <w:rPr>
                <w:sz w:val="28"/>
                <w:szCs w:val="28"/>
              </w:rPr>
            </w:pPr>
            <w:r>
              <w:rPr>
                <w:sz w:val="28"/>
                <w:szCs w:val="28"/>
              </w:rPr>
              <w:t>d</w:t>
            </w:r>
          </w:p>
        </w:tc>
        <w:tc>
          <w:tcPr>
            <w:tcW w:w="1204" w:type="dxa"/>
            <w:tcBorders>
              <w:left w:val="single" w:sz="4" w:space="0" w:color="auto"/>
              <w:bottom w:val="nil"/>
              <w:right w:val="single" w:sz="4" w:space="0" w:color="auto"/>
            </w:tcBorders>
          </w:tcPr>
          <w:p w14:paraId="2A06689A" w14:textId="77777777">
            <w:pPr>
              <w:keepNext/>
              <w:keepLines/>
              <w:jc w:val="center"/>
              <w:rPr>
                <w:sz w:val="28"/>
                <w:szCs w:val="28"/>
              </w:rPr>
            </w:pPr>
            <w:r>
              <w:rPr>
                <w:sz w:val="28"/>
                <w:szCs w:val="28"/>
              </w:rPr>
              <w:t>dh</w:t>
            </w:r>
          </w:p>
        </w:tc>
        <w:tc>
          <w:tcPr>
            <w:tcW w:w="1204" w:type="dxa"/>
            <w:tcBorders>
              <w:left w:val="single" w:sz="4" w:space="0" w:color="auto"/>
              <w:bottom w:val="nil"/>
              <w:right w:val="single" w:sz="4" w:space="0" w:color="auto"/>
            </w:tcBorders>
          </w:tcPr>
          <w:p w14:paraId="52E7A599" w14:textId="77777777">
            <w:pPr>
              <w:keepNext/>
              <w:keepLines/>
              <w:jc w:val="center"/>
              <w:rPr>
                <w:sz w:val="28"/>
                <w:szCs w:val="28"/>
              </w:rPr>
            </w:pPr>
            <w:r>
              <w:rPr>
                <w:sz w:val="28"/>
                <w:szCs w:val="28"/>
              </w:rPr>
              <w:t>a</w:t>
            </w:r>
          </w:p>
        </w:tc>
        <w:tc>
          <w:tcPr>
            <w:tcW w:w="1204" w:type="dxa"/>
            <w:tcBorders>
              <w:left w:val="single" w:sz="4" w:space="0" w:color="auto"/>
              <w:bottom w:val="nil"/>
            </w:tcBorders>
          </w:tcPr>
          <w:p w14:paraId="1BC8CDA1" w14:textId="77777777">
            <w:pPr>
              <w:keepNext/>
              <w:keepLines/>
              <w:jc w:val="center"/>
              <w:rPr>
                <w:sz w:val="28"/>
                <w:szCs w:val="28"/>
              </w:rPr>
            </w:pPr>
          </w:p>
        </w:tc>
      </w:tr>
      <w:tr w14:paraId="58792FD0" w14:textId="77777777">
        <w:tc>
          <w:tcPr>
            <w:tcW w:w="1203" w:type="dxa"/>
            <w:tcBorders>
              <w:top w:val="nil"/>
              <w:bottom w:val="nil"/>
              <w:right w:val="single" w:sz="4" w:space="0" w:color="auto"/>
            </w:tcBorders>
            <w:shd w:val="clear" w:color="auto" w:fill="F0F7D7"/>
          </w:tcPr>
          <w:p w14:paraId="730024BA" w14:textId="77777777">
            <w:pPr>
              <w:keepNext/>
              <w:keepLines/>
              <w:jc w:val="right"/>
              <w:rPr>
                <w:color w:val="FF0000"/>
                <w:sz w:val="18"/>
                <w:szCs w:val="18"/>
              </w:rPr>
            </w:pPr>
            <w:r>
              <w:rPr>
                <w:color w:val="FF0000"/>
                <w:sz w:val="18"/>
                <w:szCs w:val="18"/>
              </w:rPr>
              <w:t>intervention:</w:t>
            </w:r>
          </w:p>
        </w:tc>
        <w:tc>
          <w:tcPr>
            <w:tcW w:w="1203" w:type="dxa"/>
            <w:tcBorders>
              <w:top w:val="nil"/>
              <w:left w:val="single" w:sz="4" w:space="0" w:color="auto"/>
              <w:bottom w:val="nil"/>
              <w:right w:val="single" w:sz="4" w:space="0" w:color="auto"/>
            </w:tcBorders>
          </w:tcPr>
          <w:p w14:paraId="678DDF17" w14:textId="77777777">
            <w:pPr>
              <w:keepNext/>
              <w:keepLines/>
              <w:jc w:val="center"/>
              <w:rPr>
                <w:color w:val="FF0000"/>
                <w:sz w:val="18"/>
                <w:szCs w:val="18"/>
              </w:rPr>
            </w:pPr>
            <w:r>
              <w:rPr>
                <w:color w:val="FF0000"/>
                <w:sz w:val="18"/>
                <w:szCs w:val="18"/>
              </w:rPr>
              <w:t>substitution</w:t>
            </w:r>
          </w:p>
        </w:tc>
        <w:tc>
          <w:tcPr>
            <w:tcW w:w="1203" w:type="dxa"/>
            <w:tcBorders>
              <w:top w:val="nil"/>
              <w:left w:val="single" w:sz="4" w:space="0" w:color="auto"/>
              <w:bottom w:val="nil"/>
              <w:right w:val="single" w:sz="4" w:space="0" w:color="auto"/>
            </w:tcBorders>
          </w:tcPr>
          <w:p w14:paraId="48B473E9" w14:textId="77777777">
            <w:pPr>
              <w:keepNext/>
              <w:keepLines/>
              <w:jc w:val="center"/>
              <w:rPr>
                <w:color w:val="FF0000"/>
                <w:sz w:val="18"/>
                <w:szCs w:val="18"/>
              </w:rPr>
            </w:pPr>
          </w:p>
        </w:tc>
        <w:tc>
          <w:tcPr>
            <w:tcW w:w="1203" w:type="dxa"/>
            <w:tcBorders>
              <w:top w:val="nil"/>
              <w:left w:val="single" w:sz="4" w:space="0" w:color="auto"/>
              <w:bottom w:val="nil"/>
              <w:right w:val="single" w:sz="4" w:space="0" w:color="auto"/>
            </w:tcBorders>
          </w:tcPr>
          <w:p w14:paraId="4DCF8377" w14:textId="77777777">
            <w:pPr>
              <w:keepNext/>
              <w:keepLines/>
              <w:jc w:val="center"/>
              <w:rPr>
                <w:color w:val="FF0000"/>
                <w:sz w:val="18"/>
                <w:szCs w:val="18"/>
              </w:rPr>
            </w:pPr>
            <w:r>
              <w:rPr>
                <w:color w:val="FF0000"/>
                <w:sz w:val="18"/>
                <w:szCs w:val="18"/>
              </w:rPr>
              <w:t>suppression</w:t>
            </w:r>
          </w:p>
        </w:tc>
        <w:tc>
          <w:tcPr>
            <w:tcW w:w="1204" w:type="dxa"/>
            <w:tcBorders>
              <w:top w:val="nil"/>
              <w:left w:val="single" w:sz="4" w:space="0" w:color="auto"/>
              <w:bottom w:val="nil"/>
              <w:right w:val="single" w:sz="4" w:space="0" w:color="auto"/>
            </w:tcBorders>
          </w:tcPr>
          <w:p w14:paraId="2CF3538F" w14:textId="77777777">
            <w:pPr>
              <w:keepNext/>
              <w:keepLines/>
              <w:jc w:val="center"/>
              <w:rPr>
                <w:color w:val="FF0000"/>
                <w:sz w:val="18"/>
                <w:szCs w:val="18"/>
              </w:rPr>
            </w:pPr>
          </w:p>
        </w:tc>
        <w:tc>
          <w:tcPr>
            <w:tcW w:w="1204" w:type="dxa"/>
            <w:tcBorders>
              <w:top w:val="nil"/>
              <w:left w:val="single" w:sz="4" w:space="0" w:color="auto"/>
              <w:bottom w:val="nil"/>
              <w:right w:val="single" w:sz="4" w:space="0" w:color="auto"/>
            </w:tcBorders>
          </w:tcPr>
          <w:p w14:paraId="0DD95AF0" w14:textId="77777777">
            <w:pPr>
              <w:keepNext/>
              <w:keepLines/>
              <w:jc w:val="center"/>
              <w:rPr>
                <w:color w:val="FF0000"/>
                <w:sz w:val="18"/>
                <w:szCs w:val="18"/>
              </w:rPr>
            </w:pPr>
          </w:p>
        </w:tc>
        <w:tc>
          <w:tcPr>
            <w:tcW w:w="1204" w:type="dxa"/>
            <w:tcBorders>
              <w:top w:val="nil"/>
              <w:left w:val="single" w:sz="4" w:space="0" w:color="auto"/>
              <w:bottom w:val="nil"/>
              <w:right w:val="single" w:sz="4" w:space="0" w:color="auto"/>
            </w:tcBorders>
          </w:tcPr>
          <w:p w14:paraId="66824F53" w14:textId="77777777">
            <w:pPr>
              <w:keepNext/>
              <w:keepLines/>
              <w:jc w:val="center"/>
              <w:rPr>
                <w:color w:val="FF0000"/>
                <w:sz w:val="18"/>
                <w:szCs w:val="18"/>
              </w:rPr>
            </w:pPr>
          </w:p>
        </w:tc>
        <w:tc>
          <w:tcPr>
            <w:tcW w:w="1204" w:type="dxa"/>
            <w:tcBorders>
              <w:top w:val="nil"/>
              <w:left w:val="single" w:sz="4" w:space="0" w:color="auto"/>
              <w:bottom w:val="nil"/>
            </w:tcBorders>
          </w:tcPr>
          <w:p w14:paraId="302A0E73" w14:textId="77777777">
            <w:pPr>
              <w:keepNext/>
              <w:keepLines/>
              <w:jc w:val="center"/>
              <w:rPr>
                <w:color w:val="FF0000"/>
                <w:sz w:val="18"/>
                <w:szCs w:val="18"/>
              </w:rPr>
            </w:pPr>
            <w:r>
              <w:rPr>
                <w:color w:val="FF0000"/>
                <w:sz w:val="18"/>
                <w:szCs w:val="18"/>
              </w:rPr>
              <w:t>restitution</w:t>
            </w:r>
          </w:p>
        </w:tc>
      </w:tr>
      <w:tr w14:paraId="626F71BA" w14:textId="77777777">
        <w:tc>
          <w:tcPr>
            <w:tcW w:w="1203" w:type="dxa"/>
            <w:tcBorders>
              <w:top w:val="nil"/>
              <w:right w:val="single" w:sz="4" w:space="0" w:color="auto"/>
            </w:tcBorders>
            <w:shd w:val="clear" w:color="auto" w:fill="F0F7D7"/>
          </w:tcPr>
          <w:p w14:paraId="3C2C16D4" w14:textId="77777777">
            <w:pPr>
              <w:jc w:val="right"/>
              <w:rPr>
                <w:sz w:val="18"/>
                <w:szCs w:val="18"/>
              </w:rPr>
            </w:pPr>
            <w:r>
              <w:rPr>
                <w:sz w:val="18"/>
                <w:szCs w:val="18"/>
              </w:rPr>
              <w:t>rectified text:</w:t>
            </w:r>
          </w:p>
        </w:tc>
        <w:tc>
          <w:tcPr>
            <w:tcW w:w="1203" w:type="dxa"/>
            <w:tcBorders>
              <w:top w:val="nil"/>
              <w:left w:val="single" w:sz="4" w:space="0" w:color="auto"/>
              <w:right w:val="single" w:sz="4" w:space="0" w:color="auto"/>
            </w:tcBorders>
          </w:tcPr>
          <w:p w14:paraId="02749BCF" w14:textId="77777777">
            <w:pPr>
              <w:jc w:val="center"/>
              <w:rPr>
                <w:sz w:val="28"/>
                <w:szCs w:val="28"/>
              </w:rPr>
            </w:pPr>
            <w:r>
              <w:rPr>
                <w:sz w:val="28"/>
                <w:szCs w:val="28"/>
              </w:rPr>
              <w:t>ś</w:t>
            </w:r>
          </w:p>
        </w:tc>
        <w:tc>
          <w:tcPr>
            <w:tcW w:w="1203" w:type="dxa"/>
            <w:tcBorders>
              <w:top w:val="nil"/>
              <w:left w:val="single" w:sz="4" w:space="0" w:color="auto"/>
              <w:right w:val="single" w:sz="4" w:space="0" w:color="auto"/>
            </w:tcBorders>
          </w:tcPr>
          <w:p w14:paraId="4E8A110A" w14:textId="77777777">
            <w:pPr>
              <w:jc w:val="center"/>
              <w:rPr>
                <w:sz w:val="28"/>
                <w:szCs w:val="28"/>
              </w:rPr>
            </w:pPr>
            <w:r>
              <w:rPr>
                <w:sz w:val="28"/>
                <w:szCs w:val="28"/>
              </w:rPr>
              <w:t>u</w:t>
            </w:r>
          </w:p>
        </w:tc>
        <w:tc>
          <w:tcPr>
            <w:tcW w:w="1203" w:type="dxa"/>
            <w:tcBorders>
              <w:top w:val="nil"/>
              <w:left w:val="single" w:sz="4" w:space="0" w:color="auto"/>
              <w:right w:val="single" w:sz="4" w:space="0" w:color="auto"/>
            </w:tcBorders>
          </w:tcPr>
          <w:p w14:paraId="21BC995C" w14:textId="77777777">
            <w:pPr>
              <w:jc w:val="center"/>
              <w:rPr>
                <w:sz w:val="28"/>
                <w:szCs w:val="28"/>
              </w:rPr>
            </w:pPr>
          </w:p>
        </w:tc>
        <w:tc>
          <w:tcPr>
            <w:tcW w:w="1204" w:type="dxa"/>
            <w:tcBorders>
              <w:top w:val="nil"/>
              <w:left w:val="single" w:sz="4" w:space="0" w:color="auto"/>
              <w:right w:val="single" w:sz="4" w:space="0" w:color="auto"/>
            </w:tcBorders>
          </w:tcPr>
          <w:p w14:paraId="5B54180A" w14:textId="77777777">
            <w:pPr>
              <w:jc w:val="center"/>
              <w:rPr>
                <w:sz w:val="28"/>
                <w:szCs w:val="28"/>
              </w:rPr>
            </w:pPr>
            <w:r>
              <w:rPr>
                <w:sz w:val="28"/>
                <w:szCs w:val="28"/>
              </w:rPr>
              <w:t>d</w:t>
            </w:r>
          </w:p>
        </w:tc>
        <w:tc>
          <w:tcPr>
            <w:tcW w:w="1204" w:type="dxa"/>
            <w:tcBorders>
              <w:top w:val="nil"/>
              <w:left w:val="single" w:sz="4" w:space="0" w:color="auto"/>
              <w:right w:val="single" w:sz="4" w:space="0" w:color="auto"/>
            </w:tcBorders>
          </w:tcPr>
          <w:p w14:paraId="442B2B9F" w14:textId="77777777">
            <w:pPr>
              <w:jc w:val="center"/>
              <w:rPr>
                <w:sz w:val="28"/>
                <w:szCs w:val="28"/>
              </w:rPr>
            </w:pPr>
            <w:r>
              <w:rPr>
                <w:sz w:val="28"/>
                <w:szCs w:val="28"/>
              </w:rPr>
              <w:t>dh</w:t>
            </w:r>
          </w:p>
        </w:tc>
        <w:tc>
          <w:tcPr>
            <w:tcW w:w="1204" w:type="dxa"/>
            <w:tcBorders>
              <w:top w:val="nil"/>
              <w:left w:val="single" w:sz="4" w:space="0" w:color="auto"/>
              <w:right w:val="single" w:sz="4" w:space="0" w:color="auto"/>
            </w:tcBorders>
          </w:tcPr>
          <w:p w14:paraId="4735537E" w14:textId="77777777">
            <w:pPr>
              <w:jc w:val="center"/>
              <w:rPr>
                <w:sz w:val="28"/>
                <w:szCs w:val="28"/>
              </w:rPr>
            </w:pPr>
            <w:r>
              <w:rPr>
                <w:sz w:val="28"/>
                <w:szCs w:val="28"/>
              </w:rPr>
              <w:t>a</w:t>
            </w:r>
          </w:p>
        </w:tc>
        <w:tc>
          <w:tcPr>
            <w:tcW w:w="1204" w:type="dxa"/>
            <w:tcBorders>
              <w:top w:val="nil"/>
              <w:left w:val="single" w:sz="4" w:space="0" w:color="auto"/>
            </w:tcBorders>
          </w:tcPr>
          <w:p w14:paraId="63D0F5B8" w14:textId="77777777">
            <w:pPr>
              <w:jc w:val="center"/>
              <w:rPr>
                <w:sz w:val="28"/>
                <w:szCs w:val="28"/>
              </w:rPr>
            </w:pPr>
            <w:r>
              <w:rPr>
                <w:sz w:val="28"/>
                <w:szCs w:val="28"/>
              </w:rPr>
              <w:t>ḥ</w:t>
            </w:r>
          </w:p>
        </w:tc>
      </w:tr>
    </w:tbl>
    <w:p w14:paraId="66B7345F" w14:textId="77777777">
      <w:pPr>
        <w:pStyle w:val="Lista"/>
      </w:pPr>
      <w:r>
        <w:t>rectification is strongly recommended for all erroneous readings unless</w:t>
      </w:r>
    </w:p>
    <w:p w14:paraId="1D6102F8" w14:textId="77777777">
      <w:pPr>
        <w:pStyle w:val="Lista2"/>
      </w:pPr>
      <w:r>
        <w:t>they are absolutely trivial (in which case they may be ignored or flagged)</w:t>
      </w:r>
    </w:p>
    <w:p w14:paraId="2DBBB17F" w14:textId="77777777">
      <w:pPr>
        <w:pStyle w:val="Lista2"/>
      </w:pPr>
      <w:r>
        <w:t>you are unable to propose a confident correction (in which case they should be flagged)</w:t>
      </w:r>
    </w:p>
    <w:p w14:paraId="149520F8" w14:textId="77777777">
      <w:pPr>
        <w:pStyle w:val="Lista"/>
      </w:pPr>
      <w:r>
        <w:t>non-standard orthography and language use (such as the phenomena listed in §</w:t>
      </w:r>
      <w:r>
        <w:fldChar w:fldCharType="begin"/>
      </w:r>
      <w:r>
        <w:instrText xml:space="preserve"> REF _Ref242868067 \r \h </w:instrText>
      </w:r>
      <w:r>
        <w:fldChar w:fldCharType="separate"/>
      </w:r>
      <w:r>
        <w:t>7.1.2</w:t>
      </w:r>
      <w:r>
        <w:fldChar w:fldCharType="end"/>
      </w:r>
      <w:r>
        <w:t xml:space="preserve"> and §</w:t>
      </w:r>
      <w:r>
        <w:fldChar w:fldCharType="begin"/>
      </w:r>
      <w:r>
        <w:instrText xml:space="preserve"> REF _Ref228868281 \r \h </w:instrText>
      </w:r>
      <w:r>
        <w:fldChar w:fldCharType="separate"/>
      </w:r>
      <w:r>
        <w:t>7.4</w:t>
      </w:r>
      <w:r>
        <w:fldChar w:fldCharType="end"/>
      </w:r>
      <w:r>
        <w:t xml:space="preserve"> above) should be preferably rectified if the phenomenon is rare in a given subcorpus or if it leads to ambiguity or hinders understanding in a given case (e.g. </w:t>
      </w:r>
      <w:r>
        <w:rPr>
          <w:rStyle w:val="Foreign"/>
        </w:rPr>
        <w:t>dattvā</w:t>
      </w:r>
      <w:r>
        <w:t xml:space="preserve"> instead of </w:t>
      </w:r>
      <w:r>
        <w:rPr>
          <w:rStyle w:val="Foreign"/>
        </w:rPr>
        <w:t>dattā</w:t>
      </w:r>
      <w:r>
        <w:t xml:space="preserve">; </w:t>
      </w:r>
      <w:r>
        <w:rPr>
          <w:rStyle w:val="Foreign"/>
        </w:rPr>
        <w:t>rakṣya</w:t>
      </w:r>
      <w:r>
        <w:t xml:space="preserve"> instead of </w:t>
      </w:r>
      <w:r>
        <w:rPr>
          <w:rStyle w:val="Foreign"/>
        </w:rPr>
        <w:t>rakṣa</w:t>
      </w:r>
      <w:r>
        <w:t>)</w:t>
      </w:r>
    </w:p>
    <w:p w14:paraId="381E76AD" w14:textId="77777777">
      <w:pPr>
        <w:pStyle w:val="Lista"/>
      </w:pPr>
      <w:r>
        <w:t>the degree to which you rectify an anomalous reading need not be absolute: the aim is not to copy-edit the source text to some hypothetical standard of language but to render it more comprehensible and indexable with a minimum of invasiveness</w:t>
      </w:r>
    </w:p>
    <w:p w14:paraId="03BBA79D" w14:textId="77777777">
      <w:pPr>
        <w:pStyle w:val="Lista2"/>
      </w:pPr>
      <w:r>
        <w:t>when a document contains trivial linguistic anomalies that you ignore (§</w:t>
      </w:r>
      <w:r>
        <w:fldChar w:fldCharType="begin"/>
      </w:r>
      <w:r>
        <w:instrText xml:space="preserve"> REF _Ref228976848 \r \h </w:instrText>
      </w:r>
      <w:r>
        <w:fldChar w:fldCharType="separate"/>
      </w:r>
      <w:r>
        <w:t>7.3</w:t>
      </w:r>
      <w:r>
        <w:fldChar w:fldCharType="end"/>
      </w:r>
      <w:r>
        <w:t xml:space="preserve">), your rectified readings should preferably also contain similar anomalies where applicable; for example if the document normally doubles nasals after </w:t>
      </w:r>
      <w:r>
        <w:rPr>
          <w:rStyle w:val="Foreign"/>
        </w:rPr>
        <w:t>r</w:t>
      </w:r>
      <w:r>
        <w:t>, then</w:t>
      </w:r>
    </w:p>
    <w:p w14:paraId="5119E091" w14:textId="77777777">
      <w:pPr>
        <w:pStyle w:val="Lista3"/>
      </w:pPr>
      <w:r>
        <w:t xml:space="preserve">correct </w:t>
      </w:r>
      <w:r>
        <w:rPr>
          <w:rStyle w:val="Foreign"/>
        </w:rPr>
        <w:t>karppa</w:t>
      </w:r>
      <w:r>
        <w:t xml:space="preserve"> to </w:t>
      </w:r>
      <w:r>
        <w:rPr>
          <w:rStyle w:val="Foreign"/>
        </w:rPr>
        <w:t>karmma</w:t>
      </w:r>
      <w:r>
        <w:t xml:space="preserve"> </w:t>
      </w:r>
      <w:r>
        <w:rPr>
          <w:noProof/>
        </w:rPr>
        <w:t>(</w:t>
      </w:r>
      <w:r>
        <w:t xml:space="preserve">rather than </w:t>
      </w:r>
      <w:r>
        <w:rPr>
          <w:rStyle w:val="Foreign"/>
        </w:rPr>
        <w:t>karma</w:t>
      </w:r>
      <w:r>
        <w:t xml:space="preserve">) </w:t>
      </w:r>
    </w:p>
    <w:p w14:paraId="68C8ECCC" w14:textId="77777777">
      <w:pPr>
        <w:pStyle w:val="Lista3"/>
      </w:pPr>
      <w:r>
        <w:t xml:space="preserve">normalise </w:t>
      </w:r>
      <w:r>
        <w:rPr>
          <w:rStyle w:val="Foreign"/>
        </w:rPr>
        <w:t>varnna</w:t>
      </w:r>
      <w:r>
        <w:t xml:space="preserve"> to </w:t>
      </w:r>
      <w:r>
        <w:rPr>
          <w:rStyle w:val="Foreign"/>
        </w:rPr>
        <w:t>varṇṇa</w:t>
      </w:r>
      <w:r>
        <w:t xml:space="preserve"> </w:t>
      </w:r>
      <w:r>
        <w:rPr>
          <w:noProof/>
        </w:rPr>
        <w:t>(</w:t>
      </w:r>
      <w:r>
        <w:t xml:space="preserve">rather than </w:t>
      </w:r>
      <w:r>
        <w:rPr>
          <w:rStyle w:val="Foreign"/>
        </w:rPr>
        <w:t>varṇa</w:t>
      </w:r>
      <w:r>
        <w:t>)</w:t>
      </w:r>
    </w:p>
    <w:p w14:paraId="7F312AF1" w14:textId="77777777">
      <w:pPr>
        <w:pStyle w:val="Lista2"/>
      </w:pPr>
      <w:r>
        <w:t xml:space="preserve">if a text consistently uses </w:t>
      </w:r>
      <w:r>
        <w:rPr>
          <w:rStyle w:val="Foreign"/>
        </w:rPr>
        <w:t>upadhmānīya</w:t>
      </w:r>
      <w:r>
        <w:t xml:space="preserve"> or </w:t>
      </w:r>
      <w:r>
        <w:rPr>
          <w:rStyle w:val="Foreign"/>
        </w:rPr>
        <w:t>jihvāmūlīya</w:t>
      </w:r>
      <w:r>
        <w:t xml:space="preserve">, and your correction involves the restitution of an omitted </w:t>
      </w:r>
      <w:r>
        <w:rPr>
          <w:rStyle w:val="Foreign"/>
        </w:rPr>
        <w:t>visarga</w:t>
      </w:r>
      <w:r>
        <w:t xml:space="preserve"> in a phonemic context that would call for one of these forms, then supply </w:t>
      </w:r>
      <w:r>
        <w:rPr>
          <w:rStyle w:val="Foreign"/>
        </w:rPr>
        <w:t>upadhmānīya</w:t>
      </w:r>
      <w:r>
        <w:t xml:space="preserve"> or </w:t>
      </w:r>
      <w:r>
        <w:rPr>
          <w:rStyle w:val="Foreign"/>
        </w:rPr>
        <w:t>jihvāmūlīya</w:t>
      </w:r>
      <w:r>
        <w:t xml:space="preserve"> instead of a regular </w:t>
      </w:r>
      <w:r>
        <w:rPr>
          <w:rStyle w:val="Foreign"/>
        </w:rPr>
        <w:t>visarga</w:t>
      </w:r>
      <w:r>
        <w:t>,</w:t>
      </w:r>
    </w:p>
    <w:p w14:paraId="1C4961C7" w14:textId="77777777">
      <w:pPr>
        <w:pStyle w:val="Lista3"/>
      </w:pPr>
      <w:r>
        <w:t xml:space="preserve">e.g. </w:t>
      </w:r>
      <w:r>
        <w:rPr>
          <w:rStyle w:val="Codetext"/>
        </w:rPr>
        <w:t>sarvva-rājocchettu</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ḫ</w:t>
      </w:r>
      <w:r>
        <w:rPr>
          <w:rStyle w:val="Code"/>
        </w:rPr>
        <w:t>&lt;/supplied&gt;</w:t>
      </w:r>
      <w:r>
        <w:rPr>
          <w:rStyle w:val="Codetext"/>
        </w:rPr>
        <w:t xml:space="preserve"> pr̥thivyām apratirathasya</w:t>
      </w:r>
    </w:p>
    <w:p w14:paraId="4638DD71" w14:textId="77777777">
      <w:pPr>
        <w:pStyle w:val="Lista2"/>
      </w:pPr>
      <w:r>
        <w:t>as far as possible, presuppose a plausible minimum of scribal error, and thus impose a plausible minimum of editorial rectification to obtain reasonably correct text; for example,</w:t>
      </w:r>
    </w:p>
    <w:p w14:paraId="0E942334" w14:textId="77777777">
      <w:pPr>
        <w:pStyle w:val="Lista3"/>
      </w:pPr>
      <w:r>
        <w:t xml:space="preserve">correct </w:t>
      </w:r>
      <w:r>
        <w:rPr>
          <w:rStyle w:val="Foreign"/>
        </w:rPr>
        <w:t>karpa</w:t>
      </w:r>
      <w:r>
        <w:t xml:space="preserve"> to </w:t>
      </w:r>
      <w:r>
        <w:rPr>
          <w:rStyle w:val="Foreign"/>
        </w:rPr>
        <w:t>karma</w:t>
      </w:r>
      <w:r>
        <w:t xml:space="preserve"> </w:t>
      </w:r>
      <w:r>
        <w:rPr>
          <w:noProof/>
        </w:rPr>
        <w:t xml:space="preserve">(even if the </w:t>
      </w:r>
      <w:r>
        <w:rPr>
          <w:rStyle w:val="Foreign"/>
        </w:rPr>
        <w:t>karmma</w:t>
      </w:r>
      <w:r>
        <w:t xml:space="preserve"> would be expected in the document), assuming the simple mistake of inscribing </w:t>
      </w:r>
      <w:r>
        <w:rPr>
          <w:rStyle w:val="Foreign"/>
        </w:rPr>
        <w:t>p</w:t>
      </w:r>
      <w:r>
        <w:t xml:space="preserve"> in place of </w:t>
      </w:r>
      <w:r>
        <w:rPr>
          <w:rStyle w:val="Foreign"/>
        </w:rPr>
        <w:t>m</w:t>
      </w:r>
      <w:r>
        <w:t xml:space="preserve"> rather than the complex mistake of inscribing </w:t>
      </w:r>
      <w:r>
        <w:rPr>
          <w:rStyle w:val="Foreign"/>
        </w:rPr>
        <w:t>p</w:t>
      </w:r>
      <w:r>
        <w:t xml:space="preserve"> for </w:t>
      </w:r>
      <w:r>
        <w:rPr>
          <w:rStyle w:val="Foreign"/>
        </w:rPr>
        <w:t>mm</w:t>
      </w:r>
    </w:p>
    <w:p w14:paraId="64172BA0" w14:textId="77777777">
      <w:pPr>
        <w:pStyle w:val="Lista3"/>
      </w:pPr>
      <w:r>
        <w:t xml:space="preserve">correct </w:t>
      </w:r>
      <w:r>
        <w:rPr>
          <w:rStyle w:val="Foreign"/>
        </w:rPr>
        <w:t>viṅgati</w:t>
      </w:r>
      <w:r>
        <w:t xml:space="preserve"> to </w:t>
      </w:r>
      <w:r>
        <w:rPr>
          <w:rStyle w:val="Foreign"/>
        </w:rPr>
        <w:t>viṅśati</w:t>
      </w:r>
      <w:r>
        <w:t xml:space="preserve"> </w:t>
      </w:r>
      <w:r>
        <w:rPr>
          <w:noProof/>
        </w:rPr>
        <w:t>(</w:t>
      </w:r>
      <w:r>
        <w:t xml:space="preserve">rather than fully standard </w:t>
      </w:r>
      <w:r>
        <w:rPr>
          <w:rStyle w:val="Foreign"/>
        </w:rPr>
        <w:t>viṁśati</w:t>
      </w:r>
      <w:r>
        <w:t xml:space="preserve">), assuming the simple mistake of inscribing </w:t>
      </w:r>
      <w:r>
        <w:rPr>
          <w:rStyle w:val="Foreign"/>
        </w:rPr>
        <w:t>ṅga</w:t>
      </w:r>
      <w:r>
        <w:t xml:space="preserve"> in place of </w:t>
      </w:r>
      <w:r>
        <w:rPr>
          <w:rStyle w:val="Foreign"/>
        </w:rPr>
        <w:t>ṅśa</w:t>
      </w:r>
      <w:r>
        <w:t xml:space="preserve"> rather than the complex mistake of inscribing </w:t>
      </w:r>
      <w:r>
        <w:rPr>
          <w:rStyle w:val="Foreign"/>
        </w:rPr>
        <w:t>ṅga</w:t>
      </w:r>
      <w:r>
        <w:t xml:space="preserve"> in place of </w:t>
      </w:r>
      <w:r>
        <w:rPr>
          <w:rStyle w:val="Foreign"/>
        </w:rPr>
        <w:t>śa</w:t>
      </w:r>
      <w:r>
        <w:t xml:space="preserve"> and simultaneously omitting an </w:t>
      </w:r>
      <w:r>
        <w:rPr>
          <w:rStyle w:val="Foreign"/>
        </w:rPr>
        <w:t>anusvāra</w:t>
      </w:r>
      <w:r>
        <w:t xml:space="preserve"> </w:t>
      </w:r>
    </w:p>
    <w:p w14:paraId="67F179A1" w14:textId="77777777">
      <w:pPr>
        <w:pStyle w:val="Lista3"/>
      </w:pPr>
      <w:r>
        <w:t xml:space="preserve">correct </w:t>
      </w:r>
      <w:r>
        <w:rPr>
          <w:rStyle w:val="Foreign"/>
        </w:rPr>
        <w:t>viśati</w:t>
      </w:r>
      <w:r>
        <w:t xml:space="preserve"> to </w:t>
      </w:r>
      <w:r>
        <w:rPr>
          <w:rStyle w:val="Foreign"/>
        </w:rPr>
        <w:t>viṁśati</w:t>
      </w:r>
      <w:r>
        <w:t xml:space="preserve"> </w:t>
      </w:r>
      <w:r>
        <w:rPr>
          <w:noProof/>
        </w:rPr>
        <w:t>(</w:t>
      </w:r>
      <w:r>
        <w:t xml:space="preserve">even if </w:t>
      </w:r>
      <w:r>
        <w:rPr>
          <w:rStyle w:val="Foreign"/>
        </w:rPr>
        <w:t>viṅśati</w:t>
      </w:r>
      <w:r>
        <w:t xml:space="preserve"> would be expected in the document), assuming the simple mistake of omitting an </w:t>
      </w:r>
      <w:r>
        <w:rPr>
          <w:rStyle w:val="Foreign"/>
        </w:rPr>
        <w:t>anusvāra</w:t>
      </w:r>
      <w:r>
        <w:t xml:space="preserve"> rather than the complex mistake of inscribing </w:t>
      </w:r>
      <w:r>
        <w:rPr>
          <w:rStyle w:val="Foreign"/>
        </w:rPr>
        <w:t>śa</w:t>
      </w:r>
      <w:r>
        <w:t xml:space="preserve"> instead of </w:t>
      </w:r>
      <w:r>
        <w:rPr>
          <w:rStyle w:val="Foreign"/>
        </w:rPr>
        <w:t>ṅśa</w:t>
      </w:r>
    </w:p>
    <w:p w14:paraId="35D413E5" w14:textId="77777777">
      <w:pPr>
        <w:pStyle w:val="Lista3"/>
      </w:pPr>
      <w:r>
        <w:t xml:space="preserve">should you feel the need, feel free to add normalisation on top of a correction </w:t>
      </w:r>
      <w:r>
        <w:rPr>
          <w:noProof/>
        </w:rPr>
        <w:t>(</w:t>
      </w:r>
      <w:r>
        <w:t>§</w:t>
      </w:r>
      <w:r>
        <w:fldChar w:fldCharType="begin"/>
      </w:r>
      <w:r>
        <w:instrText xml:space="preserve"> REF _Ref43988493 \w \h  \* MERGEFORMAT </w:instrText>
      </w:r>
      <w:r>
        <w:fldChar w:fldCharType="separate"/>
      </w:r>
      <w:r>
        <w:t>7.7.5</w:t>
      </w:r>
      <w:r>
        <w:fldChar w:fldCharType="end"/>
      </w:r>
      <w:r>
        <w:t>)</w:t>
      </w:r>
    </w:p>
    <w:p w14:paraId="240BFC14" w14:textId="77777777">
      <w:pPr>
        <w:pStyle w:val="Cmsor3"/>
      </w:pPr>
      <w:bookmarkStart w:id="639" w:name="_Ref229057056"/>
      <w:bookmarkStart w:id="640" w:name="_Toc243900340"/>
      <w:r>
        <w:lastRenderedPageBreak/>
        <w:t>Substitution</w:t>
      </w:r>
      <w:bookmarkEnd w:id="639"/>
      <w:bookmarkEnd w:id="640"/>
    </w:p>
    <w:p w14:paraId="7AD25478" w14:textId="77777777">
      <w:pPr>
        <w:pStyle w:val="Cmsor4"/>
      </w:pPr>
      <w:bookmarkStart w:id="641" w:name="_Ref229056089"/>
      <w:r>
        <w:t>Correction by substitution</w:t>
      </w:r>
      <w:bookmarkEnd w:id="641"/>
    </w:p>
    <w:p w14:paraId="71FF6B30" w14:textId="77777777">
      <w:pPr>
        <w:pStyle w:val="Lista"/>
      </w:pPr>
      <w:r>
        <w:t>to correct a reading deemed erroneous,</w:t>
      </w:r>
    </w:p>
    <w:p w14:paraId="6EC00A58" w14:textId="77777777">
      <w:pPr>
        <w:pStyle w:val="Lista2"/>
      </w:pPr>
      <w:r>
        <w:t xml:space="preserve">flag the original text with </w:t>
      </w:r>
      <w:r>
        <w:rPr>
          <w:rStyle w:val="Code"/>
        </w:rPr>
        <w:t>&lt;sic&gt;</w:t>
      </w:r>
    </w:p>
    <w:p w14:paraId="5859C030" w14:textId="77777777">
      <w:pPr>
        <w:pStyle w:val="Lista2"/>
      </w:pPr>
      <w:r>
        <w:t xml:space="preserve">add the corrected alternative directly after this, wrapped in the element </w:t>
      </w:r>
      <w:r>
        <w:rPr>
          <w:rStyle w:val="Code"/>
        </w:rPr>
        <w:t>&lt;corr&gt;</w:t>
      </w:r>
    </w:p>
    <w:p w14:paraId="062ED2C6" w14:textId="77777777">
      <w:pPr>
        <w:pStyle w:val="Lista2"/>
      </w:pPr>
      <w:r>
        <w:t xml:space="preserve">and wrap both these elements together in the element </w:t>
      </w:r>
      <w:r>
        <w:rPr>
          <w:rStyle w:val="Code"/>
        </w:rPr>
        <w:t>&lt;choice&gt;</w:t>
      </w:r>
      <w:r>
        <w:t>, indicating that either, but not both, of the two is to be read at the given locus</w:t>
      </w:r>
    </w:p>
    <w:p w14:paraId="4D58A788" w14:textId="77777777">
      <w:pPr>
        <w:pStyle w:val="Lista2"/>
      </w:pPr>
      <w:r>
        <w:t>for the sake of consistency, the received reading shall always precede the editorial reading in DHARMA editions</w:t>
      </w:r>
    </w:p>
    <w:p w14:paraId="5D1FEFAF" w14:textId="77777777">
      <w:pPr>
        <w:pStyle w:val="Lista"/>
      </w:pPr>
      <w:r>
        <w:t xml:space="preserve">for example: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ja</w:t>
      </w:r>
      <w:r>
        <w:t xml:space="preserve"> </w:t>
      </w:r>
      <w:r>
        <w:rPr>
          <w:noProof/>
        </w:rPr>
        <w:t>(</w:t>
      </w:r>
      <w:r>
        <w:rPr>
          <w:rStyle w:val="Foreign"/>
        </w:rPr>
        <w:t>a</w:t>
      </w:r>
      <w:r>
        <w:t xml:space="preserve"> corrected to </w:t>
      </w:r>
      <w:r>
        <w:rPr>
          <w:rStyle w:val="Foreign"/>
        </w:rPr>
        <w:t>ā</w:t>
      </w:r>
      <w:r>
        <w:t>)</w:t>
      </w:r>
    </w:p>
    <w:p w14:paraId="2D3B0044" w14:textId="77777777">
      <w:pPr>
        <w:pStyle w:val="Cmsor4"/>
      </w:pPr>
      <w:bookmarkStart w:id="642" w:name="_26gcps9vrjkt" w:colFirst="0" w:colLast="0"/>
      <w:bookmarkStart w:id="643" w:name="_Ref228885848"/>
      <w:bookmarkStart w:id="644" w:name="_Ref228888134"/>
      <w:bookmarkStart w:id="645" w:name="_Ref43988286"/>
      <w:bookmarkEnd w:id="642"/>
      <w:r>
        <w:t>Normalisation by substitution</w:t>
      </w:r>
      <w:bookmarkEnd w:id="643"/>
      <w:bookmarkEnd w:id="644"/>
    </w:p>
    <w:p w14:paraId="4B85F590" w14:textId="77777777">
      <w:pPr>
        <w:pStyle w:val="Lista"/>
      </w:pPr>
      <w:r>
        <w:t>to normalise a reading deemed non-standard,</w:t>
      </w:r>
    </w:p>
    <w:p w14:paraId="6D2A6C60" w14:textId="77777777">
      <w:pPr>
        <w:pStyle w:val="Lista2"/>
      </w:pPr>
      <w:r>
        <w:t xml:space="preserve">flag the original text with </w:t>
      </w:r>
      <w:r>
        <w:rPr>
          <w:rStyle w:val="Code"/>
        </w:rPr>
        <w:t>&lt;orig&gt;</w:t>
      </w:r>
    </w:p>
    <w:p w14:paraId="0F8CA1A1" w14:textId="77777777">
      <w:pPr>
        <w:pStyle w:val="Lista2"/>
      </w:pPr>
      <w:r>
        <w:t xml:space="preserve">add the normalised alternative directly after this, wrapped in the element </w:t>
      </w:r>
      <w:r>
        <w:rPr>
          <w:rStyle w:val="Code"/>
        </w:rPr>
        <w:t>&lt;reg&gt;</w:t>
      </w:r>
    </w:p>
    <w:p w14:paraId="21214F9E" w14:textId="77777777">
      <w:pPr>
        <w:pStyle w:val="Lista2"/>
      </w:pPr>
      <w:r>
        <w:t xml:space="preserve">and wrap both these elements together in the element </w:t>
      </w:r>
      <w:r>
        <w:rPr>
          <w:rStyle w:val="Code"/>
        </w:rPr>
        <w:t>&lt;choice&gt;</w:t>
      </w:r>
      <w:r>
        <w:t>, indicating that either, but not both, of the two is to be read at the given locus</w:t>
      </w:r>
    </w:p>
    <w:p w14:paraId="15F827BC" w14:textId="77777777">
      <w:pPr>
        <w:pStyle w:val="Lista2"/>
      </w:pPr>
      <w:r>
        <w:t>for the sake of consistency, the received reading shall always precede the editorial reading in DHARMA editions</w:t>
      </w:r>
    </w:p>
    <w:p w14:paraId="6C1907C6" w14:textId="77777777">
      <w:pPr>
        <w:pStyle w:val="Lista"/>
      </w:pPr>
      <w:r>
        <w:t xml:space="preserve">for example: </w:t>
      </w:r>
      <w:r>
        <w:rPr>
          <w:rStyle w:val="Codetext"/>
        </w:rPr>
        <w:t>e</w:t>
      </w:r>
      <w:r>
        <w:rPr>
          <w:rStyle w:val="Code"/>
        </w:rPr>
        <w:t>&lt;choice&gt;&lt;orig&gt;</w:t>
      </w:r>
      <w:r>
        <w:rPr>
          <w:rStyle w:val="Codetext"/>
        </w:rPr>
        <w:t>ś</w:t>
      </w:r>
      <w:r>
        <w:rPr>
          <w:rStyle w:val="Code"/>
        </w:rPr>
        <w:t>&lt;/orig&gt;&lt;reg&gt;</w:t>
      </w:r>
      <w:r>
        <w:rPr>
          <w:rStyle w:val="Codetext"/>
        </w:rPr>
        <w:t>ṣ</w:t>
      </w:r>
      <w:r>
        <w:rPr>
          <w:rStyle w:val="Code"/>
        </w:rPr>
        <w:t>&lt;/reg&gt;&lt;/choice&gt;</w:t>
      </w:r>
      <w:r>
        <w:rPr>
          <w:rStyle w:val="Codetext"/>
        </w:rPr>
        <w:t>a</w:t>
      </w:r>
      <w:r>
        <w:t xml:space="preserve"> </w:t>
      </w:r>
      <w:r>
        <w:rPr>
          <w:noProof/>
        </w:rPr>
        <w:t>(</w:t>
      </w:r>
      <w:r>
        <w:rPr>
          <w:rStyle w:val="Foreign"/>
        </w:rPr>
        <w:t>eśa</w:t>
      </w:r>
      <w:r>
        <w:t xml:space="preserve"> normalised to </w:t>
      </w:r>
      <w:r>
        <w:rPr>
          <w:rStyle w:val="Foreign"/>
        </w:rPr>
        <w:t>eṣa</w:t>
      </w:r>
      <w:r>
        <w:t>)</w:t>
      </w:r>
    </w:p>
    <w:p w14:paraId="174C24C7" w14:textId="77777777">
      <w:pPr>
        <w:pStyle w:val="Cmsor4"/>
      </w:pPr>
      <w:bookmarkStart w:id="646" w:name="_Ref229056247"/>
      <w:r>
        <w:t>Textual integrity in substitution</w:t>
      </w:r>
      <w:bookmarkEnd w:id="646"/>
    </w:p>
    <w:p w14:paraId="5F2BA4DB" w14:textId="77777777">
      <w:r>
        <w:t xml:space="preserve">When rectifying an anomalous reading by substitution, keep in mind that it must always be possible to produce the pristine received text by ignoring the segment tagged with </w:t>
      </w:r>
      <w:r>
        <w:rPr>
          <w:rStyle w:val="Code"/>
        </w:rPr>
        <w:t>&lt;corr&gt;</w:t>
      </w:r>
      <w:r>
        <w:t xml:space="preserve"> or </w:t>
      </w:r>
      <w:r>
        <w:rPr>
          <w:rStyle w:val="Code"/>
        </w:rPr>
        <w:t>&lt;reg&gt;</w:t>
      </w:r>
      <w:r>
        <w:t xml:space="preserve"> and, vice versa, to produce the pure rectified text by ignoring the segment tagged with </w:t>
      </w:r>
      <w:r>
        <w:rPr>
          <w:rStyle w:val="Code"/>
        </w:rPr>
        <w:t>&lt;sic&gt;</w:t>
      </w:r>
      <w:r>
        <w:t xml:space="preserve"> or </w:t>
      </w:r>
      <w:r>
        <w:rPr>
          <w:rStyle w:val="Code"/>
        </w:rPr>
        <w:t>&lt;orig&gt;</w:t>
      </w:r>
      <w:r>
        <w:t>. In other words, the tag for the received text must contain a segment exactly corresponding to that contained in the tag for the rectified text. Word boundaries, indicated by editorial spacing or hyphenation in our editions, may be separable in only one of the textual alternatives, in which case care must be taken to include the space or hyphen only in the applicable tag, but not in the other tag or outside the encoded intervention.</w:t>
      </w:r>
    </w:p>
    <w:p w14:paraId="2860591A" w14:textId="77777777">
      <w:pPr>
        <w:pStyle w:val="Lista"/>
      </w:pPr>
      <w:r>
        <w:t>if you choose to include any context in your intervention (§</w:t>
      </w:r>
      <w:r>
        <w:fldChar w:fldCharType="begin"/>
      </w:r>
      <w:r>
        <w:instrText xml:space="preserve"> REF _Ref228973253 \r \h </w:instrText>
      </w:r>
      <w:r>
        <w:fldChar w:fldCharType="separate"/>
      </w:r>
      <w:r>
        <w:t>7.7.2</w:t>
      </w:r>
      <w:r>
        <w:fldChar w:fldCharType="end"/>
      </w:r>
      <w:r>
        <w:t>), then the context must be identically present in both of the tags, while if you exclude context, then care must be taken to exclude context from both tags; for example,</w:t>
      </w:r>
    </w:p>
    <w:p w14:paraId="1346F15F" w14:textId="77777777">
      <w:pPr>
        <w:pStyle w:val="Lista2"/>
      </w:pPr>
      <w:r>
        <w:t xml:space="preserve">in encoding a correction of </w:t>
      </w:r>
      <w:r>
        <w:rPr>
          <w:rStyle w:val="Foreign"/>
        </w:rPr>
        <w:t>pautrāḥ</w:t>
      </w:r>
      <w:r>
        <w:t xml:space="preserve"> to </w:t>
      </w:r>
      <w:r>
        <w:rPr>
          <w:rStyle w:val="Foreign"/>
        </w:rPr>
        <w:t>pautraḥ</w:t>
      </w:r>
      <w:r>
        <w:t>, each of the following are correct:</w:t>
      </w:r>
    </w:p>
    <w:p w14:paraId="23A68276" w14:textId="77777777">
      <w:pPr>
        <w:pStyle w:val="Lista3"/>
      </w:pPr>
      <w:r>
        <w:rPr>
          <w:rStyle w:val="Codetext"/>
        </w:rPr>
        <w:t>pautr</w:t>
      </w:r>
      <w:r>
        <w:rPr>
          <w:rStyle w:val="Code"/>
        </w:rPr>
        <w:t>&lt;choice&gt;&lt;sic&gt;</w:t>
      </w:r>
      <w:r>
        <w:rPr>
          <w:rStyle w:val="Codetext"/>
        </w:rPr>
        <w:t>ā</w:t>
      </w:r>
      <w:r>
        <w:rPr>
          <w:rStyle w:val="Code"/>
        </w:rPr>
        <w:t>&lt;/sic&gt;&lt;corr&gt;</w:t>
      </w:r>
      <w:r>
        <w:rPr>
          <w:rStyle w:val="Codetext"/>
        </w:rPr>
        <w:t>a</w:t>
      </w:r>
      <w:r>
        <w:rPr>
          <w:rStyle w:val="Code"/>
        </w:rPr>
        <w:t>&lt;/corr&gt;&lt;/choice&gt;</w:t>
      </w:r>
      <w:r>
        <w:rPr>
          <w:rStyle w:val="Codetext"/>
        </w:rPr>
        <w:t>ḥ</w:t>
      </w:r>
      <w:r>
        <w:t xml:space="preserve"> </w:t>
      </w:r>
      <w:r>
        <w:rPr>
          <w:noProof/>
        </w:rPr>
        <w:t>(</w:t>
      </w:r>
      <w:r>
        <w:t>targeting a single grapheme)</w:t>
      </w:r>
    </w:p>
    <w:p w14:paraId="45E79E24" w14:textId="77777777">
      <w:pPr>
        <w:pStyle w:val="Lista3"/>
      </w:pPr>
      <w:r>
        <w:rPr>
          <w:rStyle w:val="Codetext"/>
        </w:rPr>
        <w:t>pautr</w:t>
      </w:r>
      <w:r>
        <w:rPr>
          <w:rStyle w:val="Code"/>
        </w:rPr>
        <w:t>&lt;choice&gt;&lt;sic&gt;</w:t>
      </w:r>
      <w:r>
        <w:rPr>
          <w:rStyle w:val="Codetext"/>
        </w:rPr>
        <w:t>āḥ</w:t>
      </w:r>
      <w:r>
        <w:rPr>
          <w:rStyle w:val="Code"/>
        </w:rPr>
        <w:t>&lt;/sic&gt;&lt;corr&gt;</w:t>
      </w:r>
      <w:r>
        <w:rPr>
          <w:rStyle w:val="Codetext"/>
        </w:rPr>
        <w:t>aḥ</w:t>
      </w:r>
      <w:r>
        <w:rPr>
          <w:rStyle w:val="Code"/>
        </w:rPr>
        <w:t>&lt;/corr&gt;&lt;/choice&gt;</w:t>
      </w:r>
      <w:r>
        <w:t xml:space="preserve"> </w:t>
      </w:r>
      <w:r>
        <w:rPr>
          <w:noProof/>
        </w:rPr>
        <w:t>(</w:t>
      </w:r>
      <w:r>
        <w:t>including relevant context)</w:t>
      </w:r>
    </w:p>
    <w:p w14:paraId="61AAAA89" w14:textId="77777777">
      <w:pPr>
        <w:pStyle w:val="Lista3"/>
      </w:pPr>
      <w:r>
        <w:t>but each of the following are incorrect:</w:t>
      </w:r>
    </w:p>
    <w:p w14:paraId="6B5D3357" w14:textId="77777777">
      <w:pPr>
        <w:pStyle w:val="Lista4"/>
      </w:pPr>
      <w:r>
        <w:rPr>
          <w:rStyle w:val="Codetext"/>
        </w:rPr>
        <w:t>pautr</w:t>
      </w:r>
      <w:r>
        <w:rPr>
          <w:rStyle w:val="Code"/>
        </w:rPr>
        <w:t>&lt;choice&gt;&lt;sic&gt;</w:t>
      </w:r>
      <w:r>
        <w:rPr>
          <w:rStyle w:val="Codetext"/>
        </w:rPr>
        <w:t>āḥ</w:t>
      </w:r>
      <w:r>
        <w:rPr>
          <w:rStyle w:val="Code"/>
        </w:rPr>
        <w:t>&lt;/sic&gt;&lt;corr&gt;</w:t>
      </w:r>
      <w:r>
        <w:rPr>
          <w:rStyle w:val="Codetext"/>
        </w:rPr>
        <w:t>a</w:t>
      </w:r>
      <w:r>
        <w:rPr>
          <w:rStyle w:val="Code"/>
        </w:rPr>
        <w:t>&lt;/corr&gt;&lt;/choice&gt;</w:t>
      </w:r>
      <w:r>
        <w:rPr>
          <w:rStyle w:val="Codetext"/>
        </w:rPr>
        <w:t>ḥ</w:t>
      </w:r>
      <w:r>
        <w:t xml:space="preserve"> </w:t>
      </w:r>
      <w:r>
        <w:rPr>
          <w:noProof/>
        </w:rPr>
        <w:t>(</w:t>
      </w:r>
      <w:r>
        <w:t xml:space="preserve">this would mean a correction of </w:t>
      </w:r>
      <w:r>
        <w:rPr>
          <w:rStyle w:val="Foreign"/>
        </w:rPr>
        <w:t>pautrāḥḥ</w:t>
      </w:r>
      <w:r>
        <w:t xml:space="preserve"> to </w:t>
      </w:r>
      <w:r>
        <w:rPr>
          <w:rStyle w:val="Foreign"/>
        </w:rPr>
        <w:t>pautraḥ</w:t>
      </w:r>
      <w:r>
        <w:t>)</w:t>
      </w:r>
    </w:p>
    <w:p w14:paraId="71878E2F" w14:textId="77777777">
      <w:pPr>
        <w:pStyle w:val="Lista4"/>
      </w:pPr>
      <w:r>
        <w:rPr>
          <w:rStyle w:val="Codetext"/>
        </w:rPr>
        <w:t>pautr</w:t>
      </w:r>
      <w:r>
        <w:rPr>
          <w:rStyle w:val="Code"/>
        </w:rPr>
        <w:t>&lt;choice&gt;&lt;sic&gt;</w:t>
      </w:r>
      <w:r>
        <w:rPr>
          <w:rStyle w:val="Codetext"/>
        </w:rPr>
        <w:t>ā</w:t>
      </w:r>
      <w:r>
        <w:rPr>
          <w:rStyle w:val="Code"/>
        </w:rPr>
        <w:t>&lt;/sic&gt;&lt;corr&gt;</w:t>
      </w:r>
      <w:r>
        <w:rPr>
          <w:rStyle w:val="Codetext"/>
        </w:rPr>
        <w:t>ra</w:t>
      </w:r>
      <w:r>
        <w:rPr>
          <w:rStyle w:val="Code"/>
        </w:rPr>
        <w:t>&lt;/corr&gt;&lt;/choice&gt;</w:t>
      </w:r>
      <w:r>
        <w:rPr>
          <w:rStyle w:val="Codetext"/>
        </w:rPr>
        <w:t>ḥ</w:t>
      </w:r>
      <w:r>
        <w:t xml:space="preserve"> </w:t>
      </w:r>
      <w:r>
        <w:rPr>
          <w:noProof/>
        </w:rPr>
        <w:t>(</w:t>
      </w:r>
      <w:r>
        <w:t xml:space="preserve">this would mean a correction of </w:t>
      </w:r>
      <w:r>
        <w:rPr>
          <w:rStyle w:val="Foreign"/>
        </w:rPr>
        <w:t>pautrāḥ</w:t>
      </w:r>
      <w:r>
        <w:t xml:space="preserve"> to </w:t>
      </w:r>
      <w:r>
        <w:rPr>
          <w:rStyle w:val="Foreign"/>
        </w:rPr>
        <w:t>pautrraḥ</w:t>
      </w:r>
      <w:r>
        <w:t>)</w:t>
      </w:r>
    </w:p>
    <w:p w14:paraId="78668B65" w14:textId="77777777">
      <w:pPr>
        <w:pStyle w:val="Lista4"/>
      </w:pPr>
      <w:r>
        <w:rPr>
          <w:rStyle w:val="Codetext"/>
        </w:rPr>
        <w:t>paut</w:t>
      </w:r>
      <w:r>
        <w:rPr>
          <w:rStyle w:val="Code"/>
        </w:rPr>
        <w:t>&lt;choice&gt;&lt;sic&gt;</w:t>
      </w:r>
      <w:r>
        <w:rPr>
          <w:rStyle w:val="Codetext"/>
        </w:rPr>
        <w:t>rāḥ</w:t>
      </w:r>
      <w:r>
        <w:rPr>
          <w:rStyle w:val="Code"/>
        </w:rPr>
        <w:t>&lt;/sic&gt;&lt;corr&gt;</w:t>
      </w:r>
      <w:r>
        <w:rPr>
          <w:rStyle w:val="Codetext"/>
        </w:rPr>
        <w:t>aḥ</w:t>
      </w:r>
      <w:r>
        <w:rPr>
          <w:rStyle w:val="Code"/>
        </w:rPr>
        <w:t>&lt;/corr&gt;&lt;/choice&gt;</w:t>
      </w:r>
      <w:r>
        <w:t xml:space="preserve"> </w:t>
      </w:r>
      <w:r>
        <w:rPr>
          <w:noProof/>
        </w:rPr>
        <w:t>(</w:t>
      </w:r>
      <w:r>
        <w:t xml:space="preserve">this encodes a correction of </w:t>
      </w:r>
      <w:r>
        <w:rPr>
          <w:rStyle w:val="Foreign"/>
        </w:rPr>
        <w:t>pautrāḥ</w:t>
      </w:r>
      <w:r>
        <w:t xml:space="preserve"> to </w:t>
      </w:r>
      <w:r>
        <w:rPr>
          <w:rStyle w:val="Foreign"/>
        </w:rPr>
        <w:t>pautaḥ</w:t>
      </w:r>
      <w:r>
        <w:t>)</w:t>
      </w:r>
    </w:p>
    <w:p w14:paraId="10FE984E" w14:textId="77777777">
      <w:pPr>
        <w:pStyle w:val="Lista2"/>
      </w:pPr>
      <w:r>
        <w:t xml:space="preserve">in encoding a normalisation of </w:t>
      </w:r>
      <w:r>
        <w:rPr>
          <w:rStyle w:val="Foreign"/>
        </w:rPr>
        <w:t>yathāruha</w:t>
      </w:r>
      <w:r>
        <w:t xml:space="preserve"> to </w:t>
      </w:r>
      <w:r>
        <w:rPr>
          <w:rStyle w:val="Foreign"/>
        </w:rPr>
        <w:t>yathārhaṁ</w:t>
      </w:r>
      <w:r>
        <w:t>, each of the following are correct:</w:t>
      </w:r>
    </w:p>
    <w:p w14:paraId="1225B07F" w14:textId="77777777">
      <w:pPr>
        <w:pStyle w:val="Lista3"/>
      </w:pPr>
      <w:r>
        <w:rPr>
          <w:rStyle w:val="Code"/>
        </w:rPr>
        <w:t>&lt;choice&gt;&lt;orig&gt;</w:t>
      </w:r>
      <w:r>
        <w:rPr>
          <w:rStyle w:val="Codetext"/>
        </w:rPr>
        <w:t>yathāruhaṁ</w:t>
      </w:r>
      <w:r>
        <w:rPr>
          <w:rStyle w:val="Code"/>
        </w:rPr>
        <w:t>&lt;/orig&gt;&lt;reg&gt;</w:t>
      </w:r>
      <w:r>
        <w:rPr>
          <w:rStyle w:val="Codetext"/>
        </w:rPr>
        <w:t>yathārhaṁ</w:t>
      </w:r>
      <w:r>
        <w:rPr>
          <w:rStyle w:val="Code"/>
        </w:rPr>
        <w:t>&lt;/reg&gt;&lt;/choice&gt;</w:t>
      </w:r>
      <w:r>
        <w:t xml:space="preserve"> </w:t>
      </w:r>
      <w:r>
        <w:rPr>
          <w:noProof/>
        </w:rPr>
        <w:t>(</w:t>
      </w:r>
      <w:r>
        <w:t>targeting a whole word)</w:t>
      </w:r>
    </w:p>
    <w:p w14:paraId="4AF0A88A" w14:textId="77777777">
      <w:pPr>
        <w:pStyle w:val="Lista3"/>
      </w:pPr>
      <w:r>
        <w:rPr>
          <w:rStyle w:val="Codetext"/>
        </w:rPr>
        <w:t>yathā</w:t>
      </w:r>
      <w:r>
        <w:rPr>
          <w:rStyle w:val="Code"/>
        </w:rPr>
        <w:t>&lt;choice&gt;&lt;orig&gt;r</w:t>
      </w:r>
      <w:r>
        <w:rPr>
          <w:rStyle w:val="Codetext"/>
        </w:rPr>
        <w:t>uha</w:t>
      </w:r>
      <w:r>
        <w:rPr>
          <w:rStyle w:val="Code"/>
        </w:rPr>
        <w:t>&lt;/orig&gt;&lt;reg&gt;</w:t>
      </w:r>
      <w:r>
        <w:rPr>
          <w:rStyle w:val="Codetext"/>
        </w:rPr>
        <w:t>rhaṁ</w:t>
      </w:r>
      <w:r>
        <w:rPr>
          <w:rStyle w:val="Code"/>
        </w:rPr>
        <w:t>&lt;/reg&gt;&lt;/choice&gt;</w:t>
      </w:r>
      <w:r>
        <w:t xml:space="preserve"> </w:t>
      </w:r>
      <w:r>
        <w:rPr>
          <w:noProof/>
        </w:rPr>
        <w:t>(</w:t>
      </w:r>
      <w:r>
        <w:t>including only minimal context)</w:t>
      </w:r>
    </w:p>
    <w:p w14:paraId="0D7E9D03" w14:textId="77777777">
      <w:pPr>
        <w:pStyle w:val="Lista3"/>
      </w:pPr>
      <w:r>
        <w:t>but each of the following are incorrect:</w:t>
      </w:r>
    </w:p>
    <w:p w14:paraId="4D5A3EA0" w14:textId="77777777">
      <w:pPr>
        <w:pStyle w:val="Lista3"/>
      </w:pPr>
      <w:r>
        <w:rPr>
          <w:rStyle w:val="Code"/>
        </w:rPr>
        <w:t>&lt;choice&gt;&lt;orig&gt;</w:t>
      </w:r>
      <w:r>
        <w:rPr>
          <w:rStyle w:val="Codetext"/>
        </w:rPr>
        <w:t>yathāruha</w:t>
      </w:r>
      <w:r>
        <w:rPr>
          <w:rStyle w:val="Code"/>
        </w:rPr>
        <w:t>&lt;/orig&gt;&lt;reg&gt;</w:t>
      </w:r>
      <w:r>
        <w:rPr>
          <w:rStyle w:val="Codetext"/>
        </w:rPr>
        <w:t>yathārha</w:t>
      </w:r>
      <w:r>
        <w:rPr>
          <w:rStyle w:val="Code"/>
        </w:rPr>
        <w:t>&lt;/reg&gt;&lt;/choice&gt;</w:t>
      </w:r>
      <w:r>
        <w:rPr>
          <w:rStyle w:val="Codetext"/>
        </w:rPr>
        <w:t>ṁ</w:t>
      </w:r>
      <w:r>
        <w:t xml:space="preserve"> </w:t>
      </w:r>
      <w:r>
        <w:rPr>
          <w:noProof/>
        </w:rPr>
        <w:t>(</w:t>
      </w:r>
      <w:r>
        <w:t xml:space="preserve">this encodes a normalisation of </w:t>
      </w:r>
      <w:r>
        <w:rPr>
          <w:rStyle w:val="Foreign"/>
        </w:rPr>
        <w:t>yathāruhaṁ</w:t>
      </w:r>
      <w:r>
        <w:t xml:space="preserve"> to </w:t>
      </w:r>
      <w:r>
        <w:rPr>
          <w:rStyle w:val="Foreign"/>
        </w:rPr>
        <w:t>yathārhaṁ</w:t>
      </w:r>
      <w:r>
        <w:t>)</w:t>
      </w:r>
    </w:p>
    <w:p w14:paraId="1A21655B" w14:textId="77777777">
      <w:pPr>
        <w:pStyle w:val="Lista3"/>
      </w:pPr>
      <w:r>
        <w:rPr>
          <w:rStyle w:val="Code"/>
        </w:rPr>
        <w:lastRenderedPageBreak/>
        <w:t>&lt;choice&gt;&lt;orig&gt;</w:t>
      </w:r>
      <w:r>
        <w:rPr>
          <w:rStyle w:val="Codetext"/>
        </w:rPr>
        <w:t>yathāruha</w:t>
      </w:r>
      <w:r>
        <w:rPr>
          <w:rStyle w:val="Code"/>
        </w:rPr>
        <w:t>&lt;/orig&gt;&lt;reg&gt;</w:t>
      </w:r>
      <w:r>
        <w:rPr>
          <w:rStyle w:val="Codetext"/>
        </w:rPr>
        <w:t>rhaṁ</w:t>
      </w:r>
      <w:r>
        <w:rPr>
          <w:rStyle w:val="Code"/>
        </w:rPr>
        <w:t>&lt;/reg&gt;&lt;/choice&gt;</w:t>
      </w:r>
      <w:r>
        <w:t xml:space="preserve"> </w:t>
      </w:r>
      <w:r>
        <w:rPr>
          <w:noProof/>
        </w:rPr>
        <w:t>(</w:t>
      </w:r>
      <w:r>
        <w:t xml:space="preserve">this encodes a normalisation of </w:t>
      </w:r>
      <w:r>
        <w:rPr>
          <w:rStyle w:val="Foreign"/>
        </w:rPr>
        <w:t>yathāruha</w:t>
      </w:r>
      <w:r>
        <w:t xml:space="preserve"> to </w:t>
      </w:r>
      <w:r>
        <w:rPr>
          <w:rStyle w:val="Foreign"/>
        </w:rPr>
        <w:t>rhaṁ</w:t>
      </w:r>
      <w:r>
        <w:t>)</w:t>
      </w:r>
    </w:p>
    <w:p w14:paraId="0E3A16C0" w14:textId="77777777">
      <w:pPr>
        <w:pStyle w:val="Lista3"/>
      </w:pPr>
      <w:r>
        <w:rPr>
          <w:rStyle w:val="Codetext"/>
        </w:rPr>
        <w:t>yathār</w:t>
      </w:r>
      <w:r>
        <w:rPr>
          <w:rStyle w:val="Code"/>
        </w:rPr>
        <w:t>&lt;choice&gt;&lt;orig&gt;</w:t>
      </w:r>
      <w:r>
        <w:rPr>
          <w:rStyle w:val="Codetext"/>
        </w:rPr>
        <w:t>uha</w:t>
      </w:r>
      <w:r>
        <w:rPr>
          <w:rStyle w:val="Code"/>
        </w:rPr>
        <w:t>&lt;/orig&gt;&lt;reg&gt;</w:t>
      </w:r>
      <w:r>
        <w:rPr>
          <w:rStyle w:val="Codetext"/>
        </w:rPr>
        <w:t>rhaṁ</w:t>
      </w:r>
      <w:r>
        <w:rPr>
          <w:rStyle w:val="Code"/>
        </w:rPr>
        <w:t>&lt;/reg&gt;&lt;/choice&gt;</w:t>
      </w:r>
      <w:r>
        <w:t xml:space="preserve"> </w:t>
      </w:r>
      <w:r>
        <w:rPr>
          <w:noProof/>
        </w:rPr>
        <w:t>(</w:t>
      </w:r>
      <w:r>
        <w:t xml:space="preserve">this encodes a normalisation of </w:t>
      </w:r>
      <w:r>
        <w:rPr>
          <w:rStyle w:val="Foreign"/>
        </w:rPr>
        <w:t>yathāruha</w:t>
      </w:r>
      <w:r>
        <w:t xml:space="preserve"> to </w:t>
      </w:r>
      <w:r>
        <w:rPr>
          <w:rStyle w:val="Foreign"/>
        </w:rPr>
        <w:t>yathārrhaṁ</w:t>
      </w:r>
      <w:r>
        <w:t>)</w:t>
      </w:r>
    </w:p>
    <w:p w14:paraId="65876A30" w14:textId="77777777">
      <w:pPr>
        <w:pStyle w:val="Lista"/>
      </w:pPr>
      <w:r>
        <w:t>when substitution involves a separable word boundary, take care to maintain the separation (space or hyphen) where, and only where, it is technically possible</w:t>
      </w:r>
    </w:p>
    <w:p w14:paraId="1701943F" w14:textId="77777777">
      <w:pPr>
        <w:pStyle w:val="Lista2"/>
      </w:pPr>
      <w:r>
        <w:t>if both alternatives are separable, make sure that both are separated</w:t>
      </w:r>
    </w:p>
    <w:p w14:paraId="32A10270" w14:textId="77777777">
      <w:pPr>
        <w:pStyle w:val="Lista3"/>
      </w:pPr>
      <w:r>
        <w:t xml:space="preserve">e.g. </w:t>
      </w:r>
      <w:r>
        <w:rPr>
          <w:rStyle w:val="Codetext"/>
        </w:rPr>
        <w:t>dān</w:t>
      </w:r>
      <w:r>
        <w:rPr>
          <w:rStyle w:val="Code"/>
        </w:rPr>
        <w:t>&lt;choice&gt;&lt;orig&gt;</w:t>
      </w:r>
      <w:r>
        <w:rPr>
          <w:rStyle w:val="Codetext"/>
        </w:rPr>
        <w:t>ā ś</w:t>
      </w:r>
      <w:r>
        <w:rPr>
          <w:rStyle w:val="Code"/>
        </w:rPr>
        <w:t>&lt;/orig&gt;&lt;reg&gt;</w:t>
      </w:r>
      <w:r>
        <w:rPr>
          <w:rStyle w:val="Codetext"/>
        </w:rPr>
        <w:t>āc ch</w:t>
      </w:r>
      <w:r>
        <w:rPr>
          <w:rStyle w:val="Code"/>
        </w:rPr>
        <w:t>&lt;/reg&gt;&lt;/choice&gt;</w:t>
      </w:r>
      <w:r>
        <w:rPr>
          <w:rStyle w:val="Codetext"/>
        </w:rPr>
        <w:t>reyo</w:t>
      </w:r>
    </w:p>
    <w:p w14:paraId="65E75C73" w14:textId="77777777">
      <w:pPr>
        <w:pStyle w:val="Lista2"/>
      </w:pPr>
      <w:r>
        <w:t>if only the received alternative is separable, make sure the rectified alternative is not separated</w:t>
      </w:r>
    </w:p>
    <w:p w14:paraId="77D298D7" w14:textId="77777777">
      <w:pPr>
        <w:pStyle w:val="Lista3"/>
      </w:pPr>
      <w:r>
        <w:t xml:space="preserve">e.g. </w:t>
      </w:r>
      <w:r>
        <w:rPr>
          <w:rStyle w:val="Code"/>
        </w:rPr>
        <w:t>&lt;choice&gt;&lt;orig&gt;</w:t>
      </w:r>
      <w:r>
        <w:rPr>
          <w:rStyle w:val="Codetext"/>
        </w:rPr>
        <w:t>puṇya-vividuye</w:t>
      </w:r>
      <w:r>
        <w:rPr>
          <w:rStyle w:val="Code"/>
        </w:rPr>
        <w:t>&lt;/orig&gt;&lt;reg&gt;</w:t>
      </w:r>
      <w:r>
        <w:rPr>
          <w:rStyle w:val="Codetext"/>
        </w:rPr>
        <w:t>puṇyābhivr̥ddhaye</w:t>
      </w:r>
      <w:r>
        <w:rPr>
          <w:rStyle w:val="Code"/>
        </w:rPr>
        <w:t>&lt;/reg&gt;&lt;/choice&gt;</w:t>
      </w:r>
    </w:p>
    <w:p w14:paraId="653E73FA" w14:textId="77777777">
      <w:pPr>
        <w:pStyle w:val="Lista2"/>
      </w:pPr>
      <w:r>
        <w:t>if only the rectified alternative is separable, make sure the received alternative is not separated</w:t>
      </w:r>
    </w:p>
    <w:p w14:paraId="27F43209" w14:textId="77777777">
      <w:pPr>
        <w:pStyle w:val="Lista3"/>
        <w:rPr>
          <w:rStyle w:val="Codetext"/>
          <w:rFonts w:ascii="Gentium" w:hAnsi="Gentium" w:cs="Tiro Devanagari Sanskrit"/>
          <w:noProof w:val="0"/>
          <w:color w:val="auto"/>
          <w:shd w:val="clear" w:color="auto" w:fill="auto"/>
        </w:rPr>
      </w:pPr>
      <w:r>
        <w:t xml:space="preserve">e.g. </w:t>
      </w:r>
      <w:r>
        <w:rPr>
          <w:rStyle w:val="Codetext"/>
        </w:rPr>
        <w:t>umula</w:t>
      </w:r>
      <w:r>
        <w:rPr>
          <w:rStyle w:val="Code"/>
        </w:rPr>
        <w:t>&lt;choice&gt;&lt;orig&gt;</w:t>
      </w:r>
      <w:r>
        <w:rPr>
          <w:rStyle w:val="Codetext"/>
        </w:rPr>
        <w:t>t</w:t>
      </w:r>
      <w:r>
        <w:rPr>
          <w:rStyle w:val="Code"/>
        </w:rPr>
        <w:t>&lt;/orig&gt;&lt;reg&gt;</w:t>
      </w:r>
      <w:r>
        <w:rPr>
          <w:rStyle w:val="Codetext"/>
        </w:rPr>
        <w:t>t t</w:t>
      </w:r>
      <w:r>
        <w:rPr>
          <w:rStyle w:val="Code"/>
        </w:rPr>
        <w:t>&lt;/reg&gt;&lt;/choice&gt;</w:t>
      </w:r>
      <w:r>
        <w:rPr>
          <w:rStyle w:val="Codetext"/>
        </w:rPr>
        <w:t>a</w:t>
      </w:r>
    </w:p>
    <w:p w14:paraId="5E30528B" w14:textId="77777777">
      <w:pPr>
        <w:pStyle w:val="Lista2"/>
      </w:pPr>
      <w:r>
        <w:t>see also §</w:t>
      </w:r>
      <w:r>
        <w:fldChar w:fldCharType="begin"/>
      </w:r>
      <w:r>
        <w:instrText xml:space="preserve"> REF _Ref232068629 \r \h </w:instrText>
      </w:r>
      <w:r>
        <w:fldChar w:fldCharType="separate"/>
      </w:r>
      <w:r>
        <w:t>7.8.1.1</w:t>
      </w:r>
      <w:r>
        <w:fldChar w:fldCharType="end"/>
      </w:r>
      <w:r>
        <w:t xml:space="preserve"> about the need to avoid spaces at the beginning and end of text-containing elements</w:t>
      </w:r>
    </w:p>
    <w:p w14:paraId="7EDB7F13" w14:textId="77777777">
      <w:pPr>
        <w:pStyle w:val="Cmsor3"/>
      </w:pPr>
      <w:bookmarkStart w:id="647" w:name="_Ref229054665"/>
      <w:bookmarkStart w:id="648" w:name="_Ref229056282"/>
      <w:bookmarkStart w:id="649" w:name="_Toc243900341"/>
      <w:bookmarkEnd w:id="645"/>
      <w:r>
        <w:t>Suppression: editorial deletion of superfluous text</w:t>
      </w:r>
      <w:bookmarkEnd w:id="647"/>
      <w:bookmarkEnd w:id="648"/>
      <w:bookmarkEnd w:id="649"/>
    </w:p>
    <w:p w14:paraId="45A70146" w14:textId="77777777">
      <w:r>
        <w:t>As noted in §</w:t>
      </w:r>
      <w:r>
        <w:fldChar w:fldCharType="begin"/>
      </w:r>
      <w:r>
        <w:instrText xml:space="preserve"> REF _Ref228885762 \r \h </w:instrText>
      </w:r>
      <w:r>
        <w:fldChar w:fldCharType="separate"/>
      </w:r>
      <w:r>
        <w:t>7.2.1</w:t>
      </w:r>
      <w:r>
        <w:fldChar w:fldCharType="end"/>
      </w:r>
      <w:r>
        <w:t>, editorial suppression is only used in DHARMA practice for superfluous graphemes written by mistake. When non-standard language can be normalised by removing one or more specific graphemes, use the generic encoding for normalisation by substitution (§</w:t>
      </w:r>
      <w:r>
        <w:fldChar w:fldCharType="begin"/>
      </w:r>
      <w:r>
        <w:instrText xml:space="preserve"> REF _Ref228885848 \r \h </w:instrText>
      </w:r>
      <w:r>
        <w:fldChar w:fldCharType="separate"/>
      </w:r>
      <w:r>
        <w:t>7.5.1.2</w:t>
      </w:r>
      <w:r>
        <w:fldChar w:fldCharType="end"/>
      </w:r>
      <w:r>
        <w:t>), with additional guidance on good practice in §</w:t>
      </w:r>
      <w:r>
        <w:fldChar w:fldCharType="begin"/>
      </w:r>
      <w:r>
        <w:instrText xml:space="preserve"> REF _Ref228957347 \r \h </w:instrText>
      </w:r>
      <w:r>
        <w:fldChar w:fldCharType="separate"/>
      </w:r>
      <w:r>
        <w:t>7.7.2.1</w:t>
      </w:r>
      <w:r>
        <w:fldChar w:fldCharType="end"/>
      </w:r>
      <w:r>
        <w:t>.</w:t>
      </w:r>
    </w:p>
    <w:p w14:paraId="32E8C08F" w14:textId="77777777">
      <w:pPr>
        <w:pStyle w:val="Lista"/>
      </w:pPr>
      <w:r>
        <w:t xml:space="preserve">to suppress superfluous graphemes deemed to be written by mistake, enclose the superfluous text in the element </w:t>
      </w:r>
      <w:r>
        <w:rPr>
          <w:rStyle w:val="Code"/>
        </w:rPr>
        <w:t>&lt;surplus&gt;</w:t>
      </w:r>
    </w:p>
    <w:p w14:paraId="262FF788" w14:textId="77777777">
      <w:pPr>
        <w:pStyle w:val="Lista2"/>
      </w:pPr>
      <w:r>
        <w:t>before encoding editorial deletion, be sure that you have read and understood §</w:t>
      </w:r>
      <w:r>
        <w:fldChar w:fldCharType="begin"/>
      </w:r>
      <w:r>
        <w:instrText xml:space="preserve"> REF _Ref228952859 \r \h </w:instrText>
      </w:r>
      <w:r>
        <w:fldChar w:fldCharType="separate"/>
      </w:r>
      <w:r>
        <w:t>7.7.1</w:t>
      </w:r>
      <w:r>
        <w:fldChar w:fldCharType="end"/>
      </w:r>
    </w:p>
    <w:p w14:paraId="1937DE1F" w14:textId="77777777">
      <w:pPr>
        <w:pStyle w:val="Lista"/>
      </w:pPr>
      <w:r>
        <w:t>suppression is normally applicable to instances of dittography (repetition) involving graphically separable chunks of writing, including</w:t>
      </w:r>
    </w:p>
    <w:p w14:paraId="0F510A34" w14:textId="77777777">
      <w:pPr>
        <w:pStyle w:val="Lista2"/>
      </w:pPr>
      <w:r>
        <w:t xml:space="preserve">erroneous repetition of words, e.g. </w:t>
      </w:r>
      <w:r>
        <w:rPr>
          <w:rStyle w:val="Codetext"/>
        </w:rPr>
        <w:t xml:space="preserve">veda-vyāsena vyāsena </w:t>
      </w:r>
      <w:r>
        <w:rPr>
          <w:rStyle w:val="Code"/>
        </w:rPr>
        <w:t>&lt;surplus&gt;</w:t>
      </w:r>
      <w:r>
        <w:rPr>
          <w:rStyle w:val="Codetext"/>
        </w:rPr>
        <w:t>vyāsena</w:t>
      </w:r>
      <w:r>
        <w:rPr>
          <w:rStyle w:val="Code"/>
        </w:rPr>
        <w:t>&lt;/surplus&gt;</w:t>
      </w:r>
      <w:r>
        <w:t xml:space="preserve"> </w:t>
      </w:r>
      <w:r>
        <w:rPr>
          <w:noProof/>
        </w:rPr>
        <w:t>(</w:t>
      </w:r>
      <w:r>
        <w:t xml:space="preserve">three iterations of </w:t>
      </w:r>
      <w:r>
        <w:rPr>
          <w:rStyle w:val="Foreign"/>
        </w:rPr>
        <w:t>vyāsena</w:t>
      </w:r>
      <w:r>
        <w:t xml:space="preserve"> where two iterations are correct)</w:t>
      </w:r>
    </w:p>
    <w:p w14:paraId="3301368C" w14:textId="77777777">
      <w:pPr>
        <w:pStyle w:val="Lista2"/>
      </w:pPr>
      <w:r>
        <w:t xml:space="preserve">erroneous repetition of </w:t>
      </w:r>
      <w:r>
        <w:rPr>
          <w:rStyle w:val="Foreign"/>
        </w:rPr>
        <w:t>akṣara</w:t>
      </w:r>
      <w:r>
        <w:rPr>
          <w:rStyle w:val="Foreign"/>
          <w:i w:val="0"/>
          <w:iCs w:val="0"/>
        </w:rPr>
        <w:t>s</w:t>
      </w:r>
      <w:r>
        <w:t xml:space="preserve">, e.g. </w:t>
      </w:r>
      <w:r>
        <w:rPr>
          <w:rStyle w:val="Codetext"/>
        </w:rPr>
        <w:t>naika-samara-śata</w:t>
      </w:r>
      <w:r>
        <w:rPr>
          <w:rStyle w:val="Code"/>
        </w:rPr>
        <w:t>&lt;surplus&gt;</w:t>
      </w:r>
      <w:r>
        <w:rPr>
          <w:rStyle w:val="Codetext"/>
        </w:rPr>
        <w:t>ta</w:t>
      </w:r>
      <w:r>
        <w:rPr>
          <w:rStyle w:val="Code"/>
        </w:rPr>
        <w:t>&lt;/surplus&gt;</w:t>
      </w:r>
      <w:r>
        <w:rPr>
          <w:rStyle w:val="Codetext"/>
        </w:rPr>
        <w:t>vijayinā</w:t>
      </w:r>
      <w:r>
        <w:t xml:space="preserve"> </w:t>
      </w:r>
      <w:r>
        <w:rPr>
          <w:noProof/>
        </w:rPr>
        <w:t>(</w:t>
      </w:r>
      <w:r>
        <w:rPr>
          <w:rStyle w:val="Foreign"/>
        </w:rPr>
        <w:t>śatata</w:t>
      </w:r>
      <w:r>
        <w:t xml:space="preserve"> was inscribed instead of </w:t>
      </w:r>
      <w:r>
        <w:rPr>
          <w:rStyle w:val="Foreign"/>
        </w:rPr>
        <w:t>śata</w:t>
      </w:r>
      <w:r>
        <w:t>)</w:t>
      </w:r>
    </w:p>
    <w:p w14:paraId="5096618A" w14:textId="77777777">
      <w:pPr>
        <w:pStyle w:val="Lista"/>
      </w:pPr>
      <w:r>
        <w:t>when individual and graphically inseparable superfluous graphemes appear for a reason other than erroneous repetition, choose at your discretion whether to treat them as mistakes and suppress them, or to treat them as non-standard usage and flag them (§</w:t>
      </w:r>
      <w:r>
        <w:fldChar w:fldCharType="begin"/>
      </w:r>
      <w:r>
        <w:instrText xml:space="preserve"> REF _Ref228886903 \r \h </w:instrText>
      </w:r>
      <w:r>
        <w:fldChar w:fldCharType="separate"/>
      </w:r>
      <w:r>
        <w:t>7.4.2</w:t>
      </w:r>
      <w:r>
        <w:fldChar w:fldCharType="end"/>
      </w:r>
      <w:r>
        <w:t>) without suppression or rectify them by substitution (§</w:t>
      </w:r>
      <w:r>
        <w:fldChar w:fldCharType="begin"/>
      </w:r>
      <w:r>
        <w:instrText xml:space="preserve"> REF _Ref228888134 \r \h </w:instrText>
      </w:r>
      <w:r>
        <w:fldChar w:fldCharType="separate"/>
      </w:r>
      <w:r>
        <w:t>7.5.1.2</w:t>
      </w:r>
      <w:r>
        <w:fldChar w:fldCharType="end"/>
      </w:r>
      <w:r>
        <w:t>), including cases such as</w:t>
      </w:r>
    </w:p>
    <w:p w14:paraId="3428CC51" w14:textId="77777777">
      <w:pPr>
        <w:pStyle w:val="Lista2"/>
      </w:pPr>
      <w:r>
        <w:t xml:space="preserve">hypercorrection, e.g. </w:t>
      </w:r>
      <w:r>
        <w:rPr>
          <w:rStyle w:val="Foreign"/>
        </w:rPr>
        <w:t>dattaḥs tataḥ</w:t>
      </w:r>
    </w:p>
    <w:p w14:paraId="1C330975" w14:textId="77777777">
      <w:pPr>
        <w:pStyle w:val="Lista3"/>
        <w:rPr>
          <w:rStyle w:val="Codetext"/>
          <w:rFonts w:ascii="Gentium" w:hAnsi="Gentium" w:cs="Tiro Devanagari Sanskrit"/>
          <w:noProof w:val="0"/>
          <w:color w:val="auto"/>
          <w:shd w:val="clear" w:color="auto" w:fill="auto"/>
        </w:rPr>
      </w:pPr>
      <w:r>
        <w:t xml:space="preserve">suppressed as error: </w:t>
      </w:r>
      <w:r>
        <w:rPr>
          <w:rStyle w:val="Codetext"/>
        </w:rPr>
        <w:t>datta</w:t>
      </w:r>
      <w:r>
        <w:rPr>
          <w:rStyle w:val="Code"/>
        </w:rPr>
        <w:t>&lt;surplus&gt;</w:t>
      </w:r>
      <w:r>
        <w:rPr>
          <w:rStyle w:val="Codetext"/>
        </w:rPr>
        <w:t>ḥ</w:t>
      </w:r>
      <w:r>
        <w:rPr>
          <w:rStyle w:val="Code"/>
        </w:rPr>
        <w:t>&lt;/surplus&gt;</w:t>
      </w:r>
      <w:r>
        <w:rPr>
          <w:rStyle w:val="Codetext"/>
        </w:rPr>
        <w:t>s tataḥ</w:t>
      </w:r>
    </w:p>
    <w:p w14:paraId="6CFE92A9" w14:textId="77777777">
      <w:pPr>
        <w:pStyle w:val="Lista3"/>
      </w:pPr>
      <w:r>
        <w:t xml:space="preserve">flagged as non-standard: </w:t>
      </w:r>
      <w:r>
        <w:rPr>
          <w:rStyle w:val="Codetext"/>
        </w:rPr>
        <w:t>datta</w:t>
      </w:r>
      <w:r>
        <w:rPr>
          <w:rStyle w:val="Code"/>
        </w:rPr>
        <w:t>&lt;orig&gt;</w:t>
      </w:r>
      <w:r>
        <w:rPr>
          <w:rStyle w:val="Codetext"/>
        </w:rPr>
        <w:t>ḥ</w:t>
      </w:r>
      <w:r>
        <w:rPr>
          <w:rStyle w:val="Code"/>
        </w:rPr>
        <w:t>&lt;/orig&gt;</w:t>
      </w:r>
      <w:r>
        <w:rPr>
          <w:rStyle w:val="Codetext"/>
        </w:rPr>
        <w:t>s tataḥ</w:t>
      </w:r>
    </w:p>
    <w:p w14:paraId="7D4D5055" w14:textId="77777777">
      <w:pPr>
        <w:pStyle w:val="Lista3"/>
      </w:pPr>
      <w:r>
        <w:t xml:space="preserve">normalised: </w:t>
      </w:r>
      <w:r>
        <w:rPr>
          <w:rStyle w:val="Codetext"/>
        </w:rPr>
        <w:t>datta</w:t>
      </w:r>
      <w:r>
        <w:rPr>
          <w:rStyle w:val="Code"/>
        </w:rPr>
        <w:t>&lt;choice&gt;&lt;orig&gt;</w:t>
      </w:r>
      <w:r>
        <w:rPr>
          <w:rStyle w:val="Codetext"/>
        </w:rPr>
        <w:t>ḥs</w:t>
      </w:r>
      <w:r>
        <w:rPr>
          <w:rStyle w:val="Code"/>
        </w:rPr>
        <w:t>&lt;/orig&gt;&lt;reg&gt;</w:t>
      </w:r>
      <w:r>
        <w:rPr>
          <w:rStyle w:val="Codetext"/>
        </w:rPr>
        <w:t>s</w:t>
      </w:r>
      <w:r>
        <w:rPr>
          <w:rStyle w:val="Code"/>
        </w:rPr>
        <w:t>&lt;/reg&gt;&lt;/choice&gt;</w:t>
      </w:r>
      <w:r>
        <w:rPr>
          <w:rStyle w:val="Codetext"/>
        </w:rPr>
        <w:t xml:space="preserve"> tataḥ</w:t>
      </w:r>
    </w:p>
    <w:p w14:paraId="1A0FBF4C" w14:textId="77777777">
      <w:pPr>
        <w:pStyle w:val="Lista2"/>
      </w:pPr>
      <w:r>
        <w:t xml:space="preserve">pre-nasalisation, e.g. </w:t>
      </w:r>
      <w:r>
        <w:rPr>
          <w:rStyle w:val="Foreign"/>
        </w:rPr>
        <w:t>putrāṇāṁm api</w:t>
      </w:r>
    </w:p>
    <w:p w14:paraId="692A882B" w14:textId="77777777">
      <w:pPr>
        <w:pStyle w:val="Lista3"/>
        <w:rPr>
          <w:rStyle w:val="Code"/>
          <w:rFonts w:ascii="Gentium" w:hAnsi="Gentium" w:cs="Tiro Devanagari Sanskrit"/>
          <w:noProof w:val="0"/>
          <w:color w:val="auto"/>
          <w:shd w:val="clear" w:color="auto" w:fill="auto"/>
        </w:rPr>
      </w:pPr>
      <w:r>
        <w:t xml:space="preserve">suppressed as error: </w:t>
      </w:r>
      <w:r>
        <w:rPr>
          <w:rStyle w:val="Codetext"/>
        </w:rPr>
        <w:t>putrāṇā</w:t>
      </w:r>
      <w:r>
        <w:rPr>
          <w:rStyle w:val="Code"/>
        </w:rPr>
        <w:t>&lt;surplus&gt;</w:t>
      </w:r>
      <w:r>
        <w:rPr>
          <w:rStyle w:val="Codetext"/>
        </w:rPr>
        <w:t>ṁ</w:t>
      </w:r>
      <w:r>
        <w:rPr>
          <w:rStyle w:val="Code"/>
        </w:rPr>
        <w:t>&lt;/surplus&gt;m api</w:t>
      </w:r>
    </w:p>
    <w:p w14:paraId="1FB6D75A" w14:textId="77777777">
      <w:pPr>
        <w:pStyle w:val="Lista3"/>
      </w:pPr>
      <w:r>
        <w:t xml:space="preserve">flagged as non-standard: </w:t>
      </w:r>
      <w:r>
        <w:rPr>
          <w:rStyle w:val="Codetext"/>
        </w:rPr>
        <w:t>putrāṇā</w:t>
      </w:r>
      <w:r>
        <w:rPr>
          <w:rStyle w:val="Code"/>
        </w:rPr>
        <w:t>&lt;orig&gt;</w:t>
      </w:r>
      <w:r>
        <w:rPr>
          <w:rStyle w:val="Codetext"/>
        </w:rPr>
        <w:t>ṁ</w:t>
      </w:r>
      <w:r>
        <w:rPr>
          <w:rStyle w:val="Code"/>
        </w:rPr>
        <w:t>&lt;/orig&gt;m api</w:t>
      </w:r>
    </w:p>
    <w:p w14:paraId="44706998" w14:textId="77777777">
      <w:pPr>
        <w:pStyle w:val="Lista3"/>
      </w:pPr>
      <w:r>
        <w:t xml:space="preserve">normalised: </w:t>
      </w:r>
      <w:r>
        <w:rPr>
          <w:rStyle w:val="Codetext"/>
        </w:rPr>
        <w:t>putrāṇā</w:t>
      </w:r>
      <w:r>
        <w:rPr>
          <w:rStyle w:val="Code"/>
        </w:rPr>
        <w:t>&lt;choice&gt;&lt;orig&gt;</w:t>
      </w:r>
      <w:r>
        <w:rPr>
          <w:rStyle w:val="Codetext"/>
        </w:rPr>
        <w:t>ṁm</w:t>
      </w:r>
      <w:r>
        <w:rPr>
          <w:rStyle w:val="Code"/>
        </w:rPr>
        <w:t>&lt;/orig&gt;&lt;reg&gt;</w:t>
      </w:r>
      <w:r>
        <w:rPr>
          <w:rStyle w:val="Codetext"/>
        </w:rPr>
        <w:t>m</w:t>
      </w:r>
      <w:r>
        <w:rPr>
          <w:rStyle w:val="Code"/>
        </w:rPr>
        <w:t>&lt;/reg&gt;&lt;/choice&gt;</w:t>
      </w:r>
      <w:r>
        <w:rPr>
          <w:rStyle w:val="Codetext"/>
        </w:rPr>
        <w:t xml:space="preserve"> api</w:t>
      </w:r>
    </w:p>
    <w:p w14:paraId="278FB427" w14:textId="77777777">
      <w:pPr>
        <w:pStyle w:val="Cmsor3"/>
      </w:pPr>
      <w:bookmarkStart w:id="650" w:name="_mhw0d0be1rtp" w:colFirst="0" w:colLast="0"/>
      <w:bookmarkStart w:id="651" w:name="_Ref228873746"/>
      <w:bookmarkStart w:id="652" w:name="_Ref229056324"/>
      <w:bookmarkStart w:id="653" w:name="_Toc243900342"/>
      <w:bookmarkEnd w:id="650"/>
      <w:r>
        <w:t>Restitution</w:t>
      </w:r>
      <w:bookmarkEnd w:id="651"/>
      <w:r>
        <w:t>: editorial addition of omitted text</w:t>
      </w:r>
      <w:bookmarkEnd w:id="652"/>
      <w:bookmarkEnd w:id="653"/>
    </w:p>
    <w:p w14:paraId="4EFEFE08" w14:textId="77777777">
      <w:r>
        <w:t>As noted in §</w:t>
      </w:r>
      <w:r>
        <w:fldChar w:fldCharType="begin"/>
      </w:r>
      <w:r>
        <w:instrText xml:space="preserve"> REF _Ref228885762 \r \h </w:instrText>
      </w:r>
      <w:r>
        <w:fldChar w:fldCharType="separate"/>
      </w:r>
      <w:r>
        <w:t>7.2.1</w:t>
      </w:r>
      <w:r>
        <w:fldChar w:fldCharType="end"/>
      </w:r>
      <w:r>
        <w:t>, editorial restitution is only used in DHARMA practice for supplying text omitted by mistake. When non-standard text can be normalised by adding one or more specific graphemes, use the generic encoding for normalisation by substitution (§</w:t>
      </w:r>
      <w:r>
        <w:fldChar w:fldCharType="begin"/>
      </w:r>
      <w:r>
        <w:instrText xml:space="preserve"> REF _Ref228885848 \r \h </w:instrText>
      </w:r>
      <w:r>
        <w:fldChar w:fldCharType="separate"/>
      </w:r>
      <w:r>
        <w:t>7.5.1.2</w:t>
      </w:r>
      <w:r>
        <w:fldChar w:fldCharType="end"/>
      </w:r>
      <w:r>
        <w:t>), with additional guidance on good practice in §</w:t>
      </w:r>
      <w:r>
        <w:fldChar w:fldCharType="begin"/>
      </w:r>
      <w:r>
        <w:instrText xml:space="preserve"> REF _Ref228957347 \r \h </w:instrText>
      </w:r>
      <w:r>
        <w:fldChar w:fldCharType="separate"/>
      </w:r>
      <w:r>
        <w:t>7.7.2.1</w:t>
      </w:r>
      <w:r>
        <w:fldChar w:fldCharType="end"/>
      </w:r>
      <w:r>
        <w:t>.</w:t>
      </w:r>
    </w:p>
    <w:p w14:paraId="276445C9" w14:textId="77777777">
      <w:pPr>
        <w:pStyle w:val="Normlbehzs"/>
      </w:pPr>
      <w:r>
        <w:t>Scribal omissions that you do not correct are to be encoded as per §</w:t>
      </w:r>
      <w:r>
        <w:fldChar w:fldCharType="begin"/>
      </w:r>
      <w:r>
        <w:instrText xml:space="preserve"> REF _Ref228887612 \r \h </w:instrText>
      </w:r>
      <w:r>
        <w:fldChar w:fldCharType="separate"/>
      </w:r>
      <w:r>
        <w:t>7.6</w:t>
      </w:r>
      <w:r>
        <w:fldChar w:fldCharType="end"/>
      </w:r>
      <w:r>
        <w:t>, while omissions corrected by a premodern editor on the original support are covered under §</w:t>
      </w:r>
      <w:r>
        <w:fldChar w:fldCharType="begin"/>
      </w:r>
      <w:r>
        <w:instrText xml:space="preserve"> REF _Ref43978471 \r \h </w:instrText>
      </w:r>
      <w:r>
        <w:fldChar w:fldCharType="separate"/>
      </w:r>
      <w:r>
        <w:t>5.5.2</w:t>
      </w:r>
      <w:r>
        <w:fldChar w:fldCharType="end"/>
      </w:r>
      <w:r>
        <w:t>.</w:t>
      </w:r>
    </w:p>
    <w:p w14:paraId="4CD5F16E" w14:textId="77777777">
      <w:pPr>
        <w:pStyle w:val="Normlbehzs"/>
      </w:pPr>
      <w:r>
        <w:t>Neither punctuation nor numbering must be supplied at the ends of stanzas or verse lines in DHARMA editions, because the encoding of verse containers (§</w:t>
      </w:r>
      <w:r>
        <w:fldChar w:fldCharType="begin"/>
      </w:r>
      <w:r>
        <w:instrText xml:space="preserve"> REF _Ref224740501 \r \h </w:instrText>
      </w:r>
      <w:r>
        <w:fldChar w:fldCharType="separate"/>
      </w:r>
      <w:r>
        <w:t>3.2.2</w:t>
      </w:r>
      <w:r>
        <w:fldChar w:fldCharType="end"/>
      </w:r>
      <w:r>
        <w:t>) takes care of the segmentation and numeration of metrical units. Guidance for adding editorial punctuation in other situations is given in §</w:t>
      </w:r>
      <w:r>
        <w:fldChar w:fldCharType="begin"/>
      </w:r>
      <w:r>
        <w:instrText xml:space="preserve"> REF _Ref229060537 \r \h </w:instrText>
      </w:r>
      <w:r>
        <w:fldChar w:fldCharType="separate"/>
      </w:r>
      <w:r>
        <w:t>7.8.3</w:t>
      </w:r>
      <w:r>
        <w:fldChar w:fldCharType="end"/>
      </w:r>
      <w:r>
        <w:t xml:space="preserve">, and editorial </w:t>
      </w:r>
      <w:r>
        <w:rPr>
          <w:rStyle w:val="Foreign"/>
        </w:rPr>
        <w:t>avagraha</w:t>
      </w:r>
      <w:r>
        <w:t xml:space="preserve"> is addressed in §</w:t>
      </w:r>
      <w:r>
        <w:fldChar w:fldCharType="begin"/>
      </w:r>
      <w:r>
        <w:instrText xml:space="preserve"> REF _Ref229062653 \r \h </w:instrText>
      </w:r>
      <w:r>
        <w:fldChar w:fldCharType="separate"/>
      </w:r>
      <w:r>
        <w:t>7.8.3</w:t>
      </w:r>
      <w:r>
        <w:fldChar w:fldCharType="end"/>
      </w:r>
      <w:r>
        <w:t>.</w:t>
      </w:r>
    </w:p>
    <w:p w14:paraId="469BF8C1" w14:textId="77777777">
      <w:pPr>
        <w:pStyle w:val="Lista"/>
      </w:pPr>
      <w:r>
        <w:lastRenderedPageBreak/>
        <w:t xml:space="preserve">to restitute graphemes deemed to be omitted by mistake, enclose the added text in the element </w:t>
      </w:r>
      <w:r>
        <w:rPr>
          <w:rStyle w:val="Code"/>
        </w:rPr>
        <w:t>&lt;supplied&gt;</w:t>
      </w:r>
      <w:r>
        <w:t xml:space="preserve"> using the mandatory attribute </w:t>
      </w:r>
      <w:r>
        <w:rPr>
          <w:rStyle w:val="Codeattribute"/>
        </w:rPr>
        <w:t>@reason</w:t>
      </w:r>
      <w:r>
        <w:t xml:space="preserve"> with the value </w:t>
      </w:r>
      <w:r>
        <w:rPr>
          <w:rStyle w:val="Codevalue"/>
        </w:rPr>
        <w:t>"omitted"</w:t>
      </w:r>
      <w:r>
        <w:t xml:space="preserve"> to distinguish this from a restoration of a lacuna </w:t>
      </w:r>
      <w:r>
        <w:rPr>
          <w:noProof/>
        </w:rPr>
        <w:t>(</w:t>
      </w:r>
      <w:r>
        <w:t>§</w:t>
      </w:r>
      <w:r>
        <w:fldChar w:fldCharType="begin"/>
      </w:r>
      <w:r>
        <w:instrText xml:space="preserve"> REF _Ref43979611 \r \h </w:instrText>
      </w:r>
      <w:r>
        <w:fldChar w:fldCharType="separate"/>
      </w:r>
      <w:r>
        <w:t>6.4</w:t>
      </w:r>
      <w:r>
        <w:fldChar w:fldCharType="end"/>
      </w:r>
      <w:r>
        <w:t>)</w:t>
      </w:r>
    </w:p>
    <w:p w14:paraId="68A2DE40" w14:textId="77777777">
      <w:pPr>
        <w:pStyle w:val="Lista2"/>
      </w:pPr>
      <w:r>
        <w:t>before encoding editorial addition, be sure that you have read and understood §</w:t>
      </w:r>
      <w:r>
        <w:fldChar w:fldCharType="begin"/>
      </w:r>
      <w:r>
        <w:instrText xml:space="preserve"> REF _Ref228952859 \r \h </w:instrText>
      </w:r>
      <w:r>
        <w:fldChar w:fldCharType="separate"/>
      </w:r>
      <w:r>
        <w:t>7.7.1</w:t>
      </w:r>
      <w:r>
        <w:fldChar w:fldCharType="end"/>
      </w:r>
    </w:p>
    <w:p w14:paraId="4B352ACB" w14:textId="77777777">
      <w:pPr>
        <w:pStyle w:val="Lista"/>
      </w:pPr>
      <w:r>
        <w:t>restitution is normally applicable to the omission of graphically separable chunks of writing, including</w:t>
      </w:r>
    </w:p>
    <w:p w14:paraId="51B79D04" w14:textId="77777777">
      <w:pPr>
        <w:pStyle w:val="Lista2"/>
      </w:pPr>
      <w:r>
        <w:t xml:space="preserve">omitted </w:t>
      </w:r>
      <w:r>
        <w:rPr>
          <w:rStyle w:val="Foreign"/>
        </w:rPr>
        <w:t>akṣara</w:t>
      </w:r>
      <w:r>
        <w:rPr>
          <w:rStyle w:val="Foreign"/>
          <w:i w:val="0"/>
          <w:iCs w:val="0"/>
        </w:rPr>
        <w:t>s</w:t>
      </w:r>
      <w:r>
        <w:t xml:space="preserve">, e.g. </w:t>
      </w:r>
      <w:r>
        <w:rPr>
          <w:rStyle w:val="Codetext"/>
        </w:rPr>
        <w:t>dhanada-varuṇendrānta</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ka</w:t>
      </w:r>
      <w:r>
        <w:rPr>
          <w:rStyle w:val="Code"/>
        </w:rPr>
        <w:t>&lt;/supplied&gt;</w:t>
      </w:r>
      <w:r>
        <w:rPr>
          <w:rStyle w:val="Codetext"/>
        </w:rPr>
        <w:t>-samasya</w:t>
      </w:r>
    </w:p>
    <w:p w14:paraId="0C0F722E" w14:textId="77777777">
      <w:pPr>
        <w:pStyle w:val="Lista2"/>
        <w:rPr>
          <w:rStyle w:val="Codetext"/>
          <w:rFonts w:ascii="Gentium" w:hAnsi="Gentium" w:cs="Tiro Devanagari Sanskrit"/>
          <w:noProof w:val="0"/>
          <w:color w:val="auto"/>
          <w:shd w:val="clear" w:color="auto" w:fill="auto"/>
        </w:rPr>
      </w:pPr>
      <w:r>
        <w:t xml:space="preserve">omitted words, e.g. </w:t>
      </w:r>
      <w:r>
        <w:rPr>
          <w:rStyle w:val="Codetext"/>
        </w:rPr>
        <w:t xml:space="preserve">tasya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tasya</w:t>
      </w:r>
      <w:r>
        <w:rPr>
          <w:rStyle w:val="Code"/>
        </w:rPr>
        <w:t>&lt;/supplied&gt;</w:t>
      </w:r>
      <w:r>
        <w:rPr>
          <w:rStyle w:val="Codetext"/>
        </w:rPr>
        <w:t xml:space="preserve"> tadā phalaM</w:t>
      </w:r>
    </w:p>
    <w:p w14:paraId="479C0C60" w14:textId="77777777">
      <w:pPr>
        <w:pStyle w:val="Lista2"/>
      </w:pPr>
      <w:r>
        <w:t>longer omitted strings of glyphs, when they can be supplied on the basis of sound conjecture or parallel texts</w:t>
      </w:r>
    </w:p>
    <w:p w14:paraId="4893AB85" w14:textId="77777777">
      <w:pPr>
        <w:pStyle w:val="Lista"/>
      </w:pPr>
      <w:r>
        <w:t>when individual and graphically inseparable graphemes are missing, choose at your discretion whether to treat their absence as a mistake and supply them, or to treat this as non-standard usage and flag their context (§</w:t>
      </w:r>
      <w:r>
        <w:fldChar w:fldCharType="begin"/>
      </w:r>
      <w:r>
        <w:instrText xml:space="preserve"> REF _Ref228886903 \r \h </w:instrText>
      </w:r>
      <w:r>
        <w:fldChar w:fldCharType="separate"/>
      </w:r>
      <w:r>
        <w:t>7.4.2</w:t>
      </w:r>
      <w:r>
        <w:fldChar w:fldCharType="end"/>
      </w:r>
      <w:r>
        <w:t>) without supplying the missing graphemes or rectify them by substitution (§</w:t>
      </w:r>
      <w:r>
        <w:fldChar w:fldCharType="begin"/>
      </w:r>
      <w:r>
        <w:instrText xml:space="preserve"> REF _Ref228888134 \r \h </w:instrText>
      </w:r>
      <w:r>
        <w:fldChar w:fldCharType="separate"/>
      </w:r>
      <w:r>
        <w:t>7.5.1.2</w:t>
      </w:r>
      <w:r>
        <w:fldChar w:fldCharType="end"/>
      </w:r>
      <w:r>
        <w:t xml:space="preserve">), including cases such as </w:t>
      </w:r>
    </w:p>
    <w:p w14:paraId="6427F5B1" w14:textId="77777777">
      <w:pPr>
        <w:pStyle w:val="Lista2"/>
      </w:pPr>
      <w:r>
        <w:t xml:space="preserve">potential non-standard language, e.g. </w:t>
      </w:r>
      <w:r>
        <w:rPr>
          <w:rStyle w:val="Foreign"/>
        </w:rPr>
        <w:t>dhamma</w:t>
      </w:r>
    </w:p>
    <w:p w14:paraId="6C09621D" w14:textId="77777777">
      <w:pPr>
        <w:pStyle w:val="Lista3"/>
      </w:pPr>
      <w:r>
        <w:t xml:space="preserve">restituted: </w:t>
      </w:r>
      <w:r>
        <w:rPr>
          <w:rStyle w:val="Codetext"/>
        </w:rPr>
        <w:t>dha</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r</w:t>
      </w:r>
      <w:r>
        <w:rPr>
          <w:rStyle w:val="Code"/>
        </w:rPr>
        <w:t>&lt;/supplied&gt;</w:t>
      </w:r>
      <w:r>
        <w:rPr>
          <w:rStyle w:val="Codetext"/>
        </w:rPr>
        <w:t>mma</w:t>
      </w:r>
    </w:p>
    <w:p w14:paraId="3F05D212" w14:textId="77777777">
      <w:pPr>
        <w:pStyle w:val="Lista3"/>
      </w:pPr>
      <w:r>
        <w:t xml:space="preserve">flagged as non-standard: </w:t>
      </w:r>
      <w:r>
        <w:rPr>
          <w:rStyle w:val="Codetext"/>
        </w:rPr>
        <w:t>dha</w:t>
      </w:r>
      <w:r>
        <w:rPr>
          <w:rStyle w:val="Code"/>
        </w:rPr>
        <w:t>&lt;orig&gt;</w:t>
      </w:r>
      <w:r>
        <w:rPr>
          <w:rStyle w:val="Codetext"/>
        </w:rPr>
        <w:t>mma</w:t>
      </w:r>
      <w:r>
        <w:rPr>
          <w:rStyle w:val="Code"/>
        </w:rPr>
        <w:t>&lt;/orig&gt;</w:t>
      </w:r>
    </w:p>
    <w:p w14:paraId="5D58C6CB" w14:textId="77777777">
      <w:pPr>
        <w:pStyle w:val="Lista3"/>
      </w:pPr>
      <w:r>
        <w:t xml:space="preserve">normalised: </w:t>
      </w:r>
      <w:r>
        <w:rPr>
          <w:rStyle w:val="Codetext"/>
        </w:rPr>
        <w:t>dha</w:t>
      </w:r>
      <w:r>
        <w:rPr>
          <w:rStyle w:val="Code"/>
        </w:rPr>
        <w:t>&lt;choice&gt;&lt;orig&gt;</w:t>
      </w:r>
      <w:r>
        <w:rPr>
          <w:rStyle w:val="Codetext"/>
        </w:rPr>
        <w:t>mma</w:t>
      </w:r>
      <w:r>
        <w:rPr>
          <w:rStyle w:val="Code"/>
        </w:rPr>
        <w:t>&lt;/orig&gt;&lt;reg&gt;</w:t>
      </w:r>
      <w:r>
        <w:rPr>
          <w:rStyle w:val="Codetext"/>
        </w:rPr>
        <w:t>rmma</w:t>
      </w:r>
      <w:r>
        <w:rPr>
          <w:rStyle w:val="Code"/>
        </w:rPr>
        <w:t>&lt;/reg&gt;&lt;/choice&gt;</w:t>
      </w:r>
    </w:p>
    <w:p w14:paraId="31CF33D0" w14:textId="77777777">
      <w:pPr>
        <w:pStyle w:val="Lista2"/>
      </w:pPr>
      <w:r>
        <w:t xml:space="preserve">probable accidental omission, e.g. </w:t>
      </w:r>
      <w:r>
        <w:rPr>
          <w:rStyle w:val="Foreign"/>
        </w:rPr>
        <w:t>datā</w:t>
      </w:r>
    </w:p>
    <w:p w14:paraId="750372C6" w14:textId="77777777">
      <w:pPr>
        <w:pStyle w:val="Lista3"/>
      </w:pPr>
      <w:r>
        <w:t xml:space="preserve">restituted: </w:t>
      </w:r>
      <w:r>
        <w:rPr>
          <w:rStyle w:val="Codetext"/>
        </w:rPr>
        <w:t>dat</w:t>
      </w:r>
      <w:r>
        <w:rPr>
          <w:rStyle w:val="Code"/>
        </w:rPr>
        <w:t xml:space="preserve">&lt;supplied </w:t>
      </w:r>
      <w:r>
        <w:rPr>
          <w:rStyle w:val="Codeattribute"/>
        </w:rPr>
        <w:t>reason</w:t>
      </w:r>
      <w:r>
        <w:rPr>
          <w:rStyle w:val="Code"/>
        </w:rPr>
        <w:t>=</w:t>
      </w:r>
      <w:r>
        <w:rPr>
          <w:rStyle w:val="Codevalue"/>
        </w:rPr>
        <w:t>"omitted"</w:t>
      </w:r>
      <w:r>
        <w:rPr>
          <w:rStyle w:val="Code"/>
        </w:rPr>
        <w:t>&gt;t&lt;/supplied&gt;</w:t>
      </w:r>
      <w:r>
        <w:rPr>
          <w:rStyle w:val="Codetext"/>
        </w:rPr>
        <w:t>ā</w:t>
      </w:r>
    </w:p>
    <w:p w14:paraId="20570952" w14:textId="77777777">
      <w:pPr>
        <w:pStyle w:val="Lista3"/>
      </w:pPr>
      <w:r>
        <w:t xml:space="preserve">flagged as non-standard: </w:t>
      </w:r>
      <w:r>
        <w:rPr>
          <w:rStyle w:val="Codetext"/>
        </w:rPr>
        <w:t>da</w:t>
      </w:r>
      <w:r>
        <w:rPr>
          <w:rStyle w:val="Code"/>
        </w:rPr>
        <w:t>&lt;orig&gt;</w:t>
      </w:r>
      <w:r>
        <w:rPr>
          <w:rStyle w:val="Codetext"/>
        </w:rPr>
        <w:t>t</w:t>
      </w:r>
      <w:r>
        <w:rPr>
          <w:rStyle w:val="Code"/>
        </w:rPr>
        <w:t>&lt;/surplus&gt;</w:t>
      </w:r>
      <w:r>
        <w:rPr>
          <w:rStyle w:val="Codetext"/>
        </w:rPr>
        <w:t>ā</w:t>
      </w:r>
    </w:p>
    <w:p w14:paraId="460D5E23" w14:textId="77777777">
      <w:pPr>
        <w:pStyle w:val="Lista3"/>
      </w:pPr>
      <w:r>
        <w:t xml:space="preserve">normalised: </w:t>
      </w:r>
      <w:r>
        <w:rPr>
          <w:rStyle w:val="Codetext"/>
        </w:rPr>
        <w:t>da</w:t>
      </w:r>
      <w:r>
        <w:rPr>
          <w:rStyle w:val="Code"/>
        </w:rPr>
        <w:t>&lt;choice&gt;&lt;orig&gt;</w:t>
      </w:r>
      <w:r>
        <w:rPr>
          <w:rStyle w:val="Codetext"/>
        </w:rPr>
        <w:t>t</w:t>
      </w:r>
      <w:r>
        <w:rPr>
          <w:rStyle w:val="Code"/>
        </w:rPr>
        <w:t>&lt;/orig&gt;&lt;reg&gt;</w:t>
      </w:r>
      <w:r>
        <w:rPr>
          <w:rStyle w:val="Codetext"/>
        </w:rPr>
        <w:t>tt</w:t>
      </w:r>
      <w:r>
        <w:rPr>
          <w:rStyle w:val="Code"/>
        </w:rPr>
        <w:t>&lt;/reg&gt;&lt;/choice&gt;</w:t>
      </w:r>
      <w:r>
        <w:rPr>
          <w:rStyle w:val="Codetext"/>
        </w:rPr>
        <w:t>ā</w:t>
      </w:r>
    </w:p>
    <w:p w14:paraId="09E14C45" w14:textId="77777777">
      <w:pPr>
        <w:pStyle w:val="Lista2"/>
      </w:pPr>
      <w:r>
        <w:t xml:space="preserve">when an expected small component </w:t>
      </w:r>
      <w:r>
        <w:rPr>
          <w:noProof/>
        </w:rPr>
        <w:t>(</w:t>
      </w:r>
      <w:r>
        <w:t xml:space="preserve">such as a superscript </w:t>
      </w:r>
      <w:r>
        <w:rPr>
          <w:rStyle w:val="Foreign"/>
        </w:rPr>
        <w:t>r</w:t>
      </w:r>
      <w:r>
        <w:t xml:space="preserve"> or an </w:t>
      </w:r>
      <w:r>
        <w:rPr>
          <w:rStyle w:val="Foreign"/>
        </w:rPr>
        <w:t>anusvāra</w:t>
      </w:r>
      <w:r>
        <w:t xml:space="preserve">) cannot be made out in the original or the facsimile you are working from, consider the state of the support and preferably encode as lost and restored </w:t>
      </w:r>
      <w:r>
        <w:rPr>
          <w:noProof/>
        </w:rPr>
        <w:t>(</w:t>
      </w:r>
      <w:r>
        <w:t>as per §</w:t>
      </w:r>
      <w:r>
        <w:fldChar w:fldCharType="begin"/>
      </w:r>
      <w:r>
        <w:instrText xml:space="preserve"> REF _Ref228459751 \r \h </w:instrText>
      </w:r>
      <w:r>
        <w:fldChar w:fldCharType="separate"/>
      </w:r>
      <w:r>
        <w:t>6.4</w:t>
      </w:r>
      <w:r>
        <w:fldChar w:fldCharType="end"/>
      </w:r>
      <w:r>
        <w:t>) unless you are certain that the cause is scribal omission, not damage to the support</w:t>
      </w:r>
    </w:p>
    <w:p w14:paraId="2337A798" w14:textId="77777777">
      <w:pPr>
        <w:pStyle w:val="Cmsor2"/>
      </w:pPr>
      <w:bookmarkStart w:id="654" w:name="_Ref228887612"/>
      <w:bookmarkStart w:id="655" w:name="_Toc243900343"/>
      <w:r>
        <w:t>Encoding scribal omission without editorial restoration</w:t>
      </w:r>
      <w:bookmarkEnd w:id="654"/>
      <w:bookmarkEnd w:id="655"/>
    </w:p>
    <w:p w14:paraId="2925325C" w14:textId="77777777">
      <w:pPr>
        <w:rPr>
          <w:lang w:eastAsia="en-US" w:bidi="ar-SA"/>
        </w:rPr>
      </w:pPr>
      <w:r>
        <w:rPr>
          <w:lang w:eastAsia="en-US" w:bidi="ar-SA"/>
        </w:rPr>
        <w:t>Occasionally, you may feel certain that something has been omitted from the source (for example because a metrical segment or part of a word is missing), but are unable to restore the omission with any confidence.</w:t>
      </w:r>
    </w:p>
    <w:p w14:paraId="1309B97C" w14:textId="77777777">
      <w:pPr>
        <w:pStyle w:val="Lista"/>
      </w:pPr>
      <w:r>
        <w:t>the encoding of such omissions, like that of lacunae (§</w:t>
      </w:r>
      <w:r>
        <w:fldChar w:fldCharType="begin"/>
      </w:r>
      <w:r>
        <w:instrText xml:space="preserve"> REF _Ref228888638 \r \h </w:instrText>
      </w:r>
      <w:r>
        <w:fldChar w:fldCharType="separate"/>
      </w:r>
      <w:r>
        <w:t>6.5.1</w:t>
      </w:r>
      <w:r>
        <w:fldChar w:fldCharType="end"/>
      </w:r>
      <w:r>
        <w:t xml:space="preserve">), involves the </w:t>
      </w:r>
      <w:r>
        <w:rPr>
          <w:rStyle w:val="Code"/>
        </w:rPr>
        <w:t>&lt;gap/&gt;</w:t>
      </w:r>
      <w:r>
        <w:t xml:space="preserve"> element, with the following attributes</w:t>
      </w:r>
    </w:p>
    <w:p w14:paraId="771D7727" w14:textId="77777777">
      <w:pPr>
        <w:pStyle w:val="Lista2"/>
      </w:pPr>
      <w:r>
        <w:t xml:space="preserve">mandatorily </w:t>
      </w:r>
      <w:r>
        <w:rPr>
          <w:rStyle w:val="Codeattribute"/>
        </w:rPr>
        <w:t>@reason</w:t>
      </w:r>
      <w:r>
        <w:rPr>
          <w:rStyle w:val="Code"/>
        </w:rPr>
        <w:t>=</w:t>
      </w:r>
      <w:r>
        <w:rPr>
          <w:rStyle w:val="Codevalue"/>
        </w:rPr>
        <w:t>"omitted"</w:t>
      </w:r>
    </w:p>
    <w:p w14:paraId="4070FA58" w14:textId="77777777">
      <w:pPr>
        <w:pStyle w:val="Lista2"/>
      </w:pPr>
      <w:r>
        <w:t xml:space="preserve">mandatorily </w:t>
      </w:r>
      <w:r>
        <w:rPr>
          <w:rStyle w:val="Codeattribute"/>
        </w:rPr>
        <w:t>@unit</w:t>
      </w:r>
      <w:r>
        <w:rPr>
          <w:rStyle w:val="Code"/>
        </w:rPr>
        <w:t>=</w:t>
      </w:r>
      <w:r>
        <w:rPr>
          <w:rStyle w:val="Codevalue"/>
        </w:rPr>
        <w:t>"character"</w:t>
      </w:r>
    </w:p>
    <w:p w14:paraId="4940E074" w14:textId="77777777">
      <w:pPr>
        <w:pStyle w:val="Lista2"/>
      </w:pPr>
      <w:r>
        <w:t xml:space="preserve">mandatorily, either </w:t>
      </w:r>
      <w:r>
        <w:rPr>
          <w:rStyle w:val="Codeattribute"/>
        </w:rPr>
        <w:t>@extent</w:t>
      </w:r>
      <w:r>
        <w:t xml:space="preserve"> or </w:t>
      </w:r>
      <w:r>
        <w:rPr>
          <w:rStyle w:val="Codeattribute"/>
        </w:rPr>
        <w:t>@quantity</w:t>
      </w:r>
      <w:r>
        <w:t>, as explained under §</w:t>
      </w:r>
      <w:r>
        <w:fldChar w:fldCharType="begin"/>
      </w:r>
      <w:r>
        <w:instrText xml:space="preserve"> REF _Ref228262228 \r \h </w:instrText>
      </w:r>
      <w:r>
        <w:fldChar w:fldCharType="separate"/>
      </w:r>
      <w:r>
        <w:t>6.5.1.2</w:t>
      </w:r>
      <w:r>
        <w:fldChar w:fldCharType="end"/>
      </w:r>
    </w:p>
    <w:p w14:paraId="58EF9DDA" w14:textId="77777777">
      <w:pPr>
        <w:pStyle w:val="Lista"/>
      </w:pPr>
      <w:r>
        <w:t xml:space="preserve">if such an omission occurs in metrical verse, then encode the prosody of the omitted text by wrapping the </w:t>
      </w:r>
      <w:r>
        <w:rPr>
          <w:rStyle w:val="Code"/>
        </w:rPr>
        <w:t>&lt;gap/&gt;</w:t>
      </w:r>
      <w:r>
        <w:t xml:space="preserve"> element in </w:t>
      </w:r>
      <w:r>
        <w:rPr>
          <w:rStyle w:val="Code"/>
        </w:rPr>
        <w:t>&lt;seg&gt;</w:t>
      </w:r>
      <w:r>
        <w:t xml:space="preserve"> and adding </w:t>
      </w:r>
      <w:r>
        <w:rPr>
          <w:rStyle w:val="Codeattribute"/>
        </w:rPr>
        <w:t>@met</w:t>
      </w:r>
      <w:r>
        <w:t xml:space="preserve"> to the latter, with values as per §</w:t>
      </w:r>
      <w:r>
        <w:fldChar w:fldCharType="begin"/>
      </w:r>
      <w:r>
        <w:instrText xml:space="preserve"> REF _Ref228275301 \r \h </w:instrText>
      </w:r>
      <w:r>
        <w:fldChar w:fldCharType="separate"/>
      </w:r>
      <w:r>
        <w:t>6.5.2.3</w:t>
      </w:r>
      <w:r>
        <w:fldChar w:fldCharType="end"/>
      </w:r>
    </w:p>
    <w:p w14:paraId="7B879A9E" w14:textId="77777777">
      <w:pPr>
        <w:pStyle w:val="Lista2"/>
      </w:pPr>
      <w:r>
        <w:t xml:space="preserve">e.g. in a </w:t>
      </w:r>
      <w:r>
        <w:rPr>
          <w:rStyle w:val="Foreign"/>
        </w:rPr>
        <w:t>śārdūlavikrīḍita</w:t>
      </w:r>
      <w:r>
        <w:t xml:space="preserve"> stanza: </w:t>
      </w:r>
      <w:r>
        <w:rPr>
          <w:rStyle w:val="Codetext"/>
        </w:rPr>
        <w:t>vr̥ttaḥ stutya-ya</w:t>
      </w:r>
      <w:r>
        <w:rPr>
          <w:rStyle w:val="Code"/>
        </w:rPr>
        <w:t xml:space="preserve">&lt;seg </w:t>
      </w:r>
      <w:r>
        <w:rPr>
          <w:rStyle w:val="Codeattribute"/>
        </w:rPr>
        <w:t>met=</w:t>
      </w:r>
      <w:r>
        <w:rPr>
          <w:rStyle w:val="Codevalue"/>
        </w:rPr>
        <w:t>"+-+--"</w:t>
      </w:r>
      <w:r>
        <w:rPr>
          <w:rStyle w:val="Code"/>
        </w:rPr>
        <w:t xml:space="preserve">&gt;&lt;gap </w:t>
      </w:r>
      <w:r>
        <w:rPr>
          <w:rStyle w:val="Codeattribute"/>
        </w:rPr>
        <w:t>reason=</w:t>
      </w:r>
      <w:r>
        <w:rPr>
          <w:rStyle w:val="Codevalue"/>
        </w:rPr>
        <w:t>"omitted"</w:t>
      </w:r>
      <w:r>
        <w:rPr>
          <w:rStyle w:val="Code"/>
        </w:rPr>
        <w:t xml:space="preserve"> </w:t>
      </w:r>
      <w:r>
        <w:rPr>
          <w:rStyle w:val="Codeattribute"/>
        </w:rPr>
        <w:t>quantity=</w:t>
      </w:r>
      <w:r>
        <w:rPr>
          <w:rStyle w:val="Codevalue"/>
        </w:rPr>
        <w:t>"5"</w:t>
      </w:r>
      <w:r>
        <w:rPr>
          <w:rStyle w:val="Code"/>
        </w:rPr>
        <w:t xml:space="preserve"> </w:t>
      </w:r>
      <w:r>
        <w:rPr>
          <w:rStyle w:val="Codeattribute"/>
        </w:rPr>
        <w:t>unit=</w:t>
      </w:r>
      <w:r>
        <w:rPr>
          <w:rStyle w:val="Codevalue"/>
        </w:rPr>
        <w:t>"character"</w:t>
      </w:r>
      <w:r>
        <w:rPr>
          <w:rStyle w:val="Code"/>
        </w:rPr>
        <w:t>/&gt;&lt;/seg&gt;</w:t>
      </w:r>
      <w:r>
        <w:rPr>
          <w:rStyle w:val="Codetext"/>
        </w:rPr>
        <w:t>-matir nnityodayas satyavāK</w:t>
      </w:r>
    </w:p>
    <w:p w14:paraId="1C43AB38" w14:textId="77777777">
      <w:pPr>
        <w:pStyle w:val="Lista"/>
      </w:pPr>
      <w:r>
        <w:t>tentative or alternative restorations for an unrestored lacuna may be discussed in an apparatus note (§</w:t>
      </w:r>
      <w:r>
        <w:fldChar w:fldCharType="begin"/>
      </w:r>
      <w:r>
        <w:instrText xml:space="preserve"> REF _Ref43988104 \w \h  \* MERGEFORMAT </w:instrText>
      </w:r>
      <w:r>
        <w:fldChar w:fldCharType="separate"/>
      </w:r>
      <w:r>
        <w:t>10.7</w:t>
      </w:r>
      <w:r>
        <w:fldChar w:fldCharType="end"/>
      </w:r>
      <w:r>
        <w:t>)</w:t>
      </w:r>
    </w:p>
    <w:p w14:paraId="6B0C34B8" w14:textId="77777777">
      <w:pPr>
        <w:pStyle w:val="Cmsor2"/>
      </w:pPr>
      <w:bookmarkStart w:id="656" w:name="_1tyn3helxkp0" w:colFirst="0" w:colLast="0"/>
      <w:bookmarkStart w:id="657" w:name="_Ref43991017"/>
      <w:bookmarkStart w:id="658" w:name="_Toc243900344"/>
      <w:bookmarkStart w:id="659" w:name="_Ref63674857"/>
      <w:bookmarkStart w:id="660" w:name="_Ref43978756"/>
      <w:bookmarkEnd w:id="656"/>
      <w:r>
        <w:t>Good practice in editorial intervention</w:t>
      </w:r>
      <w:bookmarkEnd w:id="657"/>
      <w:bookmarkEnd w:id="658"/>
    </w:p>
    <w:p w14:paraId="4E4F6B95" w14:textId="77777777">
      <w:pPr>
        <w:pStyle w:val="Cmsor3"/>
      </w:pPr>
      <w:bookmarkStart w:id="661" w:name="_28dwy480zoal" w:colFirst="0" w:colLast="0"/>
      <w:bookmarkStart w:id="662" w:name="_Ref228952859"/>
      <w:bookmarkStart w:id="663" w:name="_Toc243900345"/>
      <w:bookmarkStart w:id="664" w:name="_Ref43981233"/>
      <w:bookmarkEnd w:id="661"/>
      <w:r>
        <w:t>Manipulating graphemes</w:t>
      </w:r>
      <w:bookmarkEnd w:id="662"/>
      <w:bookmarkEnd w:id="663"/>
    </w:p>
    <w:p w14:paraId="57DF0CF8" w14:textId="77777777">
      <w:r>
        <w:t>Since the units to which all our encoding applies are the source graphemes (for which see also §</w:t>
      </w:r>
      <w:r>
        <w:fldChar w:fldCharType="begin"/>
      </w:r>
      <w:r>
        <w:instrText xml:space="preserve"> REF _Ref227844670 \r \h </w:instrText>
      </w:r>
      <w:r>
        <w:fldChar w:fldCharType="separate"/>
      </w:r>
      <w:r>
        <w:t>16.3</w:t>
      </w:r>
      <w:r>
        <w:fldChar w:fldCharType="end"/>
      </w:r>
      <w:r>
        <w:t xml:space="preserve">), editorial intervention can only be, and must always be, represented in our editions in terms of source graphemes, </w:t>
      </w:r>
      <w:r>
        <w:lastRenderedPageBreak/>
        <w:t xml:space="preserve">and not in terms of </w:t>
      </w:r>
      <w:r>
        <w:rPr>
          <w:rStyle w:val="Foreign"/>
        </w:rPr>
        <w:t>akṣara</w:t>
      </w:r>
      <w:r>
        <w:rPr>
          <w:rStyle w:val="Foreign"/>
          <w:i w:val="0"/>
          <w:iCs w:val="0"/>
        </w:rPr>
        <w:t>s</w:t>
      </w:r>
      <w:r>
        <w:t>, target graphemes, phonemes or any other unit. This has the following important implications.</w:t>
      </w:r>
    </w:p>
    <w:p w14:paraId="230157C5" w14:textId="77777777">
      <w:pPr>
        <w:pStyle w:val="Lista"/>
        <w:rPr>
          <w:lang w:eastAsia="en-US" w:bidi="ar-SA"/>
        </w:rPr>
      </w:pPr>
      <w:r>
        <w:rPr>
          <w:lang w:eastAsia="en-US" w:bidi="ar-SA"/>
        </w:rPr>
        <w:t xml:space="preserve">editorial intervention </w:t>
      </w:r>
      <w:r>
        <w:rPr>
          <w:i/>
          <w:iCs/>
          <w:lang w:eastAsia="en-US" w:bidi="ar-SA"/>
        </w:rPr>
        <w:t>can</w:t>
      </w:r>
      <w:r>
        <w:t xml:space="preserve"> apply to a unit smaller than the </w:t>
      </w:r>
      <w:r>
        <w:rPr>
          <w:rStyle w:val="Foreign"/>
        </w:rPr>
        <w:t>akṣara</w:t>
      </w:r>
      <w:r>
        <w:t xml:space="preserve">, so if not all components of a complex </w:t>
      </w:r>
      <w:r>
        <w:rPr>
          <w:rStyle w:val="Foreign"/>
        </w:rPr>
        <w:t>akṣara</w:t>
      </w:r>
      <w:r>
        <w:t xml:space="preserve"> require intervention, then only the specific intervention is to be encoded, and not a substitution of the entire </w:t>
      </w:r>
      <w:r>
        <w:rPr>
          <w:rStyle w:val="Foreign"/>
        </w:rPr>
        <w:t>akṣara</w:t>
      </w:r>
      <w:r>
        <w:t xml:space="preserve"> (as it would usually be shown in an edition printed in an Indic script), for example</w:t>
      </w:r>
    </w:p>
    <w:p w14:paraId="0590D399" w14:textId="77777777">
      <w:pPr>
        <w:pStyle w:val="Lista3"/>
      </w:pPr>
      <w:r>
        <w:t xml:space="preserve">in suppression, </w:t>
      </w:r>
      <w:r>
        <w:rPr>
          <w:rStyle w:val="Codetext"/>
        </w:rPr>
        <w:t>ś</w:t>
      </w:r>
      <w:r>
        <w:rPr>
          <w:rStyle w:val="Code"/>
        </w:rPr>
        <w:t>&lt;surplus&gt;</w:t>
      </w:r>
      <w:r>
        <w:rPr>
          <w:rStyle w:val="Codetext"/>
        </w:rPr>
        <w:t>r</w:t>
      </w:r>
      <w:r>
        <w:rPr>
          <w:rStyle w:val="Code"/>
        </w:rPr>
        <w:t>&lt;/surplus&gt;</w:t>
      </w:r>
      <w:r>
        <w:rPr>
          <w:rStyle w:val="Codetext"/>
        </w:rPr>
        <w:t>āpa</w:t>
      </w:r>
    </w:p>
    <w:p w14:paraId="20123C72" w14:textId="77777777">
      <w:pPr>
        <w:pStyle w:val="Lista4"/>
      </w:pPr>
      <w:r>
        <w:rPr>
          <w:b/>
          <w:bCs/>
        </w:rPr>
        <w:t>not</w:t>
      </w:r>
      <w:r>
        <w:t xml:space="preserve"> </w:t>
      </w:r>
      <w:r>
        <w:rPr>
          <w:rStyle w:val="Code"/>
        </w:rPr>
        <w:t>&lt;choice&gt;&lt;sic&gt;</w:t>
      </w:r>
      <w:r>
        <w:rPr>
          <w:rStyle w:val="Codetext"/>
        </w:rPr>
        <w:t>śrā</w:t>
      </w:r>
      <w:r>
        <w:rPr>
          <w:rStyle w:val="Code"/>
        </w:rPr>
        <w:t>&lt;/sic&gt;&lt;corr&gt;</w:t>
      </w:r>
      <w:r>
        <w:rPr>
          <w:rStyle w:val="Codetext"/>
        </w:rPr>
        <w:t>śā</w:t>
      </w:r>
      <w:r>
        <w:rPr>
          <w:rStyle w:val="Code"/>
        </w:rPr>
        <w:t>&lt;/corr&gt;&lt;/subst&gt;</w:t>
      </w:r>
      <w:r>
        <w:rPr>
          <w:rStyle w:val="Codetext"/>
        </w:rPr>
        <w:t>pa</w:t>
      </w:r>
    </w:p>
    <w:p w14:paraId="76A5AD2A" w14:textId="77777777">
      <w:pPr>
        <w:pStyle w:val="Lista3"/>
        <w:rPr>
          <w:rStyle w:val="Codetext"/>
          <w:rFonts w:ascii="Gentium" w:hAnsi="Gentium" w:cs="Tiro Devanagari Sanskrit"/>
          <w:noProof w:val="0"/>
          <w:color w:val="auto"/>
          <w:shd w:val="clear" w:color="auto" w:fill="auto"/>
        </w:rPr>
      </w:pPr>
      <w:r>
        <w:t xml:space="preserve">in restitution, </w:t>
      </w:r>
      <w:r>
        <w:rPr>
          <w:rStyle w:val="Codetext"/>
        </w:rPr>
        <w:t>tārkṣ</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y</w:t>
      </w:r>
      <w:r>
        <w:rPr>
          <w:rStyle w:val="Code"/>
        </w:rPr>
        <w:t>&lt;/supplied&gt;</w:t>
      </w:r>
      <w:r>
        <w:rPr>
          <w:rStyle w:val="Codetext"/>
        </w:rPr>
        <w:t>a</w:t>
      </w:r>
    </w:p>
    <w:p w14:paraId="4CF11699" w14:textId="77777777">
      <w:pPr>
        <w:pStyle w:val="Lista4"/>
        <w:rPr>
          <w:rStyle w:val="Code"/>
          <w:rFonts w:ascii="Gentium" w:hAnsi="Gentium" w:cs="Tiro Devanagari Sanskrit"/>
          <w:noProof w:val="0"/>
          <w:color w:val="auto"/>
          <w:shd w:val="clear" w:color="auto" w:fill="auto"/>
        </w:rPr>
      </w:pPr>
      <w:r>
        <w:rPr>
          <w:b/>
          <w:bCs/>
        </w:rPr>
        <w:t>not</w:t>
      </w:r>
      <w:r>
        <w:t xml:space="preserve"> </w:t>
      </w:r>
      <w:r>
        <w:rPr>
          <w:rStyle w:val="Codetext"/>
        </w:rPr>
        <w:t>tā</w:t>
      </w:r>
      <w:r>
        <w:rPr>
          <w:rStyle w:val="Code"/>
        </w:rPr>
        <w:t>&lt;choice&gt;&lt;sic&gt;</w:t>
      </w:r>
      <w:r>
        <w:rPr>
          <w:rStyle w:val="Codetext"/>
        </w:rPr>
        <w:t>rkṣa</w:t>
      </w:r>
      <w:r>
        <w:rPr>
          <w:rStyle w:val="Code"/>
        </w:rPr>
        <w:t>&lt;/sic&gt;&lt;corr&gt;</w:t>
      </w:r>
      <w:r>
        <w:rPr>
          <w:rStyle w:val="Codetext"/>
        </w:rPr>
        <w:t>rkṣya</w:t>
      </w:r>
      <w:r>
        <w:rPr>
          <w:rStyle w:val="Code"/>
        </w:rPr>
        <w:t>&lt;/corr&gt;&lt;/subst&gt;</w:t>
      </w:r>
    </w:p>
    <w:p w14:paraId="57FCCC9D" w14:textId="77777777">
      <w:pPr>
        <w:pStyle w:val="Lista3"/>
        <w:rPr>
          <w:rStyle w:val="Codetext"/>
          <w:rFonts w:ascii="Gentium" w:hAnsi="Gentium" w:cs="Tiro Devanagari Sanskrit"/>
          <w:noProof w:val="0"/>
          <w:color w:val="auto"/>
          <w:shd w:val="clear" w:color="auto" w:fill="auto"/>
        </w:rPr>
      </w:pPr>
      <w:r>
        <w:t xml:space="preserve">in substitution, </w:t>
      </w:r>
      <w:r>
        <w:rPr>
          <w:rStyle w:val="Codetext"/>
        </w:rPr>
        <w:t>pa</w:t>
      </w:r>
      <w:r>
        <w:rPr>
          <w:rStyle w:val="Code"/>
        </w:rPr>
        <w:t>&lt;choice&gt;&lt;sic&gt;</w:t>
      </w:r>
      <w:r>
        <w:rPr>
          <w:rStyle w:val="Codetext"/>
        </w:rPr>
        <w:t>t</w:t>
      </w:r>
      <w:r>
        <w:rPr>
          <w:rStyle w:val="Code"/>
        </w:rPr>
        <w:t>&lt;/sic&gt;&lt;corr&gt;</w:t>
      </w:r>
      <w:r>
        <w:rPr>
          <w:rStyle w:val="Codetext"/>
        </w:rPr>
        <w:t>d</w:t>
      </w:r>
      <w:r>
        <w:rPr>
          <w:rStyle w:val="Code"/>
        </w:rPr>
        <w:t>&lt;/corr&gt;&lt;/subst&gt;</w:t>
      </w:r>
      <w:r>
        <w:rPr>
          <w:rStyle w:val="Codetext"/>
        </w:rPr>
        <w:t>ma</w:t>
      </w:r>
    </w:p>
    <w:p w14:paraId="1842857E" w14:textId="77777777">
      <w:pPr>
        <w:pStyle w:val="Lista4"/>
      </w:pPr>
      <w:r>
        <w:rPr>
          <w:b/>
          <w:bCs/>
        </w:rPr>
        <w:t>not</w:t>
      </w:r>
      <w:r>
        <w:t xml:space="preserve"> </w:t>
      </w:r>
      <w:r>
        <w:rPr>
          <w:rStyle w:val="Codetext"/>
        </w:rPr>
        <w:t>pa</w:t>
      </w:r>
      <w:r>
        <w:rPr>
          <w:rStyle w:val="Code"/>
        </w:rPr>
        <w:t>&lt;choice&gt;&lt;sic&gt;</w:t>
      </w:r>
      <w:r>
        <w:rPr>
          <w:rStyle w:val="Codetext"/>
        </w:rPr>
        <w:t>tma</w:t>
      </w:r>
      <w:r>
        <w:rPr>
          <w:rStyle w:val="Code"/>
        </w:rPr>
        <w:t>&lt;/sic&gt;&lt;corr&gt;</w:t>
      </w:r>
      <w:r>
        <w:rPr>
          <w:rStyle w:val="Codetext"/>
        </w:rPr>
        <w:t>dma</w:t>
      </w:r>
      <w:r>
        <w:rPr>
          <w:rStyle w:val="Code"/>
        </w:rPr>
        <w:t>&lt;/corr&gt;&lt;/subst&gt;</w:t>
      </w:r>
    </w:p>
    <w:p w14:paraId="4B08002D" w14:textId="77777777">
      <w:pPr>
        <w:pStyle w:val="Lista"/>
      </w:pPr>
      <w:r>
        <w:t xml:space="preserve">editorial intervention </w:t>
      </w:r>
      <w:r>
        <w:rPr>
          <w:i/>
          <w:iCs/>
        </w:rPr>
        <w:t>cannot</w:t>
      </w:r>
      <w:r>
        <w:t xml:space="preserve"> apply to a unit smaller than the grapheme, so even if the engraver had merely omitted an element or added a superfluous stroke, editorial correction cannot be encoded at this level; instead</w:t>
      </w:r>
    </w:p>
    <w:p w14:paraId="0CFB8A2E" w14:textId="77777777">
      <w:pPr>
        <w:pStyle w:val="Lista2"/>
      </w:pPr>
      <w:r>
        <w:t>the absence or superfluous presence of a non-distinctive element can be annotated if desired, but not represented in markup except by encoding eccentric ductus (§</w:t>
      </w:r>
      <w:r>
        <w:fldChar w:fldCharType="begin"/>
      </w:r>
      <w:r>
        <w:instrText xml:space="preserve"> REF _Ref227942295 \r \h </w:instrText>
      </w:r>
      <w:r>
        <w:fldChar w:fldCharType="separate"/>
      </w:r>
      <w:r>
        <w:t>6.3.1.2</w:t>
      </w:r>
      <w:r>
        <w:fldChar w:fldCharType="end"/>
      </w:r>
      <w:r>
        <w:t>)</w:t>
      </w:r>
    </w:p>
    <w:p w14:paraId="28F0B34C" w14:textId="77777777">
      <w:pPr>
        <w:pStyle w:val="Lista2"/>
      </w:pPr>
      <w:r>
        <w:t>the absence or superfluous presence of a distinctive element must be encoded as a correction of one grapheme to another, for example</w:t>
      </w:r>
    </w:p>
    <w:p w14:paraId="351B2102" w14:textId="77777777">
      <w:pPr>
        <w:pStyle w:val="Lista3"/>
      </w:pPr>
      <w:r>
        <w:t xml:space="preserve">in a script where </w:t>
      </w:r>
      <w:r>
        <w:rPr>
          <w:rStyle w:val="Foreign"/>
        </w:rPr>
        <w:t>ka</w:t>
      </w:r>
      <w:r>
        <w:t xml:space="preserve"> differs from </w:t>
      </w:r>
      <w:r>
        <w:rPr>
          <w:rStyle w:val="Foreign"/>
        </w:rPr>
        <w:t>ra</w:t>
      </w:r>
      <w:r>
        <w:t xml:space="preserve"> only in the presence of a cross-stroke in the former, and the scribe erroneously engraved </w:t>
      </w:r>
      <w:r>
        <w:rPr>
          <w:rStyle w:val="Foreign"/>
        </w:rPr>
        <w:t>lora</w:t>
      </w:r>
      <w:r>
        <w:t xml:space="preserve"> instead of </w:t>
      </w:r>
      <w:r>
        <w:rPr>
          <w:rStyle w:val="Foreign"/>
        </w:rPr>
        <w:t>loka</w:t>
      </w:r>
      <w:r>
        <w:t xml:space="preserve">, your rectification of that error is a correction of </w:t>
      </w:r>
      <w:r>
        <w:rPr>
          <w:rStyle w:val="Foreign"/>
        </w:rPr>
        <w:t>r</w:t>
      </w:r>
      <w:r>
        <w:t xml:space="preserve"> to </w:t>
      </w:r>
      <w:r>
        <w:rPr>
          <w:rStyle w:val="Foreign"/>
        </w:rPr>
        <w:t>k</w:t>
      </w:r>
      <w:r>
        <w:t xml:space="preserve">: </w:t>
      </w:r>
      <w:r>
        <w:rPr>
          <w:rStyle w:val="Codetext"/>
        </w:rPr>
        <w:t>lo</w:t>
      </w:r>
      <w:r>
        <w:rPr>
          <w:rStyle w:val="Code"/>
        </w:rPr>
        <w:t>&lt;choice&gt;&lt;sic&gt;</w:t>
      </w:r>
      <w:r>
        <w:rPr>
          <w:rStyle w:val="Codetext"/>
        </w:rPr>
        <w:t>r</w:t>
      </w:r>
      <w:r>
        <w:rPr>
          <w:rStyle w:val="Code"/>
        </w:rPr>
        <w:t>&lt;/sic&gt;&lt;corr&gt;</w:t>
      </w:r>
      <w:r>
        <w:rPr>
          <w:rStyle w:val="Codetext"/>
        </w:rPr>
        <w:t>k</w:t>
      </w:r>
      <w:r>
        <w:rPr>
          <w:rStyle w:val="Code"/>
        </w:rPr>
        <w:t>&lt;/corr&gt;&lt;/choice&gt;</w:t>
      </w:r>
      <w:r>
        <w:rPr>
          <w:rStyle w:val="Codetext"/>
        </w:rPr>
        <w:t>a</w:t>
      </w:r>
    </w:p>
    <w:p w14:paraId="6CCE1E9E" w14:textId="77777777">
      <w:pPr>
        <w:pStyle w:val="Lista4"/>
      </w:pPr>
      <w:r>
        <w:t xml:space="preserve">and not an editorial restitution </w:t>
      </w:r>
      <w:r>
        <w:rPr>
          <w:noProof/>
        </w:rPr>
        <w:t>(</w:t>
      </w:r>
      <w:r>
        <w:t>of the cross-stroke), even though the scribe’s physical error was the omission of a graphic element</w:t>
      </w:r>
    </w:p>
    <w:p w14:paraId="3A798BE2" w14:textId="77777777">
      <w:pPr>
        <w:pStyle w:val="Lista3"/>
      </w:pPr>
      <w:r>
        <w:t xml:space="preserve">in a script where </w:t>
      </w:r>
      <w:r>
        <w:rPr>
          <w:rStyle w:val="Foreign"/>
        </w:rPr>
        <w:t>śa</w:t>
      </w:r>
      <w:r>
        <w:t xml:space="preserve"> differs from </w:t>
      </w:r>
      <w:r>
        <w:rPr>
          <w:rStyle w:val="Foreign"/>
        </w:rPr>
        <w:t>ga</w:t>
      </w:r>
      <w:r>
        <w:t xml:space="preserve"> only in that the former has a cross-stroke, and the scribe erroneously engraved </w:t>
      </w:r>
      <w:r>
        <w:rPr>
          <w:rStyle w:val="Foreign"/>
        </w:rPr>
        <w:t>śuṇa</w:t>
      </w:r>
      <w:r>
        <w:t xml:space="preserve"> instead of </w:t>
      </w:r>
      <w:r>
        <w:rPr>
          <w:rStyle w:val="Foreign"/>
        </w:rPr>
        <w:t>guṇa</w:t>
      </w:r>
      <w:r>
        <w:t xml:space="preserve">, your rectification of that error is a correction of </w:t>
      </w:r>
      <w:r>
        <w:rPr>
          <w:rStyle w:val="Foreign"/>
        </w:rPr>
        <w:t>ś</w:t>
      </w:r>
      <w:r>
        <w:t xml:space="preserve"> to </w:t>
      </w:r>
      <w:r>
        <w:rPr>
          <w:rStyle w:val="Foreign"/>
        </w:rPr>
        <w:t>g</w:t>
      </w:r>
      <w:r>
        <w:t xml:space="preserve">: </w:t>
      </w:r>
      <w:r>
        <w:rPr>
          <w:rStyle w:val="Code"/>
        </w:rPr>
        <w:t>&lt;choice&gt;&lt;sic&gt;</w:t>
      </w:r>
      <w:r>
        <w:rPr>
          <w:rStyle w:val="Codetext"/>
        </w:rPr>
        <w:t>ś</w:t>
      </w:r>
      <w:r>
        <w:rPr>
          <w:rStyle w:val="Code"/>
        </w:rPr>
        <w:t>&lt;/sic&gt;&lt;corr&gt;</w:t>
      </w:r>
      <w:r>
        <w:rPr>
          <w:rStyle w:val="Codetext"/>
        </w:rPr>
        <w:t>g</w:t>
      </w:r>
      <w:r>
        <w:rPr>
          <w:rStyle w:val="Code"/>
        </w:rPr>
        <w:t>&lt;/corr&gt;&lt;/choice&gt;</w:t>
      </w:r>
      <w:r>
        <w:rPr>
          <w:rStyle w:val="Codetext"/>
        </w:rPr>
        <w:t>u</w:t>
      </w:r>
      <w:r>
        <w:rPr>
          <w:rStyle w:val="Code"/>
        </w:rPr>
        <w:t>ṇ</w:t>
      </w:r>
      <w:r>
        <w:rPr>
          <w:rStyle w:val="Codetext"/>
        </w:rPr>
        <w:t>a</w:t>
      </w:r>
    </w:p>
    <w:p w14:paraId="63F839F0" w14:textId="77777777">
      <w:pPr>
        <w:pStyle w:val="Lista4"/>
      </w:pPr>
      <w:r>
        <w:t xml:space="preserve">and not an editorial suppression </w:t>
      </w:r>
      <w:r>
        <w:rPr>
          <w:noProof/>
        </w:rPr>
        <w:t>(</w:t>
      </w:r>
      <w:r>
        <w:t>of the cross-stroke), even though the scribe’s physical error was the engraving of a superfluous glyph component</w:t>
      </w:r>
    </w:p>
    <w:p w14:paraId="44D3880D" w14:textId="77777777">
      <w:pPr>
        <w:pStyle w:val="Lista"/>
      </w:pPr>
      <w:r>
        <w:t xml:space="preserve">due to the nature of aksharic writing, the suppression or restitution of certain graphs (namely of a vowel marker or </w:t>
      </w:r>
      <w:r>
        <w:rPr>
          <w:rStyle w:val="Foreign"/>
        </w:rPr>
        <w:t>virāma</w:t>
      </w:r>
      <w:r>
        <w:t xml:space="preserve">) may result in the </w:t>
      </w:r>
      <w:r>
        <w:rPr>
          <w:i/>
          <w:iCs/>
        </w:rPr>
        <w:t>substitution</w:t>
      </w:r>
      <w:r>
        <w:t xml:space="preserve"> of one grapheme by another (viz. of the marked vowel or </w:t>
      </w:r>
      <w:r>
        <w:rPr>
          <w:rStyle w:val="Foreign"/>
        </w:rPr>
        <w:t>virāma</w:t>
      </w:r>
      <w:r>
        <w:t xml:space="preserve"> by the default vowel, or vice versa), which must be encoded as substitution rather than suppression or restitution; for example</w:t>
      </w:r>
    </w:p>
    <w:p w14:paraId="021728BA" w14:textId="77777777">
      <w:pPr>
        <w:pStyle w:val="Lista2"/>
      </w:pPr>
      <w:r>
        <w:t xml:space="preserve">if the scribe engraved </w:t>
      </w:r>
      <w:r>
        <w:rPr>
          <w:rStyle w:val="Foreign"/>
        </w:rPr>
        <w:t>mahāraja</w:t>
      </w:r>
      <w:r>
        <w:t xml:space="preserve"> and you correct this to </w:t>
      </w:r>
      <w:r>
        <w:rPr>
          <w:rStyle w:val="Foreign"/>
        </w:rPr>
        <w:t>mahārāja</w:t>
      </w:r>
      <w:r>
        <w:t xml:space="preserve">, your rectification of that error is a correction of </w:t>
      </w:r>
      <w:r>
        <w:rPr>
          <w:rStyle w:val="Foreign"/>
        </w:rPr>
        <w:t>a</w:t>
      </w:r>
      <w:r>
        <w:t xml:space="preserve"> to </w:t>
      </w:r>
      <w:r>
        <w:rPr>
          <w:rStyle w:val="Foreign"/>
        </w:rPr>
        <w:t>ā</w:t>
      </w:r>
      <w:r>
        <w:t xml:space="preserve">: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ja</w:t>
      </w:r>
    </w:p>
    <w:p w14:paraId="4D821E6B" w14:textId="77777777">
      <w:pPr>
        <w:pStyle w:val="Lista3"/>
      </w:pPr>
      <w:r>
        <w:t xml:space="preserve">and not an editorial restitution </w:t>
      </w:r>
      <w:r>
        <w:rPr>
          <w:noProof/>
        </w:rPr>
        <w:t>(</w:t>
      </w:r>
      <w:r>
        <w:t>of the vowel marker), even though the scribe’s physical error was the omission of a glyph component</w:t>
      </w:r>
    </w:p>
    <w:p w14:paraId="13D5C738" w14:textId="77777777">
      <w:pPr>
        <w:pStyle w:val="Lista3"/>
      </w:pPr>
      <w:r>
        <w:t xml:space="preserve">while </w:t>
      </w:r>
      <w:r>
        <w:rPr>
          <w:rStyle w:val="Codetext"/>
        </w:rPr>
        <w:t>mahār</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ā</w:t>
      </w:r>
      <w:r>
        <w:rPr>
          <w:rStyle w:val="Code"/>
        </w:rPr>
        <w:t>&lt;/supplied&gt;</w:t>
      </w:r>
      <w:r>
        <w:rPr>
          <w:rStyle w:val="Codetext"/>
        </w:rPr>
        <w:t>ja</w:t>
      </w:r>
      <w:r>
        <w:t xml:space="preserve"> would mean that the received reading is </w:t>
      </w:r>
      <w:r>
        <w:rPr>
          <w:rStyle w:val="Foreign"/>
        </w:rPr>
        <w:t>mahārja</w:t>
      </w:r>
      <w:r>
        <w:t xml:space="preserve">, which you correct to </w:t>
      </w:r>
      <w:r>
        <w:rPr>
          <w:rStyle w:val="Foreign"/>
        </w:rPr>
        <w:t>mahārāja</w:t>
      </w:r>
    </w:p>
    <w:p w14:paraId="0B485962" w14:textId="77777777">
      <w:pPr>
        <w:pStyle w:val="Lista2"/>
      </w:pPr>
      <w:r>
        <w:t xml:space="preserve">if the scribe engraved </w:t>
      </w:r>
      <w:r>
        <w:rPr>
          <w:rStyle w:val="Foreign"/>
        </w:rPr>
        <w:t>viditim</w:t>
      </w:r>
      <w:r>
        <w:t xml:space="preserve"> and you correct this to </w:t>
      </w:r>
      <w:r>
        <w:rPr>
          <w:rStyle w:val="Foreign"/>
        </w:rPr>
        <w:t>viditam</w:t>
      </w:r>
      <w:r>
        <w:t xml:space="preserve">, your rectification of that error is a correction of </w:t>
      </w:r>
      <w:r>
        <w:rPr>
          <w:rStyle w:val="Foreign"/>
        </w:rPr>
        <w:t>i</w:t>
      </w:r>
      <w:r>
        <w:t xml:space="preserve"> to </w:t>
      </w:r>
      <w:r>
        <w:rPr>
          <w:rStyle w:val="Foreign"/>
        </w:rPr>
        <w:t>a</w:t>
      </w:r>
      <w:r>
        <w:t xml:space="preserve">: </w:t>
      </w:r>
      <w:r>
        <w:rPr>
          <w:rStyle w:val="Codetext"/>
        </w:rPr>
        <w:t>vidit</w:t>
      </w:r>
      <w:r>
        <w:rPr>
          <w:rStyle w:val="Code"/>
        </w:rPr>
        <w:t>&lt;choice&gt;&lt;sic&gt;</w:t>
      </w:r>
      <w:r>
        <w:rPr>
          <w:rStyle w:val="Codetext"/>
        </w:rPr>
        <w:t>i</w:t>
      </w:r>
      <w:r>
        <w:rPr>
          <w:rStyle w:val="Code"/>
        </w:rPr>
        <w:t>&lt;/sic&gt;&lt;corr&gt;</w:t>
      </w:r>
      <w:r>
        <w:rPr>
          <w:rStyle w:val="Codetext"/>
        </w:rPr>
        <w:t>a</w:t>
      </w:r>
      <w:r>
        <w:rPr>
          <w:rStyle w:val="Code"/>
        </w:rPr>
        <w:t>&lt;/corr&gt;&lt;/choice&gt;</w:t>
      </w:r>
      <w:r>
        <w:rPr>
          <w:rStyle w:val="Codetext"/>
        </w:rPr>
        <w:t>m</w:t>
      </w:r>
    </w:p>
    <w:p w14:paraId="7199B441" w14:textId="77777777">
      <w:pPr>
        <w:pStyle w:val="Lista3"/>
      </w:pPr>
      <w:r>
        <w:t xml:space="preserve">and not an editorial suppression </w:t>
      </w:r>
      <w:r>
        <w:rPr>
          <w:noProof/>
        </w:rPr>
        <w:t>(</w:t>
      </w:r>
      <w:r>
        <w:t>of the vowel marker), even though the scribe’s physical error was the engraving of a superfluous glyph component</w:t>
      </w:r>
    </w:p>
    <w:p w14:paraId="30A50F89" w14:textId="77777777">
      <w:pPr>
        <w:pStyle w:val="Lista3"/>
        <w:rPr>
          <w:rStyle w:val="Foreign"/>
          <w:i w:val="0"/>
          <w:noProof w:val="0"/>
        </w:rPr>
      </w:pPr>
      <w:r>
        <w:t xml:space="preserve">while </w:t>
      </w:r>
      <w:r>
        <w:rPr>
          <w:rStyle w:val="Codetext"/>
        </w:rPr>
        <w:t>vidit</w:t>
      </w:r>
      <w:r>
        <w:rPr>
          <w:rStyle w:val="Code"/>
        </w:rPr>
        <w:t>&lt;surplus&gt;</w:t>
      </w:r>
      <w:r>
        <w:rPr>
          <w:rStyle w:val="Codetext"/>
        </w:rPr>
        <w:t>i</w:t>
      </w:r>
      <w:r>
        <w:rPr>
          <w:rStyle w:val="Code"/>
        </w:rPr>
        <w:t>&lt;/surplus&gt;</w:t>
      </w:r>
      <w:r>
        <w:rPr>
          <w:rStyle w:val="Codetext"/>
        </w:rPr>
        <w:t>m</w:t>
      </w:r>
      <w:r>
        <w:t xml:space="preserve"> would mean that your intended correction is </w:t>
      </w:r>
      <w:r>
        <w:rPr>
          <w:rStyle w:val="Foreign"/>
        </w:rPr>
        <w:t>viditm</w:t>
      </w:r>
    </w:p>
    <w:p w14:paraId="4751C03A" w14:textId="77777777">
      <w:pPr>
        <w:pStyle w:val="Lista2"/>
      </w:pPr>
      <w:r>
        <w:t xml:space="preserve">if the scribe engraved </w:t>
      </w:r>
      <w:r>
        <w:rPr>
          <w:rStyle w:val="Foreign"/>
        </w:rPr>
        <w:t>śrīmāna</w:t>
      </w:r>
      <w:r>
        <w:t xml:space="preserve"> and you correct this to </w:t>
      </w:r>
      <w:r>
        <w:rPr>
          <w:rStyle w:val="Foreign"/>
        </w:rPr>
        <w:t>śrīmān·</w:t>
      </w:r>
      <w:r>
        <w:t xml:space="preserve">, your rectification of that error is a correction of </w:t>
      </w:r>
      <w:r>
        <w:rPr>
          <w:rStyle w:val="Foreign"/>
        </w:rPr>
        <w:t>a</w:t>
      </w:r>
      <w:r>
        <w:t xml:space="preserve"> to </w:t>
      </w:r>
      <w:r>
        <w:rPr>
          <w:rStyle w:val="Foreign"/>
        </w:rPr>
        <w:t>virāma</w:t>
      </w:r>
      <w:r>
        <w:t xml:space="preserve">: </w:t>
      </w:r>
      <w:r>
        <w:rPr>
          <w:rStyle w:val="Codetext"/>
        </w:rPr>
        <w:t>śrīmān</w:t>
      </w:r>
      <w:r>
        <w:rPr>
          <w:rStyle w:val="Code"/>
        </w:rPr>
        <w:t>&lt;choice&gt;&lt;sic&gt;</w:t>
      </w:r>
      <w:r>
        <w:rPr>
          <w:rStyle w:val="Codetext"/>
        </w:rPr>
        <w:t>a</w:t>
      </w:r>
      <w:r>
        <w:rPr>
          <w:rStyle w:val="Code"/>
        </w:rPr>
        <w:t>&lt;/sic&gt;&lt;corr&gt;</w:t>
      </w:r>
      <w:r>
        <w:rPr>
          <w:rStyle w:val="Codetext"/>
        </w:rPr>
        <w:t>·</w:t>
      </w:r>
      <w:r>
        <w:rPr>
          <w:rStyle w:val="Code"/>
        </w:rPr>
        <w:t>&lt;/corr&gt;&lt;/choice&gt;</w:t>
      </w:r>
    </w:p>
    <w:p w14:paraId="26485986" w14:textId="77777777">
      <w:pPr>
        <w:pStyle w:val="Lista3"/>
      </w:pPr>
      <w:r>
        <w:t xml:space="preserve">instead of restituting a </w:t>
      </w:r>
      <w:r>
        <w:rPr>
          <w:rStyle w:val="Foreign"/>
        </w:rPr>
        <w:t>virāma</w:t>
      </w:r>
      <w:r>
        <w:t>, you may choose simply to suppress the inherent vowel</w:t>
      </w:r>
    </w:p>
    <w:p w14:paraId="409F2519" w14:textId="77777777">
      <w:pPr>
        <w:pStyle w:val="Lista4"/>
      </w:pPr>
      <w:r>
        <w:t xml:space="preserve">this will assert that your correct text, had it been present in the original, would have been written with a ligature (conjoining the final </w:t>
      </w:r>
      <w:r>
        <w:rPr>
          <w:rStyle w:val="Foreign"/>
        </w:rPr>
        <w:t>n</w:t>
      </w:r>
      <w:r>
        <w:t xml:space="preserve"> to the next </w:t>
      </w:r>
      <w:r>
        <w:rPr>
          <w:rStyle w:val="Foreign"/>
        </w:rPr>
        <w:t>akṣara</w:t>
      </w:r>
      <w:r>
        <w:t>) rather than in hiatus</w:t>
      </w:r>
    </w:p>
    <w:p w14:paraId="345F0B7F" w14:textId="77777777">
      <w:pPr>
        <w:pStyle w:val="Lista4"/>
        <w:rPr>
          <w:rStyle w:val="Foreign"/>
          <w:i w:val="0"/>
          <w:iCs w:val="0"/>
          <w:noProof w:val="0"/>
        </w:rPr>
      </w:pPr>
      <w:r>
        <w:t xml:space="preserve">e.g. </w:t>
      </w:r>
      <w:r>
        <w:rPr>
          <w:rStyle w:val="Codetext"/>
        </w:rPr>
        <w:t>śrīmān</w:t>
      </w:r>
      <w:r>
        <w:rPr>
          <w:rStyle w:val="Code"/>
        </w:rPr>
        <w:t>&lt;surplus&gt;</w:t>
      </w:r>
      <w:r>
        <w:rPr>
          <w:rStyle w:val="Codetext"/>
        </w:rPr>
        <w:t>a</w:t>
      </w:r>
      <w:r>
        <w:rPr>
          <w:rStyle w:val="Code"/>
        </w:rPr>
        <w:t>&lt;/surplus&gt;</w:t>
      </w:r>
      <w:r>
        <w:rPr>
          <w:rStyle w:val="Codetext"/>
        </w:rPr>
        <w:t xml:space="preserve"> mahārājaḥ</w:t>
      </w:r>
      <w:r>
        <w:t xml:space="preserve">, where the text corrected by you and written in the original writing system would have involved the ligature </w:t>
      </w:r>
      <w:r>
        <w:rPr>
          <w:rStyle w:val="Foreign"/>
        </w:rPr>
        <w:t>nma</w:t>
      </w:r>
    </w:p>
    <w:p w14:paraId="3D48D1B1" w14:textId="77777777">
      <w:pPr>
        <w:pStyle w:val="Lista3"/>
      </w:pPr>
      <w:r>
        <w:t>if the original document employs special final forms of consonants, then the editorial correction is different again, as illustrated in the next point</w:t>
      </w:r>
    </w:p>
    <w:p w14:paraId="2DA142E0" w14:textId="77777777">
      <w:pPr>
        <w:pStyle w:val="Lista"/>
      </w:pPr>
      <w:r>
        <w:lastRenderedPageBreak/>
        <w:t>also due to the nature of aksharic writing, the suppression or restitution of certain graphemes may entail the changing of an adjacent grapheme; for example</w:t>
      </w:r>
    </w:p>
    <w:p w14:paraId="1E8F6178" w14:textId="77777777">
      <w:pPr>
        <w:pStyle w:val="Lista2"/>
      </w:pPr>
      <w:r>
        <w:t>supplying a consonant before an initial vowel form requires the transformation of that initial vowel into a dependent vowel</w:t>
      </w:r>
    </w:p>
    <w:p w14:paraId="7D9B071D" w14:textId="77777777">
      <w:pPr>
        <w:pStyle w:val="Lista3"/>
      </w:pPr>
      <w:r>
        <w:t xml:space="preserve">e.g. correcting </w:t>
      </w:r>
      <w:r>
        <w:rPr>
          <w:rStyle w:val="Foreign"/>
        </w:rPr>
        <w:t>Adharma</w:t>
      </w:r>
      <w:r>
        <w:t xml:space="preserve"> to </w:t>
      </w:r>
      <w:r>
        <w:rPr>
          <w:rStyle w:val="Foreign"/>
        </w:rPr>
        <w:t>sadharma</w:t>
      </w:r>
      <w:r>
        <w:t xml:space="preserve"> is not simply a restitution of </w:t>
      </w:r>
      <w:r>
        <w:rPr>
          <w:rStyle w:val="Foreign"/>
        </w:rPr>
        <w:t>s</w:t>
      </w:r>
      <w:r>
        <w:t xml:space="preserve">, but a correction of </w:t>
      </w:r>
      <w:r>
        <w:rPr>
          <w:rStyle w:val="Foreign"/>
        </w:rPr>
        <w:t>A</w:t>
      </w:r>
      <w:r>
        <w:t xml:space="preserve"> to </w:t>
      </w:r>
      <w:r>
        <w:rPr>
          <w:rStyle w:val="Foreign"/>
        </w:rPr>
        <w:t>sa</w:t>
      </w:r>
      <w:r>
        <w:t xml:space="preserve">: </w:t>
      </w:r>
      <w:r>
        <w:rPr>
          <w:rStyle w:val="Code"/>
        </w:rPr>
        <w:t>&lt;choice&gt;&lt;sic&gt;</w:t>
      </w:r>
      <w:r>
        <w:rPr>
          <w:rStyle w:val="Codetext"/>
        </w:rPr>
        <w:t>A</w:t>
      </w:r>
      <w:r>
        <w:rPr>
          <w:rStyle w:val="Code"/>
        </w:rPr>
        <w:t>&lt;/sic&gt;&lt;corr&gt;</w:t>
      </w:r>
      <w:r>
        <w:rPr>
          <w:rStyle w:val="Codetext"/>
        </w:rPr>
        <w:t>sa</w:t>
      </w:r>
      <w:r>
        <w:rPr>
          <w:rStyle w:val="Code"/>
        </w:rPr>
        <w:t>&lt;/corr&gt;&lt;/choice&gt;</w:t>
      </w:r>
      <w:r>
        <w:rPr>
          <w:rStyle w:val="Codetext"/>
        </w:rPr>
        <w:t>dharma</w:t>
      </w:r>
    </w:p>
    <w:p w14:paraId="3F6CF186" w14:textId="77777777">
      <w:pPr>
        <w:pStyle w:val="Lista2"/>
      </w:pPr>
      <w:r>
        <w:t>suppressing a vowel in a final position may require the transformation of the preceding consonant into a final form (if the writing system in question employs final consonant forms and one is applicable in the context)</w:t>
      </w:r>
    </w:p>
    <w:p w14:paraId="517A839C" w14:textId="77777777">
      <w:pPr>
        <w:pStyle w:val="Lista3"/>
      </w:pPr>
      <w:r>
        <w:t xml:space="preserve">e.g. correcting </w:t>
      </w:r>
      <w:r>
        <w:rPr>
          <w:rStyle w:val="Foreign"/>
        </w:rPr>
        <w:t>śrīmāna</w:t>
      </w:r>
      <w:r>
        <w:t xml:space="preserve"> to </w:t>
      </w:r>
      <w:r>
        <w:rPr>
          <w:rStyle w:val="Foreign"/>
        </w:rPr>
        <w:t>śrīmāN</w:t>
      </w:r>
      <w:r>
        <w:t xml:space="preserve"> is not simply the suppression of </w:t>
      </w:r>
      <w:r>
        <w:rPr>
          <w:rStyle w:val="Foreign"/>
        </w:rPr>
        <w:t>a</w:t>
      </w:r>
      <w:r>
        <w:t xml:space="preserve">, but a correction of </w:t>
      </w:r>
      <w:r>
        <w:rPr>
          <w:rStyle w:val="Foreign"/>
        </w:rPr>
        <w:t>na</w:t>
      </w:r>
      <w:r>
        <w:t xml:space="preserve"> to </w:t>
      </w:r>
      <w:r>
        <w:rPr>
          <w:rStyle w:val="Foreign"/>
        </w:rPr>
        <w:t>N</w:t>
      </w:r>
      <w:r>
        <w:t xml:space="preserve">: </w:t>
      </w:r>
      <w:r>
        <w:rPr>
          <w:rStyle w:val="Codetext"/>
        </w:rPr>
        <w:t>śrīmā</w:t>
      </w:r>
      <w:r>
        <w:rPr>
          <w:rStyle w:val="Code"/>
        </w:rPr>
        <w:t>&lt;choice&gt;&lt;sic&gt;</w:t>
      </w:r>
      <w:r>
        <w:rPr>
          <w:rStyle w:val="Codetext"/>
        </w:rPr>
        <w:t>na</w:t>
      </w:r>
      <w:r>
        <w:rPr>
          <w:rStyle w:val="Code"/>
        </w:rPr>
        <w:t>&lt;/sic&gt;&lt;corr&gt;</w:t>
      </w:r>
      <w:r>
        <w:rPr>
          <w:rStyle w:val="Codetext"/>
        </w:rPr>
        <w:t>N</w:t>
      </w:r>
      <w:r>
        <w:rPr>
          <w:rStyle w:val="Code"/>
        </w:rPr>
        <w:t>&lt;/corr&gt;&lt;/choice&gt;</w:t>
      </w:r>
    </w:p>
    <w:p w14:paraId="6417E105" w14:textId="77777777">
      <w:pPr>
        <w:pStyle w:val="Lista"/>
      </w:pPr>
      <w:r>
        <w:t>due to the nature of our transliteration scheme, some source graphemes are represented by digraphs in our editions, but an editorial change that apparently affects only part of a digraph (a single target grapheme) in fact affects a complete source grapheme (represented by two target graphemes); for example</w:t>
      </w:r>
    </w:p>
    <w:p w14:paraId="0320657F" w14:textId="77777777">
      <w:pPr>
        <w:pStyle w:val="Lista2"/>
      </w:pPr>
      <w:r>
        <w:t xml:space="preserve">if the scribe engraved </w:t>
      </w:r>
      <w:r>
        <w:rPr>
          <w:rStyle w:val="Foreign"/>
        </w:rPr>
        <w:t>sukhya</w:t>
      </w:r>
      <w:r>
        <w:t xml:space="preserve"> and you correct this to </w:t>
      </w:r>
      <w:r>
        <w:rPr>
          <w:rStyle w:val="Foreign"/>
        </w:rPr>
        <w:t>saukhya</w:t>
      </w:r>
      <w:r>
        <w:t xml:space="preserve">, your rectification of that error is a correction of </w:t>
      </w:r>
      <w:r>
        <w:rPr>
          <w:rStyle w:val="Foreign"/>
        </w:rPr>
        <w:t>u</w:t>
      </w:r>
      <w:r>
        <w:t xml:space="preserve"> to </w:t>
      </w:r>
      <w:r>
        <w:rPr>
          <w:rStyle w:val="Foreign"/>
        </w:rPr>
        <w:t>au</w:t>
      </w:r>
      <w:r>
        <w:t xml:space="preserve">: </w:t>
      </w:r>
      <w:r>
        <w:rPr>
          <w:rStyle w:val="Codetext"/>
        </w:rPr>
        <w:t>s</w:t>
      </w:r>
      <w:r>
        <w:rPr>
          <w:rStyle w:val="Code"/>
        </w:rPr>
        <w:t>&lt;choice&gt;&lt;sic&gt;</w:t>
      </w:r>
      <w:r>
        <w:rPr>
          <w:rStyle w:val="Codetext"/>
        </w:rPr>
        <w:t>u</w:t>
      </w:r>
      <w:r>
        <w:rPr>
          <w:rStyle w:val="Code"/>
        </w:rPr>
        <w:t>&lt;/sic&gt;&lt;corr&gt;</w:t>
      </w:r>
      <w:r>
        <w:rPr>
          <w:rStyle w:val="Codetext"/>
        </w:rPr>
        <w:t>au</w:t>
      </w:r>
      <w:r>
        <w:rPr>
          <w:rStyle w:val="Code"/>
        </w:rPr>
        <w:t>&lt;/corr&gt;&lt;/choice&gt;</w:t>
      </w:r>
      <w:r>
        <w:rPr>
          <w:rStyle w:val="Codetext"/>
        </w:rPr>
        <w:t>khya</w:t>
      </w:r>
    </w:p>
    <w:p w14:paraId="0CE2631A" w14:textId="77777777">
      <w:pPr>
        <w:pStyle w:val="Lista3"/>
      </w:pPr>
      <w:r>
        <w:t xml:space="preserve">not restitution of </w:t>
      </w:r>
      <w:r>
        <w:rPr>
          <w:rStyle w:val="Foreign"/>
        </w:rPr>
        <w:t>a</w:t>
      </w:r>
      <w:r>
        <w:t>, even though in transliteration you are only adding a single target grapheme</w:t>
      </w:r>
    </w:p>
    <w:p w14:paraId="64008522" w14:textId="77777777">
      <w:pPr>
        <w:pStyle w:val="Lista2"/>
      </w:pPr>
      <w:r>
        <w:t xml:space="preserve">if the scribe engraved </w:t>
      </w:r>
      <w:r>
        <w:rPr>
          <w:rStyle w:val="Foreign"/>
        </w:rPr>
        <w:t>utphannasya</w:t>
      </w:r>
      <w:r>
        <w:t xml:space="preserve"> and you correct this to </w:t>
      </w:r>
      <w:r>
        <w:rPr>
          <w:rStyle w:val="Foreign"/>
        </w:rPr>
        <w:t>utpannasya</w:t>
      </w:r>
      <w:r>
        <w:t xml:space="preserve">, your rectification of that error is a correction of </w:t>
      </w:r>
      <w:r>
        <w:rPr>
          <w:rStyle w:val="Foreign"/>
        </w:rPr>
        <w:t>ph</w:t>
      </w:r>
      <w:r>
        <w:t xml:space="preserve"> to </w:t>
      </w:r>
      <w:r>
        <w:rPr>
          <w:rStyle w:val="Foreign"/>
        </w:rPr>
        <w:t>p</w:t>
      </w:r>
      <w:r>
        <w:t xml:space="preserve">: </w:t>
      </w:r>
      <w:r>
        <w:rPr>
          <w:rStyle w:val="Codetext"/>
        </w:rPr>
        <w:t>ut</w:t>
      </w:r>
      <w:r>
        <w:rPr>
          <w:rStyle w:val="Code"/>
        </w:rPr>
        <w:t>&lt;choice&gt;&lt;sic&gt;</w:t>
      </w:r>
      <w:r>
        <w:rPr>
          <w:rStyle w:val="Codetext"/>
        </w:rPr>
        <w:t>ph</w:t>
      </w:r>
      <w:r>
        <w:rPr>
          <w:rStyle w:val="Code"/>
        </w:rPr>
        <w:t>&lt;/sic&gt;&lt;corr&gt;</w:t>
      </w:r>
      <w:r>
        <w:rPr>
          <w:rStyle w:val="Codetext"/>
        </w:rPr>
        <w:t>p</w:t>
      </w:r>
      <w:r>
        <w:rPr>
          <w:rStyle w:val="Code"/>
        </w:rPr>
        <w:t>&lt;/corr&gt;&lt;/choice&gt;</w:t>
      </w:r>
      <w:r>
        <w:rPr>
          <w:rStyle w:val="Codetext"/>
        </w:rPr>
        <w:t>annasya</w:t>
      </w:r>
    </w:p>
    <w:p w14:paraId="03004C07" w14:textId="77777777">
      <w:pPr>
        <w:pStyle w:val="Lista3"/>
      </w:pPr>
      <w:r>
        <w:t xml:space="preserve">not suppression of </w:t>
      </w:r>
      <w:r>
        <w:rPr>
          <w:rStyle w:val="Foreign"/>
        </w:rPr>
        <w:t>h</w:t>
      </w:r>
      <w:r>
        <w:t>, even though in transliteration you are only removing a single target grapheme</w:t>
      </w:r>
    </w:p>
    <w:p w14:paraId="3D715533" w14:textId="77777777">
      <w:pPr>
        <w:pStyle w:val="Lista2"/>
      </w:pPr>
      <w:r>
        <w:t xml:space="preserve">if the scribe engraved </w:t>
      </w:r>
      <w:r>
        <w:rPr>
          <w:rStyle w:val="Foreign"/>
        </w:rPr>
        <w:t>nikhāya</w:t>
      </w:r>
      <w:r>
        <w:t xml:space="preserve"> and you correct this to </w:t>
      </w:r>
      <w:r>
        <w:rPr>
          <w:rStyle w:val="Foreign"/>
        </w:rPr>
        <w:t>nidhāya</w:t>
      </w:r>
      <w:r>
        <w:t xml:space="preserve">, your rectification of that error is a correction of </w:t>
      </w:r>
      <w:r>
        <w:rPr>
          <w:rStyle w:val="Foreign"/>
        </w:rPr>
        <w:t>kh</w:t>
      </w:r>
      <w:r>
        <w:t xml:space="preserve"> to </w:t>
      </w:r>
      <w:r>
        <w:rPr>
          <w:rStyle w:val="Foreign"/>
        </w:rPr>
        <w:t>dh</w:t>
      </w:r>
      <w:r>
        <w:t xml:space="preserve">: </w:t>
      </w:r>
      <w:r>
        <w:rPr>
          <w:rStyle w:val="Codetext"/>
        </w:rPr>
        <w:t>ni</w:t>
      </w:r>
      <w:r>
        <w:rPr>
          <w:rStyle w:val="Code"/>
        </w:rPr>
        <w:t>&lt;choice&gt;&lt;sic&gt;</w:t>
      </w:r>
      <w:r>
        <w:rPr>
          <w:rStyle w:val="Codetext"/>
        </w:rPr>
        <w:t>kh</w:t>
      </w:r>
      <w:r>
        <w:rPr>
          <w:rStyle w:val="Code"/>
        </w:rPr>
        <w:t>&lt;/sic&gt;&lt;corr&gt;</w:t>
      </w:r>
      <w:r>
        <w:rPr>
          <w:rStyle w:val="Codetext"/>
        </w:rPr>
        <w:t>dh</w:t>
      </w:r>
      <w:r>
        <w:rPr>
          <w:rStyle w:val="Code"/>
        </w:rPr>
        <w:t>&lt;/corr&gt;&lt;/choice&gt;</w:t>
      </w:r>
      <w:r>
        <w:rPr>
          <w:rStyle w:val="Codetext"/>
        </w:rPr>
        <w:t>āya</w:t>
      </w:r>
    </w:p>
    <w:p w14:paraId="3FDE6942" w14:textId="77777777">
      <w:pPr>
        <w:pStyle w:val="Lista3"/>
      </w:pPr>
      <w:r>
        <w:t xml:space="preserve">not correction of </w:t>
      </w:r>
      <w:r>
        <w:rPr>
          <w:rStyle w:val="Foreign"/>
        </w:rPr>
        <w:t>k</w:t>
      </w:r>
      <w:r>
        <w:t xml:space="preserve"> to </w:t>
      </w:r>
      <w:r>
        <w:rPr>
          <w:rStyle w:val="Foreign"/>
        </w:rPr>
        <w:t>d</w:t>
      </w:r>
      <w:r>
        <w:t>, even though in transliteration you are only changing that target grapheme</w:t>
      </w:r>
    </w:p>
    <w:p w14:paraId="5278F0C0" w14:textId="77777777">
      <w:pPr>
        <w:pStyle w:val="Cmsor3"/>
      </w:pPr>
      <w:bookmarkStart w:id="665" w:name="_Ref228973253"/>
      <w:bookmarkStart w:id="666" w:name="_Toc243900346"/>
      <w:r>
        <w:t>The scope of editorial intervention</w:t>
      </w:r>
      <w:bookmarkEnd w:id="665"/>
      <w:bookmarkEnd w:id="666"/>
    </w:p>
    <w:p w14:paraId="04B8E58C" w14:textId="77777777">
      <w:r>
        <w:rPr>
          <w:lang w:eastAsia="en-US" w:bidi="ar-SA"/>
        </w:rPr>
        <w:t xml:space="preserve">When you flag or rectify anomalous language, the </w:t>
      </w:r>
      <w:r>
        <w:t>size of segments included in your tags should generally be whatever you deem to be a reasonable minimum to which the anomaly can be localised. Instead of placing only the absolute minimum within your tags, you may choose to include relevant context. In this connection, relevant context means any adjacent graphemes (or, for higher-level intervention, adjacent morphemes) which in your opinion may have played a role in generating the anomaly (as phonetic context engendering the use of an unexpected phoneme; as graphetic context engendering the use of an unexpected graph; or as grammatical or semantic context engendering the use of an unexpected word or morpheme), or are useful for highlighting the nature of the anomaly by suggesting what the expected reading should have been. Whether or not to include context is not a wholly subjective decision, and the choice has very little ultimate effect on our corpus so long as the received text is faithfully reproduced and any editorial intervention accurately reflects the rectified text. See also §</w:t>
      </w:r>
      <w:r>
        <w:fldChar w:fldCharType="begin"/>
      </w:r>
      <w:r>
        <w:instrText xml:space="preserve"> REF _Ref228956991 \r \h </w:instrText>
      </w:r>
      <w:r>
        <w:fldChar w:fldCharType="separate"/>
      </w:r>
      <w:r>
        <w:t>7.7.3</w:t>
      </w:r>
      <w:r>
        <w:fldChar w:fldCharType="end"/>
      </w:r>
      <w:r>
        <w:t xml:space="preserve"> on the option to encode several editorial changes as a single intervention. Additional considerations are provided for the normalisation and flagging of non-standard readings (§</w:t>
      </w:r>
      <w:r>
        <w:fldChar w:fldCharType="begin"/>
      </w:r>
      <w:r>
        <w:instrText xml:space="preserve"> REF _Ref228957347 \r \h </w:instrText>
      </w:r>
      <w:r>
        <w:fldChar w:fldCharType="separate"/>
      </w:r>
      <w:r>
        <w:t>7.7.2.1</w:t>
      </w:r>
      <w:r>
        <w:fldChar w:fldCharType="end"/>
      </w:r>
      <w:r>
        <w:t xml:space="preserve">). </w:t>
      </w:r>
    </w:p>
    <w:p w14:paraId="444ADFA3" w14:textId="77777777">
      <w:pPr>
        <w:pStyle w:val="Lista"/>
      </w:pPr>
      <w:r>
        <w:t>the rectification of orthography should target only the specific graphemes involved</w:t>
      </w:r>
    </w:p>
    <w:p w14:paraId="07723767" w14:textId="77777777">
      <w:pPr>
        <w:pStyle w:val="Lista2"/>
      </w:pPr>
      <w:r>
        <w:t>when anomalous orthography is flagged but not corrected, you may choose to include relevant context</w:t>
      </w:r>
    </w:p>
    <w:p w14:paraId="43C40CF6" w14:textId="77777777">
      <w:pPr>
        <w:pStyle w:val="Lista3"/>
      </w:pPr>
      <w:r>
        <w:t xml:space="preserve">e.g. </w:t>
      </w:r>
      <w:r>
        <w:rPr>
          <w:rStyle w:val="Codetext"/>
        </w:rPr>
        <w:t>sahas</w:t>
      </w:r>
      <w:r>
        <w:rPr>
          <w:rStyle w:val="Code"/>
        </w:rPr>
        <w:t>&lt;orig&gt;</w:t>
      </w:r>
      <w:r>
        <w:rPr>
          <w:rStyle w:val="Codetext"/>
        </w:rPr>
        <w:t>rān</w:t>
      </w:r>
      <w:r>
        <w:rPr>
          <w:rStyle w:val="Code"/>
        </w:rPr>
        <w:t>&lt;/orig&gt;</w:t>
      </w:r>
      <w:r>
        <w:rPr>
          <w:rStyle w:val="Codetext"/>
        </w:rPr>
        <w:t>i</w:t>
      </w:r>
      <w:r>
        <w:t xml:space="preserve"> </w:t>
      </w:r>
      <w:r>
        <w:rPr>
          <w:noProof/>
        </w:rPr>
        <w:t>(</w:t>
      </w:r>
      <w:r>
        <w:rPr>
          <w:rStyle w:val="Foreign"/>
        </w:rPr>
        <w:t>sahasrāṇi</w:t>
      </w:r>
      <w:r>
        <w:t xml:space="preserve"> is expected, and it is the vicinity of </w:t>
      </w:r>
      <w:r>
        <w:rPr>
          <w:rStyle w:val="Foreign"/>
        </w:rPr>
        <w:t>r</w:t>
      </w:r>
      <w:r>
        <w:t xml:space="preserve"> that drives the retroflexion of </w:t>
      </w:r>
      <w:r>
        <w:rPr>
          <w:rStyle w:val="Foreign"/>
        </w:rPr>
        <w:t>n</w:t>
      </w:r>
      <w:r>
        <w:t>)</w:t>
      </w:r>
    </w:p>
    <w:p w14:paraId="53320917" w14:textId="77777777">
      <w:pPr>
        <w:pStyle w:val="Lista"/>
      </w:pPr>
      <w:r>
        <w:t>the rectification of grammar may target</w:t>
      </w:r>
    </w:p>
    <w:p w14:paraId="41939B63" w14:textId="77777777">
      <w:pPr>
        <w:pStyle w:val="Lista2"/>
      </w:pPr>
      <w:r>
        <w:t>a specific grapheme or a small cluster of adjacent graphemes, when this is sufficient to clarify the correction</w:t>
      </w:r>
    </w:p>
    <w:p w14:paraId="56BCEB3F" w14:textId="77777777">
      <w:pPr>
        <w:pStyle w:val="Lista3"/>
      </w:pPr>
      <w:r>
        <w:t xml:space="preserve">e.g. </w:t>
      </w:r>
      <w:r>
        <w:rPr>
          <w:rStyle w:val="Codetext"/>
        </w:rPr>
        <w:t>yuṣmābh</w:t>
      </w:r>
      <w:r>
        <w:rPr>
          <w:rStyle w:val="Code"/>
        </w:rPr>
        <w:t>&lt;choice&gt;&lt;sic&gt;ya&lt;/sic&gt;&lt;corr&gt;</w:t>
      </w:r>
      <w:r>
        <w:rPr>
          <w:rStyle w:val="Codetext"/>
        </w:rPr>
        <w:t>i</w:t>
      </w:r>
      <w:r>
        <w:rPr>
          <w:rStyle w:val="Code"/>
        </w:rPr>
        <w:t>&lt;/corr&gt;&lt;/choice&gt;</w:t>
      </w:r>
      <w:r>
        <w:rPr>
          <w:rStyle w:val="Codetext"/>
        </w:rPr>
        <w:t>ḥ</w:t>
      </w:r>
    </w:p>
    <w:p w14:paraId="2899B843" w14:textId="77777777">
      <w:pPr>
        <w:pStyle w:val="Lista2"/>
      </w:pPr>
      <w:r>
        <w:t>the whole of a morpheme (word, stem, prefix, suffix, ending) when you feel that this improves clarity or when several non-adjacent graphemes would otherwise need to be modified</w:t>
      </w:r>
    </w:p>
    <w:p w14:paraId="2C3EBD28" w14:textId="77777777">
      <w:pPr>
        <w:pStyle w:val="Lista3"/>
      </w:pPr>
      <w:r>
        <w:t xml:space="preserve">e.g. </w:t>
      </w:r>
      <w:r>
        <w:rPr>
          <w:rStyle w:val="Codetext"/>
        </w:rPr>
        <w:t>mahārāj</w:t>
      </w:r>
      <w:r>
        <w:rPr>
          <w:rStyle w:val="Code"/>
        </w:rPr>
        <w:t>&lt;choice&gt;&lt;sic&gt;</w:t>
      </w:r>
      <w:r>
        <w:rPr>
          <w:rStyle w:val="Codetext"/>
        </w:rPr>
        <w:t>asya</w:t>
      </w:r>
      <w:r>
        <w:rPr>
          <w:rStyle w:val="Code"/>
        </w:rPr>
        <w:t>&lt;/sic&gt;&lt;corr&gt;</w:t>
      </w:r>
      <w:r>
        <w:rPr>
          <w:rStyle w:val="Codetext"/>
        </w:rPr>
        <w:t>ena</w:t>
      </w:r>
      <w:r>
        <w:rPr>
          <w:rStyle w:val="Code"/>
        </w:rPr>
        <w:t>&lt;/corr&gt;&lt;/choice&gt;</w:t>
      </w:r>
    </w:p>
    <w:p w14:paraId="7DEB60B3" w14:textId="77777777">
      <w:pPr>
        <w:pStyle w:val="Lista2"/>
      </w:pPr>
      <w:r>
        <w:lastRenderedPageBreak/>
        <w:t>when anomalous grammar is flagged but not corrected, you may choose to include context beyond the affected word</w:t>
      </w:r>
    </w:p>
    <w:p w14:paraId="49E9A392" w14:textId="77777777">
      <w:pPr>
        <w:pStyle w:val="Lista3"/>
      </w:pPr>
      <w:r>
        <w:t xml:space="preserve">e.g. </w:t>
      </w:r>
      <w:r>
        <w:rPr>
          <w:rStyle w:val="Code"/>
        </w:rPr>
        <w:t>&lt;orig&gt;</w:t>
      </w:r>
      <w:r>
        <w:rPr>
          <w:rStyle w:val="Codetext"/>
        </w:rPr>
        <w:t>tasmai viprasya</w:t>
      </w:r>
      <w:r>
        <w:rPr>
          <w:rStyle w:val="Code"/>
        </w:rPr>
        <w:t>&lt;/orig&gt;</w:t>
      </w:r>
      <w:r>
        <w:t xml:space="preserve"> (where either </w:t>
      </w:r>
      <w:r>
        <w:rPr>
          <w:rStyle w:val="Foreign"/>
        </w:rPr>
        <w:t>tasya viprasya</w:t>
      </w:r>
      <w:r>
        <w:t xml:space="preserve"> or </w:t>
      </w:r>
      <w:r>
        <w:rPr>
          <w:rStyle w:val="Foreign"/>
        </w:rPr>
        <w:t>tasmai viprāya</w:t>
      </w:r>
      <w:r>
        <w:t xml:space="preserve"> would be expected)</w:t>
      </w:r>
    </w:p>
    <w:p w14:paraId="2334EB49" w14:textId="77777777">
      <w:pPr>
        <w:pStyle w:val="Lista"/>
      </w:pPr>
      <w:r>
        <w:t>the rectification (in particular, normalisation) of non-standard lexicon should normally target whole words</w:t>
      </w:r>
    </w:p>
    <w:p w14:paraId="403321CB" w14:textId="77777777">
      <w:pPr>
        <w:pStyle w:val="Lista2"/>
      </w:pPr>
      <w:r>
        <w:t>but you may choose to target smaller units if this seems more expedient, for instance in a word that mixes Sanskritic and Middle Indic characteristics</w:t>
      </w:r>
    </w:p>
    <w:p w14:paraId="04A42D29" w14:textId="77777777">
      <w:pPr>
        <w:pStyle w:val="Lista"/>
      </w:pPr>
      <w:r>
        <w:t>editorial intervention at a larger scale, involving entire phrases or the transposition of words, should preferably not be made in the edition but only suggested in an apparatus note (§</w:t>
      </w:r>
      <w:r>
        <w:fldChar w:fldCharType="begin"/>
      </w:r>
      <w:r>
        <w:instrText xml:space="preserve"> REF _Ref43988104 \w \h  \* MERGEFORMAT </w:instrText>
      </w:r>
      <w:r>
        <w:fldChar w:fldCharType="separate"/>
      </w:r>
      <w:r>
        <w:t>10.7</w:t>
      </w:r>
      <w:r>
        <w:fldChar w:fldCharType="end"/>
      </w:r>
      <w:r>
        <w:t>)</w:t>
      </w:r>
    </w:p>
    <w:p w14:paraId="29652B27" w14:textId="77777777">
      <w:pPr>
        <w:pStyle w:val="Lista2"/>
      </w:pPr>
      <w:r>
        <w:t>but exceptions may be made for well-understood text with numerous anomalies</w:t>
      </w:r>
    </w:p>
    <w:p w14:paraId="293545EB" w14:textId="77777777">
      <w:pPr>
        <w:pStyle w:val="Lista2"/>
      </w:pPr>
      <w:r>
        <w:t xml:space="preserve">in particular, feel free to include the contents of an entire </w:t>
      </w:r>
      <w:r>
        <w:rPr>
          <w:rStyle w:val="Code"/>
        </w:rPr>
        <w:t>&lt;l&gt;</w:t>
      </w:r>
      <w:r>
        <w:t xml:space="preserve"> element in a single substitution in the stock admonitory stanzas cited in land grants, whose error-rate is often much higher than in the remainder of an inscription</w:t>
      </w:r>
    </w:p>
    <w:p w14:paraId="7BC81E89" w14:textId="77777777">
      <w:pPr>
        <w:pStyle w:val="Lista3"/>
      </w:pPr>
      <w:r>
        <w:t xml:space="preserve">e.g. </w:t>
      </w:r>
      <w:r>
        <w:rPr>
          <w:rStyle w:val="Code"/>
        </w:rPr>
        <w:t>&lt;l&gt;&lt;choice&gt;&lt;orig&gt;</w:t>
      </w:r>
      <w:r>
        <w:rPr>
          <w:rStyle w:val="Codetext"/>
        </w:rPr>
        <w:t>sva-datnā para-datnā vvā</w:t>
      </w:r>
      <w:r>
        <w:rPr>
          <w:rStyle w:val="Code"/>
        </w:rPr>
        <w:t>&lt;/orig&gt;&lt;reg&gt;</w:t>
      </w:r>
      <w:r>
        <w:rPr>
          <w:rStyle w:val="Codetext"/>
        </w:rPr>
        <w:t>sva-dattāṁ para-dattāṁ vā</w:t>
      </w:r>
      <w:r>
        <w:rPr>
          <w:rStyle w:val="Code"/>
        </w:rPr>
        <w:t>&lt;/reg&gt;&lt;/choice&gt;&lt;/l&gt;</w:t>
      </w:r>
    </w:p>
    <w:p w14:paraId="474869A0" w14:textId="77777777">
      <w:pPr>
        <w:pStyle w:val="Cmsor4"/>
      </w:pPr>
      <w:bookmarkStart w:id="667" w:name="_Ref228957347"/>
      <w:r>
        <w:t>The minimum scope of intervention for non-standard readings</w:t>
      </w:r>
      <w:bookmarkEnd w:id="667"/>
    </w:p>
    <w:p w14:paraId="400902B4" w14:textId="77777777">
      <w:r>
        <w:t>As indicated in §</w:t>
      </w:r>
      <w:r>
        <w:fldChar w:fldCharType="begin"/>
      </w:r>
      <w:r>
        <w:instrText xml:space="preserve"> REF _Ref228885762 \r \h </w:instrText>
      </w:r>
      <w:r>
        <w:fldChar w:fldCharType="separate"/>
      </w:r>
      <w:r>
        <w:t>7.2.1</w:t>
      </w:r>
      <w:r>
        <w:fldChar w:fldCharType="end"/>
      </w:r>
      <w:r>
        <w:t xml:space="preserve"> above, there is no encoding method dedicated to the suppression or restitution of individual graphemes in the framework of normalisation, so normalisation must always be encoded as substitution, even if the normalised reading can be obtained simply by adding or removing specific graphemes to or from the received text. Although it is theoretically permissible to leave empty either of the children of </w:t>
      </w:r>
      <w:r>
        <w:rPr>
          <w:rStyle w:val="Code"/>
        </w:rPr>
        <w:t>&lt;choice&gt;</w:t>
      </w:r>
      <w:r>
        <w:t xml:space="preserve"> </w:t>
      </w:r>
      <w:r>
        <w:rPr>
          <w:noProof/>
        </w:rPr>
        <w:t>(</w:t>
      </w:r>
      <w:r>
        <w:t xml:space="preserve">i.e. </w:t>
      </w:r>
      <w:r>
        <w:rPr>
          <w:rStyle w:val="Code"/>
        </w:rPr>
        <w:t>&lt;orig&gt;</w:t>
      </w:r>
      <w:r>
        <w:t xml:space="preserve"> or </w:t>
      </w:r>
      <w:r>
        <w:rPr>
          <w:rStyle w:val="Code"/>
        </w:rPr>
        <w:t>&lt;reg&gt;</w:t>
      </w:r>
      <w:r>
        <w:t xml:space="preserve">), and thus simulate suppletion or suppression, we avoid doing this in DHARMA practice because it is conceptually complicated and may be difficult to interpret when rendered for display. Moreover, doing so would still leave us without a method for merely flagging a locus that could be normalised by adding a specific grapheme. Therefore, when flagging or normalising non-standard usage, at least one adjacent grapheme must be included in your markup in the following situations. </w:t>
      </w:r>
    </w:p>
    <w:p w14:paraId="34B99C97" w14:textId="77777777">
      <w:pPr>
        <w:pStyle w:val="Lista"/>
      </w:pPr>
      <w:r>
        <w:t>when non-standard orthography manifests as the absence of an expected grapheme, then relevant context must be included in the markup</w:t>
      </w:r>
    </w:p>
    <w:p w14:paraId="4FB92798" w14:textId="77777777">
      <w:pPr>
        <w:pStyle w:val="Lista2"/>
      </w:pPr>
      <w:r>
        <w:t>in flagging (because nothing else is there to flag), e.g.</w:t>
      </w:r>
    </w:p>
    <w:p w14:paraId="0D30CACA" w14:textId="77777777">
      <w:pPr>
        <w:pStyle w:val="Lista3"/>
      </w:pPr>
      <w:r>
        <w:rPr>
          <w:rStyle w:val="Codetext"/>
        </w:rPr>
        <w:t>sa</w:t>
      </w:r>
      <w:r>
        <w:rPr>
          <w:rStyle w:val="Code"/>
        </w:rPr>
        <w:t>&lt;orig&gt;</w:t>
      </w:r>
      <w:r>
        <w:rPr>
          <w:rStyle w:val="Codetext"/>
        </w:rPr>
        <w:t>t</w:t>
      </w:r>
      <w:r>
        <w:rPr>
          <w:rStyle w:val="Code"/>
        </w:rPr>
        <w:t>&lt;/orig&gt;v</w:t>
      </w:r>
      <w:r>
        <w:rPr>
          <w:rStyle w:val="Codetext"/>
        </w:rPr>
        <w:t>a</w:t>
      </w:r>
    </w:p>
    <w:p w14:paraId="23E04F52" w14:textId="77777777">
      <w:pPr>
        <w:pStyle w:val="Lista3"/>
      </w:pPr>
      <w:r>
        <w:rPr>
          <w:rStyle w:val="Codetext"/>
        </w:rPr>
        <w:t>qə</w:t>
      </w:r>
      <w:r>
        <w:rPr>
          <w:rStyle w:val="Code"/>
        </w:rPr>
        <w:t>&lt;orig&gt;</w:t>
      </w:r>
      <w:r>
        <w:rPr>
          <w:rStyle w:val="Codetext"/>
        </w:rPr>
        <w:t>c</w:t>
      </w:r>
      <w:r>
        <w:rPr>
          <w:rStyle w:val="Code"/>
        </w:rPr>
        <w:t>&lt;/orig&gt;</w:t>
      </w:r>
      <w:r>
        <w:rPr>
          <w:rStyle w:val="Codetext"/>
        </w:rPr>
        <w:t>u</w:t>
      </w:r>
    </w:p>
    <w:p w14:paraId="6F4FCF82" w14:textId="77777777">
      <w:pPr>
        <w:pStyle w:val="Lista3"/>
      </w:pPr>
      <w:r>
        <w:rPr>
          <w:rStyle w:val="Codetext"/>
        </w:rPr>
        <w:t>sakuli</w:t>
      </w:r>
      <w:r>
        <w:rPr>
          <w:rStyle w:val="Code"/>
        </w:rPr>
        <w:t>&lt;orig&gt;</w:t>
      </w:r>
      <w:r>
        <w:rPr>
          <w:rStyle w:val="Codetext"/>
        </w:rPr>
        <w:t>li</w:t>
      </w:r>
      <w:r>
        <w:rPr>
          <w:rStyle w:val="Code"/>
        </w:rPr>
        <w:t>&lt;/orig&gt;</w:t>
      </w:r>
      <w:r>
        <w:rPr>
          <w:rStyle w:val="Codetext"/>
        </w:rPr>
        <w:t xml:space="preserve"> ḍayəḥ</w:t>
      </w:r>
    </w:p>
    <w:p w14:paraId="63D89C72" w14:textId="77777777">
      <w:pPr>
        <w:pStyle w:val="Lista2"/>
      </w:pPr>
      <w:r>
        <w:t xml:space="preserve">as well as in normalisation (to avoid using an empty </w:t>
      </w:r>
      <w:r>
        <w:rPr>
          <w:rStyle w:val="Code"/>
        </w:rPr>
        <w:t>&lt;orig&gt;</w:t>
      </w:r>
      <w:r>
        <w:t xml:space="preserve"> element), e.g.</w:t>
      </w:r>
    </w:p>
    <w:p w14:paraId="07F6A2C0" w14:textId="77777777">
      <w:pPr>
        <w:pStyle w:val="Lista3"/>
      </w:pPr>
      <w:r>
        <w:rPr>
          <w:rStyle w:val="Codetext"/>
        </w:rPr>
        <w:t>sa</w:t>
      </w:r>
      <w:r>
        <w:rPr>
          <w:rStyle w:val="Code"/>
        </w:rPr>
        <w:t>&lt;choice&gt;&lt;orig&gt;</w:t>
      </w:r>
      <w:r>
        <w:rPr>
          <w:rStyle w:val="Codetext"/>
        </w:rPr>
        <w:t>t</w:t>
      </w:r>
      <w:r>
        <w:rPr>
          <w:rStyle w:val="Code"/>
        </w:rPr>
        <w:t>&lt;/orig&gt;&lt;reg&gt;</w:t>
      </w:r>
      <w:r>
        <w:rPr>
          <w:rStyle w:val="Codetext"/>
        </w:rPr>
        <w:t>tt</w:t>
      </w:r>
      <w:r>
        <w:rPr>
          <w:rStyle w:val="Code"/>
        </w:rPr>
        <w:t>&lt;/reg&gt;&lt;/choice&gt;v</w:t>
      </w:r>
      <w:r>
        <w:rPr>
          <w:rStyle w:val="Codetext"/>
        </w:rPr>
        <w:t>a</w:t>
      </w:r>
    </w:p>
    <w:p w14:paraId="1BCE515B" w14:textId="77777777">
      <w:pPr>
        <w:pStyle w:val="Lista3"/>
      </w:pPr>
      <w:r>
        <w:rPr>
          <w:rStyle w:val="Codetext"/>
        </w:rPr>
        <w:t>qə</w:t>
      </w:r>
      <w:r>
        <w:rPr>
          <w:rStyle w:val="Code"/>
        </w:rPr>
        <w:t>&lt;choice&gt;&lt;orig&gt;</w:t>
      </w:r>
      <w:r>
        <w:rPr>
          <w:rStyle w:val="Codetext"/>
        </w:rPr>
        <w:t>c</w:t>
      </w:r>
      <w:r>
        <w:rPr>
          <w:rStyle w:val="Code"/>
        </w:rPr>
        <w:t>&lt;/orig&gt;&lt;reg&gt;</w:t>
      </w:r>
      <w:r>
        <w:rPr>
          <w:rStyle w:val="Codetext"/>
        </w:rPr>
        <w:t>ñc</w:t>
      </w:r>
      <w:r>
        <w:rPr>
          <w:rStyle w:val="Code"/>
        </w:rPr>
        <w:t>&lt;/reg&gt;&lt;/choice&gt;</w:t>
      </w:r>
      <w:r>
        <w:rPr>
          <w:rStyle w:val="Codetext"/>
        </w:rPr>
        <w:t>u</w:t>
      </w:r>
    </w:p>
    <w:p w14:paraId="5513CCF9" w14:textId="77777777">
      <w:pPr>
        <w:pStyle w:val="Lista3"/>
      </w:pPr>
      <w:r>
        <w:rPr>
          <w:rStyle w:val="Codetext"/>
        </w:rPr>
        <w:t>sakuli</w:t>
      </w:r>
      <w:r>
        <w:rPr>
          <w:rStyle w:val="Code"/>
        </w:rPr>
        <w:t>&lt;choice&gt;&lt;orig&gt;</w:t>
      </w:r>
      <w:r>
        <w:rPr>
          <w:rStyle w:val="Codetext"/>
        </w:rPr>
        <w:t>li</w:t>
      </w:r>
      <w:r>
        <w:rPr>
          <w:rStyle w:val="Code"/>
        </w:rPr>
        <w:t>&lt;/orig&gt;&lt;reg&gt;</w:t>
      </w:r>
      <w:r>
        <w:rPr>
          <w:rStyle w:val="Codetext"/>
        </w:rPr>
        <w:t>liṁ</w:t>
      </w:r>
      <w:r>
        <w:rPr>
          <w:rStyle w:val="Code"/>
        </w:rPr>
        <w:t>&lt;/reg&gt;&lt;/choice&gt;</w:t>
      </w:r>
      <w:r>
        <w:rPr>
          <w:rStyle w:val="Codetext"/>
        </w:rPr>
        <w:t xml:space="preserve"> ḍayəḥ</w:t>
      </w:r>
    </w:p>
    <w:p w14:paraId="73AB6025" w14:textId="77777777">
      <w:pPr>
        <w:pStyle w:val="Lista"/>
      </w:pPr>
      <w:r>
        <w:t>when non-standard orthography manifests as the presence of a superfluous grapheme, then</w:t>
      </w:r>
    </w:p>
    <w:p w14:paraId="109456AB" w14:textId="77777777">
      <w:pPr>
        <w:pStyle w:val="Lista3"/>
      </w:pPr>
      <w:r>
        <w:t>choose at your discretion whether to flag only the superfluous grapheme or include relevant context, e.g.</w:t>
      </w:r>
    </w:p>
    <w:p w14:paraId="25CD8EE7" w14:textId="77777777">
      <w:pPr>
        <w:pStyle w:val="Lista4"/>
      </w:pPr>
      <w:r>
        <w:rPr>
          <w:rStyle w:val="Codetext"/>
        </w:rPr>
        <w:t>e</w:t>
      </w:r>
      <w:r>
        <w:rPr>
          <w:rStyle w:val="Code"/>
        </w:rPr>
        <w:t>&lt;orig&gt;</w:t>
      </w:r>
      <w:r>
        <w:rPr>
          <w:rStyle w:val="Codetext"/>
        </w:rPr>
        <w:t>ṉ</w:t>
      </w:r>
      <w:r>
        <w:rPr>
          <w:rStyle w:val="Code"/>
        </w:rPr>
        <w:t>&lt;/orig&gt;</w:t>
      </w:r>
      <w:r>
        <w:rPr>
          <w:rStyle w:val="Codetext"/>
        </w:rPr>
        <w:t>ṉ eḻuttu</w:t>
      </w:r>
      <w:r>
        <w:t xml:space="preserve"> or </w:t>
      </w:r>
      <w:r>
        <w:rPr>
          <w:rStyle w:val="Codetext"/>
        </w:rPr>
        <w:t>e</w:t>
      </w:r>
      <w:r>
        <w:rPr>
          <w:rStyle w:val="Code"/>
        </w:rPr>
        <w:t>&lt;orig&gt;</w:t>
      </w:r>
      <w:r>
        <w:rPr>
          <w:rStyle w:val="Codetext"/>
        </w:rPr>
        <w:t>ṉṉ</w:t>
      </w:r>
      <w:r>
        <w:rPr>
          <w:rStyle w:val="Code"/>
        </w:rPr>
        <w:t>&lt;/orig&gt;</w:t>
      </w:r>
      <w:r>
        <w:rPr>
          <w:rStyle w:val="Codetext"/>
        </w:rPr>
        <w:t xml:space="preserve"> eḻuttu</w:t>
      </w:r>
    </w:p>
    <w:p w14:paraId="59EFF0E9" w14:textId="77777777">
      <w:pPr>
        <w:pStyle w:val="Lista4"/>
      </w:pPr>
      <w:r>
        <w:rPr>
          <w:rStyle w:val="Codetext"/>
        </w:rPr>
        <w:t>sa</w:t>
      </w:r>
      <w:r>
        <w:rPr>
          <w:rStyle w:val="Code"/>
        </w:rPr>
        <w:t>&lt;orig&gt;</w:t>
      </w:r>
      <w:r>
        <w:rPr>
          <w:rStyle w:val="Codetext"/>
        </w:rPr>
        <w:t>ṁ</w:t>
      </w:r>
      <w:r>
        <w:rPr>
          <w:rStyle w:val="Code"/>
        </w:rPr>
        <w:t>&lt;/orig&gt;</w:t>
      </w:r>
      <w:r>
        <w:rPr>
          <w:rStyle w:val="Codetext"/>
        </w:rPr>
        <w:t>mvat</w:t>
      </w:r>
      <w:r>
        <w:t xml:space="preserve"> or </w:t>
      </w:r>
      <w:r>
        <w:rPr>
          <w:rStyle w:val="Codetext"/>
        </w:rPr>
        <w:t>sa</w:t>
      </w:r>
      <w:r>
        <w:rPr>
          <w:rStyle w:val="Code"/>
        </w:rPr>
        <w:t>&lt;orig&gt;</w:t>
      </w:r>
      <w:r>
        <w:rPr>
          <w:rStyle w:val="Codetext"/>
        </w:rPr>
        <w:t>ṁm</w:t>
      </w:r>
      <w:r>
        <w:rPr>
          <w:rStyle w:val="Code"/>
        </w:rPr>
        <w:t>&lt;/orig&gt;</w:t>
      </w:r>
      <w:r>
        <w:rPr>
          <w:rStyle w:val="Codetext"/>
        </w:rPr>
        <w:t>vat</w:t>
      </w:r>
    </w:p>
    <w:p w14:paraId="64F9EEF0" w14:textId="77777777">
      <w:pPr>
        <w:pStyle w:val="Lista3"/>
      </w:pPr>
      <w:r>
        <w:t xml:space="preserve">while relevant context must be included in normalisation (to avoid the creation of an empty </w:t>
      </w:r>
      <w:r>
        <w:rPr>
          <w:rStyle w:val="Code"/>
        </w:rPr>
        <w:t>&lt;reg&gt;</w:t>
      </w:r>
      <w:r>
        <w:t xml:space="preserve"> element), e.g.</w:t>
      </w:r>
    </w:p>
    <w:p w14:paraId="63505449" w14:textId="77777777">
      <w:pPr>
        <w:pStyle w:val="Lista4"/>
      </w:pPr>
      <w:r>
        <w:rPr>
          <w:rStyle w:val="Codetext"/>
        </w:rPr>
        <w:t>e</w:t>
      </w:r>
      <w:r>
        <w:rPr>
          <w:rStyle w:val="Code"/>
        </w:rPr>
        <w:t>&lt;choice&gt;&lt;orig&gt;</w:t>
      </w:r>
      <w:r>
        <w:rPr>
          <w:rStyle w:val="Codetext"/>
        </w:rPr>
        <w:t>ṉṉ</w:t>
      </w:r>
      <w:r>
        <w:rPr>
          <w:rStyle w:val="Code"/>
        </w:rPr>
        <w:t>&lt;/orig&gt;&lt;reg&gt;</w:t>
      </w:r>
      <w:r>
        <w:rPr>
          <w:rStyle w:val="Codetext"/>
        </w:rPr>
        <w:t>ṉ</w:t>
      </w:r>
      <w:r>
        <w:rPr>
          <w:rStyle w:val="Code"/>
        </w:rPr>
        <w:t>&lt;/reg&gt;&lt;/choice&gt;</w:t>
      </w:r>
      <w:r>
        <w:rPr>
          <w:rStyle w:val="Codetext"/>
        </w:rPr>
        <w:t xml:space="preserve"> eḻuttu</w:t>
      </w:r>
    </w:p>
    <w:p w14:paraId="1BBE7254" w14:textId="77777777">
      <w:pPr>
        <w:pStyle w:val="Lista4"/>
      </w:pPr>
      <w:r>
        <w:rPr>
          <w:rStyle w:val="Codetext"/>
        </w:rPr>
        <w:t>sa</w:t>
      </w:r>
      <w:r>
        <w:rPr>
          <w:rStyle w:val="Code"/>
        </w:rPr>
        <w:t>&lt;choice&gt;&lt;orig&gt;</w:t>
      </w:r>
      <w:r>
        <w:rPr>
          <w:rStyle w:val="Codetext"/>
        </w:rPr>
        <w:t>ṁm</w:t>
      </w:r>
      <w:r>
        <w:rPr>
          <w:rStyle w:val="Code"/>
        </w:rPr>
        <w:t>&lt;/orig&gt;&lt;reg&gt;</w:t>
      </w:r>
      <w:r>
        <w:rPr>
          <w:rStyle w:val="Codetext"/>
        </w:rPr>
        <w:t>m</w:t>
      </w:r>
      <w:r>
        <w:rPr>
          <w:rStyle w:val="Code"/>
        </w:rPr>
        <w:t>&lt;/reg&gt;&lt;/choice&gt;</w:t>
      </w:r>
      <w:r>
        <w:rPr>
          <w:rStyle w:val="Codetext"/>
        </w:rPr>
        <w:t>vat</w:t>
      </w:r>
    </w:p>
    <w:p w14:paraId="7434B304" w14:textId="77777777">
      <w:pPr>
        <w:pStyle w:val="Cmsor3"/>
      </w:pPr>
      <w:bookmarkStart w:id="668" w:name="_Ref228956991"/>
      <w:bookmarkStart w:id="669" w:name="_Toc243900347"/>
      <w:r>
        <w:t>The precision of editorial intervention</w:t>
      </w:r>
      <w:bookmarkEnd w:id="668"/>
      <w:bookmarkEnd w:id="669"/>
    </w:p>
    <w:p w14:paraId="24C48AA1" w14:textId="77777777">
      <w:pPr>
        <w:rPr>
          <w:lang w:eastAsia="en-US" w:bidi="ar-SA"/>
        </w:rPr>
      </w:pPr>
      <w:r>
        <w:rPr>
          <w:lang w:eastAsia="en-US" w:bidi="ar-SA"/>
        </w:rPr>
        <w:t>The tools at our disposal allow us to encode editorial intervention at the level of individual graphemes (§</w:t>
      </w:r>
      <w:r>
        <w:rPr>
          <w:lang w:eastAsia="en-US" w:bidi="ar-SA"/>
        </w:rPr>
        <w:fldChar w:fldCharType="begin"/>
      </w:r>
      <w:r>
        <w:rPr>
          <w:lang w:eastAsia="en-US" w:bidi="ar-SA"/>
        </w:rPr>
        <w:instrText xml:space="preserve"> REF _Ref228952859 \r \h </w:instrText>
      </w:r>
      <w:r>
        <w:rPr>
          <w:lang w:eastAsia="en-US" w:bidi="ar-SA"/>
        </w:rPr>
      </w:r>
      <w:r>
        <w:rPr>
          <w:lang w:eastAsia="en-US" w:bidi="ar-SA"/>
        </w:rPr>
        <w:fldChar w:fldCharType="separate"/>
      </w:r>
      <w:r>
        <w:rPr>
          <w:lang w:eastAsia="en-US" w:bidi="ar-SA"/>
        </w:rPr>
        <w:t>7.7.1</w:t>
      </w:r>
      <w:r>
        <w:rPr>
          <w:lang w:eastAsia="en-US" w:bidi="ar-SA"/>
        </w:rPr>
        <w:fldChar w:fldCharType="end"/>
      </w:r>
      <w:r>
        <w:rPr>
          <w:lang w:eastAsia="en-US" w:bidi="ar-SA"/>
        </w:rPr>
        <w:t xml:space="preserve">). This level of precision is, in an ideal situation, applicable to and desirable in all editorial intervention. However, many source documents call for a large number of editorial corrections and, as the case may </w:t>
      </w:r>
      <w:r>
        <w:rPr>
          <w:lang w:eastAsia="en-US" w:bidi="ar-SA"/>
        </w:rPr>
        <w:lastRenderedPageBreak/>
        <w:t xml:space="preserve">be, normalisations. Encoding several separate editorial interventions in a small space creates clutter which makes it difficult to work with (and easy to make mistakes in) our encoded files and can also hinder the legibility of the edition as displayed to the end user. The purpose of editorial intervention is to reveal to the scholarly reader where the editor sees a problem with the received text, how the editor identifies that problem, and how she rectifies it. This can be likewise achieved by bundling several alterations into a single act of intervention. </w:t>
      </w:r>
      <w:r>
        <w:t xml:space="preserve">So long as the received text is faithfully reproduced </w:t>
      </w:r>
      <w:r>
        <w:rPr>
          <w:noProof/>
        </w:rPr>
        <w:t>(</w:t>
      </w:r>
      <w:r>
        <w:t>and if an editorial rectification is present, then that too is accurate and fits the context), the tagging of a short segment and the tagging of a longer segment that includes graphemes not directly involved in the anomaly are functionally equivalent.</w:t>
      </w:r>
      <w:r>
        <w:rPr>
          <w:lang w:eastAsia="en-US" w:bidi="ar-SA"/>
        </w:rPr>
        <w:t xml:space="preserve"> Therefore, at your discretion, feel free to encode a single editorial substitution on a string of graphemes that would, in principle, call for several separate interventions on smaller units. </w:t>
      </w:r>
    </w:p>
    <w:p w14:paraId="230704CD" w14:textId="77777777">
      <w:pPr>
        <w:pStyle w:val="Lista"/>
      </w:pPr>
      <w:r>
        <w:t>for example</w:t>
      </w:r>
    </w:p>
    <w:p w14:paraId="5F4FFCCB" w14:textId="77777777">
      <w:pPr>
        <w:pStyle w:val="Lista2"/>
      </w:pPr>
      <w:r>
        <w:t xml:space="preserve">a single correction </w:t>
      </w:r>
      <w:r>
        <w:rPr>
          <w:rStyle w:val="Codetext"/>
        </w:rPr>
        <w:t>mahārāj</w:t>
      </w:r>
      <w:r>
        <w:rPr>
          <w:rStyle w:val="Code"/>
        </w:rPr>
        <w:t>&lt;choice&gt;&lt;sic&gt;</w:t>
      </w:r>
      <w:r>
        <w:rPr>
          <w:rStyle w:val="Codetext"/>
        </w:rPr>
        <w:t>adhijājā</w:t>
      </w:r>
      <w:r>
        <w:rPr>
          <w:rStyle w:val="Code"/>
        </w:rPr>
        <w:t>&lt;/sic&gt;&lt;corr&gt;</w:t>
      </w:r>
      <w:r>
        <w:rPr>
          <w:rStyle w:val="Codetext"/>
        </w:rPr>
        <w:t>ādhirāja</w:t>
      </w:r>
      <w:r>
        <w:rPr>
          <w:rStyle w:val="Code"/>
        </w:rPr>
        <w:t>&lt;/corr&gt;&lt;/choice&gt;</w:t>
      </w:r>
    </w:p>
    <w:p w14:paraId="1AA1ED29" w14:textId="77777777">
      <w:pPr>
        <w:pStyle w:val="Lista2"/>
      </w:pPr>
      <w:r>
        <w:t xml:space="preserve">may replace meticulous detail: </w:t>
      </w:r>
      <w:r>
        <w:rPr>
          <w:rStyle w:val="Codetext"/>
        </w:rPr>
        <w:t>mahārāj</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dhi</w:t>
      </w:r>
      <w:r>
        <w:rPr>
          <w:rStyle w:val="Code"/>
        </w:rPr>
        <w:t>&lt;choice&gt;&lt;sic&gt;</w:t>
      </w:r>
      <w:r>
        <w:rPr>
          <w:rStyle w:val="Codetext"/>
        </w:rPr>
        <w:t>j</w:t>
      </w:r>
      <w:r>
        <w:rPr>
          <w:rStyle w:val="Code"/>
        </w:rPr>
        <w:t>&lt;/sic&gt;&lt;corr&gt;</w:t>
      </w:r>
      <w:r>
        <w:rPr>
          <w:rStyle w:val="Codetext"/>
        </w:rPr>
        <w:t>r</w:t>
      </w:r>
      <w:r>
        <w:rPr>
          <w:rStyle w:val="Code"/>
        </w:rPr>
        <w:t>&lt;/corr&gt;&lt;/choice&gt;</w:t>
      </w:r>
      <w:r>
        <w:rPr>
          <w:rStyle w:val="Codetext"/>
        </w:rPr>
        <w:t>āj</w:t>
      </w:r>
      <w:r>
        <w:rPr>
          <w:rStyle w:val="Code"/>
        </w:rPr>
        <w:t>&lt;choice&gt;&lt;sic&gt;</w:t>
      </w:r>
      <w:r>
        <w:rPr>
          <w:rStyle w:val="Codetext"/>
        </w:rPr>
        <w:t>ā</w:t>
      </w:r>
      <w:r>
        <w:rPr>
          <w:rStyle w:val="Code"/>
        </w:rPr>
        <w:t>&lt;/sic&gt;&lt;corr&gt;</w:t>
      </w:r>
      <w:r>
        <w:rPr>
          <w:rStyle w:val="Codetext"/>
        </w:rPr>
        <w:t>a</w:t>
      </w:r>
      <w:r>
        <w:rPr>
          <w:rStyle w:val="Code"/>
        </w:rPr>
        <w:t>&lt;/corr&gt;&lt;/choice&gt;</w:t>
      </w:r>
    </w:p>
    <w:p w14:paraId="51140992" w14:textId="77777777">
      <w:pPr>
        <w:pStyle w:val="Cmsor3"/>
      </w:pPr>
      <w:bookmarkStart w:id="670" w:name="_Ref232089210"/>
      <w:bookmarkStart w:id="671" w:name="_Toc243900348"/>
      <w:r>
        <w:t>Editorial intervention in metrical verse</w:t>
      </w:r>
      <w:bookmarkEnd w:id="664"/>
      <w:bookmarkEnd w:id="670"/>
      <w:bookmarkEnd w:id="671"/>
    </w:p>
    <w:p w14:paraId="08C0116A" w14:textId="77777777">
      <w:r>
        <w:t>Scribal mistakes, non-standard language, and the correction or normalisation thereof, can interfere with prosody, therefore editorial intervention in metrical verse must be executed with extra care. The leading principles are the following:</w:t>
      </w:r>
    </w:p>
    <w:p w14:paraId="4B68CE26" w14:textId="77777777">
      <w:pPr>
        <w:pStyle w:val="Lista"/>
      </w:pPr>
      <w:r>
        <w:t>if a correction or normalisation is encoded in verse, then the prosody of the locus is to be understood as the prosody of the rectified (and not the received) reading; therefore</w:t>
      </w:r>
    </w:p>
    <w:p w14:paraId="0EB95BF4" w14:textId="77777777">
      <w:pPr>
        <w:pStyle w:val="Lista2"/>
      </w:pPr>
      <w:r>
        <w:t xml:space="preserve">if the prosody is deviant in the received text but appropriate in the rectified text, then the line containing the anomaly does not need encoding for a metrical deviation </w:t>
      </w:r>
    </w:p>
    <w:p w14:paraId="78095270" w14:textId="77777777">
      <w:pPr>
        <w:pStyle w:val="Lista2"/>
      </w:pPr>
      <w:r>
        <w:t xml:space="preserve">if the prosody is deviant in the rectified text, then the line containing the anomaly must be encoded as metrically deviant </w:t>
      </w:r>
      <w:r>
        <w:rPr>
          <w:noProof/>
        </w:rPr>
        <w:t>(</w:t>
      </w:r>
      <w:r>
        <w:t xml:space="preserve">with the attribute </w:t>
      </w:r>
      <w:r>
        <w:rPr>
          <w:rStyle w:val="Codeattribute"/>
        </w:rPr>
        <w:t>@real</w:t>
      </w:r>
      <w:r>
        <w:t>, as per §</w:t>
      </w:r>
      <w:r>
        <w:fldChar w:fldCharType="begin"/>
      </w:r>
      <w:r>
        <w:instrText xml:space="preserve"> REF _Ref43980303 \r \h  \* MERGEFORMAT </w:instrText>
      </w:r>
      <w:r>
        <w:fldChar w:fldCharType="separate"/>
      </w:r>
      <w:r>
        <w:t>3.3.4.1</w:t>
      </w:r>
      <w:r>
        <w:fldChar w:fldCharType="end"/>
      </w:r>
      <w:r>
        <w:t>)</w:t>
      </w:r>
    </w:p>
    <w:p w14:paraId="18AC98BD" w14:textId="77777777">
      <w:pPr>
        <w:pStyle w:val="Lista"/>
      </w:pPr>
      <w:r>
        <w:t>in rectifying anomalies in verse, correct prosody should be prioritised over linguistic neatness; therefore</w:t>
      </w:r>
    </w:p>
    <w:p w14:paraId="306C3C7D" w14:textId="77777777">
      <w:pPr>
        <w:pStyle w:val="Lista2"/>
      </w:pPr>
      <w:r>
        <w:t>always correct scribal mistakes and standardise non-standard usage where such an intervention can restore faulty prosody to the expected</w:t>
      </w:r>
    </w:p>
    <w:p w14:paraId="4359593B" w14:textId="77777777">
      <w:pPr>
        <w:pStyle w:val="Lista2"/>
      </w:pPr>
      <w:r>
        <w:t>abstain from encoding either a correction or a normalisation (and instead, merely flag the spot) if doing so would disrupt otherwise correct metre</w:t>
      </w:r>
    </w:p>
    <w:p w14:paraId="55C113C2" w14:textId="77777777">
      <w:pPr>
        <w:pStyle w:val="Lista2"/>
      </w:pPr>
      <w:r>
        <w:t>but keep in mind that non-standard prosody has a right to exist, and do not “correct” non-standard prosody in reasonably correct language just to put the metre right</w:t>
      </w:r>
    </w:p>
    <w:p w14:paraId="6B1FE5D2" w14:textId="402AE596">
      <w:pPr>
        <w:pStyle w:val="Lista"/>
      </w:pPr>
      <w:r>
        <w:t>“correct prosody” in this context means the prosody expected on the basis of the applicable template</w:t>
      </w:r>
    </w:p>
    <w:p w14:paraId="41C09C28" w14:textId="3AE24752">
      <w:pPr>
        <w:pStyle w:val="Lista2"/>
      </w:pPr>
      <w:r>
        <w:t xml:space="preserve">in order to facilitate research on prosody, all deviations from the standard rules shall preferably be encoded with </w:t>
      </w:r>
      <w:r>
        <w:rPr>
          <w:rStyle w:val="Codeattribute"/>
        </w:rPr>
        <w:t>@real</w:t>
      </w:r>
      <w:r>
        <w:t xml:space="preserve"> including</w:t>
      </w:r>
    </w:p>
    <w:p w14:paraId="15336F8B" w14:textId="77777777">
      <w:pPr>
        <w:pStyle w:val="Lista3"/>
      </w:pPr>
      <w:r>
        <w:rPr>
          <w:rStyle w:val="Foreign"/>
        </w:rPr>
        <w:t>vipulā anuṣṭubh</w:t>
      </w:r>
      <w:r>
        <w:t xml:space="preserve"> (§</w:t>
      </w:r>
      <w:r>
        <w:fldChar w:fldCharType="begin"/>
      </w:r>
      <w:r>
        <w:instrText xml:space="preserve"> REF _Ref224725166 \r \h </w:instrText>
      </w:r>
      <w:r>
        <w:fldChar w:fldCharType="separate"/>
      </w:r>
      <w:r>
        <w:t>3.3.4.1</w:t>
      </w:r>
      <w:r>
        <w:fldChar w:fldCharType="end"/>
      </w:r>
      <w:r>
        <w:t>)</w:t>
      </w:r>
    </w:p>
    <w:p w14:paraId="714AE622" w14:textId="77777777">
      <w:pPr>
        <w:pStyle w:val="Lista3"/>
      </w:pPr>
      <w:r>
        <w:t>the presumed use of poetic licence</w:t>
      </w:r>
    </w:p>
    <w:p w14:paraId="616BA0DC" w14:textId="77777777">
      <w:pPr>
        <w:pStyle w:val="Lista"/>
      </w:pPr>
      <w:r>
        <w:t>detailed instructions for possible scenarios are given in the subsections below</w:t>
      </w:r>
    </w:p>
    <w:p w14:paraId="7906F129" w14:textId="77777777">
      <w:pPr>
        <w:pStyle w:val="Cmsor4"/>
      </w:pPr>
      <w:r>
        <w:t>If the prosody is incorrect, but the language is not anomalous</w:t>
      </w:r>
    </w:p>
    <w:p w14:paraId="1A5E988D" w14:textId="77777777">
      <w:r>
        <w:t>If the received text has deviant metre, but is otherwise linguistically standard, correct and meaningful, then editorial intervention is usually not warranted. Incorrect or non-standard metre does not in itself constitute grounds for correction or normalisation. Instead, encode the metrical deviation as per §</w:t>
      </w:r>
      <w:r>
        <w:fldChar w:fldCharType="begin"/>
      </w:r>
      <w:r>
        <w:instrText xml:space="preserve"> REF _Ref224726481 \r \h </w:instrText>
      </w:r>
      <w:r>
        <w:fldChar w:fldCharType="separate"/>
      </w:r>
      <w:r>
        <w:t>3.3.4.2</w:t>
      </w:r>
      <w:r>
        <w:fldChar w:fldCharType="end"/>
      </w:r>
      <w:r>
        <w:t>. Editorial intervention is, however, permitted if you can thereby restore the expected metre and believe that your intervention is in line with the composer’s intent, i.e. that the metrical deviation is a result of scribal mistake. In this case proceed as in §</w:t>
      </w:r>
      <w:r>
        <w:fldChar w:fldCharType="begin"/>
      </w:r>
      <w:r>
        <w:instrText xml:space="preserve"> REF _Ref229047302 \r \h </w:instrText>
      </w:r>
      <w:r>
        <w:fldChar w:fldCharType="separate"/>
      </w:r>
      <w:r>
        <w:t>7.7.4.2</w:t>
      </w:r>
      <w:r>
        <w:fldChar w:fldCharType="end"/>
      </w:r>
      <w:r>
        <w:t>.</w:t>
      </w:r>
    </w:p>
    <w:p w14:paraId="3A0F0701" w14:textId="77777777">
      <w:pPr>
        <w:pStyle w:val="Normlbehzs"/>
      </w:pPr>
      <w:r>
        <w:lastRenderedPageBreak/>
        <w:t>As a special case, a prosodic deviation in linguistically standard text can sometimes be corrected by the application of a straightforward “de-normalisation” where the composer presumably had a metrically appropriate non-standard form in mind, but the scribe has replaced this with the metrically inappropriate standard form.</w:t>
      </w:r>
    </w:p>
    <w:p w14:paraId="6D8C8A87" w14:textId="77777777">
      <w:pPr>
        <w:pStyle w:val="Lista"/>
      </w:pPr>
      <w:r>
        <w:t xml:space="preserve">de-normalisation should not be encoded in your edition: instead, add </w:t>
      </w:r>
      <w:r>
        <w:rPr>
          <w:rStyle w:val="Codeattribute"/>
        </w:rPr>
        <w:t>@real</w:t>
      </w:r>
      <w:r>
        <w:t xml:space="preserve">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 xml:space="preserve">), and explain the situation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43AB3CBA" w14:textId="77777777">
      <w:pPr>
        <w:pStyle w:val="Lista"/>
      </w:pPr>
      <w:r>
        <w:t xml:space="preserve">for example, in an even </w:t>
      </w:r>
      <w:r>
        <w:rPr>
          <w:rStyle w:val="Foreign"/>
        </w:rPr>
        <w:t>pāda</w:t>
      </w:r>
      <w:r>
        <w:t xml:space="preserve"> of an </w:t>
      </w:r>
      <w:r>
        <w:rPr>
          <w:rStyle w:val="Foreign"/>
        </w:rPr>
        <w:t>anuṣṭubh</w:t>
      </w:r>
      <w:r>
        <w:t xml:space="preserve"> stanza: </w:t>
      </w:r>
    </w:p>
    <w:p w14:paraId="1B4583C3" w14:textId="77777777">
      <w:pPr>
        <w:pStyle w:val="Lista2"/>
      </w:pP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kṣitīśa-siṅhavarmmaṇas</w:t>
      </w:r>
      <w:r>
        <w:rPr>
          <w:rStyle w:val="Code"/>
        </w:rPr>
        <w:t>&lt;/l&gt;</w:t>
      </w:r>
      <w:r>
        <w:t xml:space="preserve"> </w:t>
      </w:r>
    </w:p>
    <w:p w14:paraId="54DCA1A9" w14:textId="77777777">
      <w:pPr>
        <w:pStyle w:val="Lista2"/>
      </w:pPr>
      <w:r>
        <w:t xml:space="preserve">accompanied by a note explaining that the non-standard form </w:t>
      </w:r>
      <w:r>
        <w:rPr>
          <w:rStyle w:val="Foreign"/>
        </w:rPr>
        <w:t>siṅhavarmmasya</w:t>
      </w:r>
      <w:r>
        <w:t>, for which parallels are known to occur in related texts, would be metrically correct</w:t>
      </w:r>
    </w:p>
    <w:p w14:paraId="2F32B7B9" w14:textId="77777777">
      <w:pPr>
        <w:pStyle w:val="Cmsor4"/>
      </w:pPr>
      <w:bookmarkStart w:id="672" w:name="_Ref229047302"/>
      <w:r>
        <w:t>If rectifying an anomaly can achieve correct prosody</w:t>
      </w:r>
      <w:bookmarkEnd w:id="672"/>
    </w:p>
    <w:p w14:paraId="47BEFA31" w14:textId="77777777">
      <w:r>
        <w:t>If the prosody is deviant, but the correction of an error or the normalisation of non-standard orthography or morphology can restore the prosody to the expected pattern, proceed as follows.</w:t>
      </w:r>
    </w:p>
    <w:p w14:paraId="0490F64E" w14:textId="77777777">
      <w:pPr>
        <w:pStyle w:val="Lista"/>
      </w:pPr>
      <w:r>
        <w:t>rectify the anomaly even if you would ignore or merely flag the same anomaly in other circumstances</w:t>
      </w:r>
    </w:p>
    <w:p w14:paraId="4845D345" w14:textId="77777777">
      <w:pPr>
        <w:pStyle w:val="Lista2"/>
      </w:pPr>
      <w:r>
        <w:t>unless you feel that doing so would be contrary to the composer’s intent, in which case proceed as in §</w:t>
      </w:r>
      <w:r>
        <w:fldChar w:fldCharType="begin"/>
      </w:r>
      <w:r>
        <w:instrText xml:space="preserve"> REF _Ref229048033 \r \h </w:instrText>
      </w:r>
      <w:r>
        <w:fldChar w:fldCharType="separate"/>
      </w:r>
      <w:r>
        <w:t>7.7.4.3</w:t>
      </w:r>
      <w:r>
        <w:fldChar w:fldCharType="end"/>
      </w:r>
    </w:p>
    <w:p w14:paraId="39C6DC1A" w14:textId="77777777">
      <w:pPr>
        <w:pStyle w:val="Lista"/>
      </w:pPr>
      <w:r>
        <w:t>encode this intervention as a correction, even if in other circumstances you would encode the same intervention as normalisation</w:t>
      </w:r>
    </w:p>
    <w:p w14:paraId="1CF6A9B7" w14:textId="77777777">
      <w:pPr>
        <w:pStyle w:val="Lista2"/>
      </w:pPr>
      <w:r>
        <w:t>the underlying assumption in this case is that the composer had the correct or standard form in mind, but that form has been replaced by an incorrect or non-standard form in the process of the creation of the document</w:t>
      </w:r>
    </w:p>
    <w:p w14:paraId="3DD983E8" w14:textId="77777777">
      <w:pPr>
        <w:pStyle w:val="Lista"/>
      </w:pPr>
      <w:r>
        <w:t xml:space="preserve">do not add </w:t>
      </w:r>
      <w:r>
        <w:rPr>
          <w:rStyle w:val="Codeattribute"/>
        </w:rPr>
        <w:t>@real</w:t>
      </w:r>
      <w:r>
        <w:t xml:space="preserve"> to the </w:t>
      </w:r>
      <w:r>
        <w:rPr>
          <w:rStyle w:val="Code"/>
        </w:rPr>
        <w:t>&lt;l&gt;</w:t>
      </w:r>
      <w:r>
        <w:t xml:space="preserve"> element affected</w:t>
      </w:r>
      <w:r>
        <w:rPr>
          <w:noProof/>
        </w:rPr>
        <w:t>, since the prosody has been restored</w:t>
      </w:r>
    </w:p>
    <w:p w14:paraId="5CA63E7C" w14:textId="77777777">
      <w:pPr>
        <w:pStyle w:val="Lista"/>
      </w:pPr>
      <w:r>
        <w:t xml:space="preserve">for example, in an odd </w:t>
      </w:r>
      <w:r>
        <w:rPr>
          <w:rStyle w:val="Foreign"/>
        </w:rPr>
        <w:t>pāda</w:t>
      </w:r>
      <w:r>
        <w:t xml:space="preserve"> of an </w:t>
      </w:r>
      <w:r>
        <w:rPr>
          <w:rStyle w:val="Foreign"/>
        </w:rPr>
        <w:t>anuṣṭubh</w:t>
      </w:r>
      <w:r>
        <w:t xml:space="preserve"> stanza:</w:t>
      </w:r>
    </w:p>
    <w:p w14:paraId="70B807C4" w14:textId="77777777">
      <w:pPr>
        <w:pStyle w:val="Lista2"/>
      </w:pPr>
      <w:r>
        <w:rPr>
          <w:rStyle w:val="Code"/>
        </w:rPr>
        <w:t xml:space="preserve">&lt;l </w:t>
      </w:r>
      <w:r>
        <w:rPr>
          <w:rStyle w:val="Codeattribute"/>
        </w:rPr>
        <w:t>n</w:t>
      </w:r>
      <w:r>
        <w:rPr>
          <w:rStyle w:val="Code"/>
        </w:rPr>
        <w:t>=</w:t>
      </w:r>
      <w:r>
        <w:rPr>
          <w:rStyle w:val="Codevalue"/>
        </w:rPr>
        <w:t>"c"</w:t>
      </w:r>
      <w:r>
        <w:rPr>
          <w:rStyle w:val="Code"/>
        </w:rPr>
        <w:t>&gt;</w:t>
      </w:r>
      <w:r>
        <w:rPr>
          <w:rStyle w:val="Codetext"/>
        </w:rPr>
        <w:t xml:space="preserve">ṣaṣṭi </w:t>
      </w:r>
      <w:r>
        <w:rPr>
          <w:rStyle w:val="Code"/>
        </w:rPr>
        <w:t>&lt;choice&gt;&lt;sic&gt;</w:t>
      </w:r>
      <w:r>
        <w:rPr>
          <w:rStyle w:val="Codetext"/>
        </w:rPr>
        <w:t>varuṣa</w:t>
      </w:r>
      <w:r>
        <w:rPr>
          <w:rStyle w:val="Code"/>
        </w:rPr>
        <w:t>&lt;/sic&gt;&lt;corr&gt;</w:t>
      </w:r>
      <w:r>
        <w:rPr>
          <w:rStyle w:val="Codetext"/>
        </w:rPr>
        <w:t>varṣa</w:t>
      </w:r>
      <w:r>
        <w:rPr>
          <w:rStyle w:val="Code"/>
        </w:rPr>
        <w:t>&lt;/corr&gt;&lt;/choice&gt;</w:t>
      </w:r>
      <w:r>
        <w:rPr>
          <w:rStyle w:val="Codetext"/>
        </w:rPr>
        <w:t>-sahasrāṇi</w:t>
      </w:r>
      <w:r>
        <w:rPr>
          <w:rStyle w:val="Code"/>
        </w:rPr>
        <w:t>&lt;/l&gt;</w:t>
      </w:r>
    </w:p>
    <w:p w14:paraId="5F0ED98C" w14:textId="77777777">
      <w:pPr>
        <w:pStyle w:val="Lista2"/>
      </w:pPr>
      <w:r>
        <w:t xml:space="preserve">where </w:t>
      </w:r>
      <w:r>
        <w:rPr>
          <w:rStyle w:val="Foreign"/>
        </w:rPr>
        <w:t>varuṣa</w:t>
      </w:r>
      <w:r>
        <w:t xml:space="preserve"> is a vernacularised spelling of </w:t>
      </w:r>
      <w:r>
        <w:rPr>
          <w:rStyle w:val="Foreign"/>
        </w:rPr>
        <w:t>varṣa</w:t>
      </w:r>
      <w:r>
        <w:t xml:space="preserve"> that is hypermetrical here</w:t>
      </w:r>
    </w:p>
    <w:p w14:paraId="57BCA6B3" w14:textId="77777777">
      <w:pPr>
        <w:pStyle w:val="Lista2"/>
      </w:pPr>
      <w:r>
        <w:t xml:space="preserve">the alteration to </w:t>
      </w:r>
      <w:r>
        <w:rPr>
          <w:rStyle w:val="Foreign"/>
        </w:rPr>
        <w:t>varṣa</w:t>
      </w:r>
      <w:r>
        <w:t xml:space="preserve"> is encoded as a correction</w:t>
      </w:r>
    </w:p>
    <w:p w14:paraId="7B540EDE" w14:textId="77777777">
      <w:pPr>
        <w:pStyle w:val="Lista2"/>
      </w:pPr>
      <w:r>
        <w:t xml:space="preserve">since the intervention restores the expected metre, </w:t>
      </w:r>
      <w:r>
        <w:rPr>
          <w:rStyle w:val="Codeattribute"/>
        </w:rPr>
        <w:t>@real</w:t>
      </w:r>
      <w:r>
        <w:t xml:space="preserve"> is not encoded on the line</w:t>
      </w:r>
    </w:p>
    <w:p w14:paraId="62CB65CA" w14:textId="77777777">
      <w:pPr>
        <w:pStyle w:val="Cmsor4"/>
      </w:pPr>
      <w:bookmarkStart w:id="673" w:name="_Ref229048033"/>
      <w:r>
        <w:t>If correct prosody cannot be achieved</w:t>
      </w:r>
      <w:bookmarkEnd w:id="673"/>
    </w:p>
    <w:p w14:paraId="300CDC10" w14:textId="77777777">
      <w:r>
        <w:t>If the received text has both anomalous language and deviant prosody, but you see no straightforward way to restore the prosody to the expected pattern by correcting or normalising the language, or feel that doing so would change the intended meaning or be otherwise incompatible with the composer’s intent, proceed as follows.</w:t>
      </w:r>
    </w:p>
    <w:p w14:paraId="786317F1" w14:textId="77777777">
      <w:pPr>
        <w:pStyle w:val="Lista"/>
      </w:pPr>
      <w:r>
        <w:t xml:space="preserve">preferably, merely flag the anomaly and add </w:t>
      </w:r>
      <w:r>
        <w:rPr>
          <w:rStyle w:val="Codeattribute"/>
        </w:rPr>
        <w:t>@real</w:t>
      </w:r>
      <w:r>
        <w:t xml:space="preserve">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w:t>
      </w:r>
    </w:p>
    <w:p w14:paraId="0C9A795B" w14:textId="77777777">
      <w:pPr>
        <w:pStyle w:val="Lista2"/>
      </w:pPr>
      <w:r>
        <w:t xml:space="preserve">the proposed rectification of the anomaly may be mentioned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1D2E54D4" w14:textId="77777777">
      <w:pPr>
        <w:pStyle w:val="Lista2"/>
      </w:pPr>
      <w:r>
        <w:t xml:space="preserve">for example, in an even </w:t>
      </w:r>
      <w:r>
        <w:rPr>
          <w:rStyle w:val="Foreign"/>
        </w:rPr>
        <w:t>pāda</w:t>
      </w:r>
      <w:r>
        <w:t xml:space="preserve"> of an </w:t>
      </w:r>
      <w:r>
        <w:rPr>
          <w:rStyle w:val="Foreign"/>
        </w:rPr>
        <w:t>anuṣṭubh</w:t>
      </w:r>
      <w:r>
        <w:t xml:space="preserve"> stanza: </w:t>
      </w:r>
    </w:p>
    <w:p w14:paraId="15790868" w14:textId="77777777">
      <w:pPr>
        <w:pStyle w:val="Lista3"/>
      </w:pP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sva-dattāṁ para</w:t>
      </w:r>
      <w:r>
        <w:rPr>
          <w:rStyle w:val="Code"/>
        </w:rPr>
        <w:t xml:space="preserve">&lt;lb </w:t>
      </w:r>
      <w:r>
        <w:rPr>
          <w:rStyle w:val="Codeattribute"/>
        </w:rPr>
        <w:t>break</w:t>
      </w:r>
      <w:r>
        <w:rPr>
          <w:rStyle w:val="Code"/>
        </w:rPr>
        <w:t>=</w:t>
      </w:r>
      <w:r>
        <w:rPr>
          <w:rStyle w:val="Codevalue"/>
        </w:rPr>
        <w:t>"no"</w:t>
      </w:r>
      <w:r>
        <w:rPr>
          <w:rStyle w:val="Code"/>
        </w:rPr>
        <w:t xml:space="preserve"> </w:t>
      </w:r>
      <w:r>
        <w:rPr>
          <w:rStyle w:val="Codeattribute"/>
        </w:rPr>
        <w:t>n</w:t>
      </w:r>
      <w:r>
        <w:rPr>
          <w:rStyle w:val="Code"/>
        </w:rPr>
        <w:t>=</w:t>
      </w:r>
      <w:r>
        <w:rPr>
          <w:rStyle w:val="Codevalue"/>
        </w:rPr>
        <w:t>"20"</w:t>
      </w:r>
      <w:r>
        <w:rPr>
          <w:rStyle w:val="Code"/>
        </w:rPr>
        <w:t>/&gt;-</w:t>
      </w:r>
      <w:r>
        <w:rPr>
          <w:rStyle w:val="Codetext"/>
        </w:rPr>
        <w:t xml:space="preserve">dattām </w:t>
      </w:r>
      <w:r>
        <w:rPr>
          <w:rStyle w:val="Code"/>
        </w:rPr>
        <w:t>&lt;orig&gt;</w:t>
      </w:r>
      <w:r>
        <w:rPr>
          <w:rStyle w:val="Codetext"/>
        </w:rPr>
        <w:t>vāpi</w:t>
      </w:r>
      <w:r>
        <w:rPr>
          <w:rStyle w:val="Code"/>
        </w:rPr>
        <w:t>&lt;/orig&gt;&lt;/l&gt;</w:t>
      </w:r>
    </w:p>
    <w:p w14:paraId="5F444AE2" w14:textId="77777777">
      <w:pPr>
        <w:pStyle w:val="Lista3"/>
      </w:pPr>
      <w:r>
        <w:t xml:space="preserve">instead of </w:t>
      </w:r>
      <w:r>
        <w:rPr>
          <w:rStyle w:val="Foreign"/>
        </w:rPr>
        <w:t>vāpi</w:t>
      </w:r>
      <w:r>
        <w:t xml:space="preserve">, the standard version of this common stanza has </w:t>
      </w:r>
      <w:r>
        <w:rPr>
          <w:rStyle w:val="Foreign"/>
        </w:rPr>
        <w:t>vā</w:t>
      </w:r>
      <w:r>
        <w:t>, which is metrically appropriate</w:t>
      </w:r>
    </w:p>
    <w:p w14:paraId="59F9966B" w14:textId="77777777">
      <w:pPr>
        <w:pStyle w:val="Lista3"/>
        <w:rPr>
          <w:rStyle w:val="Foreign"/>
          <w:i w:val="0"/>
          <w:iCs w:val="0"/>
          <w:noProof w:val="0"/>
        </w:rPr>
      </w:pPr>
      <w:r>
        <w:t xml:space="preserve">but since </w:t>
      </w:r>
      <w:r>
        <w:rPr>
          <w:rStyle w:val="Foreign"/>
        </w:rPr>
        <w:t>vāpi</w:t>
      </w:r>
      <w:r>
        <w:t xml:space="preserve"> is morphologically and orthographically correct, fully standard, and meaningful in the context, it is assumed to be deliberate and only flagged as original and not corrected to </w:t>
      </w:r>
      <w:r>
        <w:rPr>
          <w:rStyle w:val="Foreign"/>
        </w:rPr>
        <w:t>vā</w:t>
      </w:r>
    </w:p>
    <w:p w14:paraId="570C6A4D" w14:textId="77777777">
      <w:pPr>
        <w:pStyle w:val="Lista"/>
      </w:pPr>
      <w:r>
        <w:t>however, if you feel confident that a particular correction or normalisation is warranted, you may choose to implement it at your discretion even if doing so still leaves the prosody deviant</w:t>
      </w:r>
    </w:p>
    <w:p w14:paraId="1256E73D" w14:textId="77777777">
      <w:pPr>
        <w:pStyle w:val="Lista2"/>
      </w:pPr>
      <w:r>
        <w:t xml:space="preserve">the pattern encoded in </w:t>
      </w:r>
      <w:r>
        <w:rPr>
          <w:rStyle w:val="Codeattribute"/>
        </w:rPr>
        <w:t>@real</w:t>
      </w:r>
      <w:r>
        <w:t xml:space="preserve"> must in this case correspond to the prosody of the rectified text, not that of the received text</w:t>
      </w:r>
    </w:p>
    <w:p w14:paraId="2AF1CBC7" w14:textId="77777777">
      <w:pPr>
        <w:pStyle w:val="Cmsor4"/>
      </w:pPr>
      <w:r>
        <w:t>If rectification would disrupt correct prosody</w:t>
      </w:r>
    </w:p>
    <w:p w14:paraId="1923691D" w14:textId="77777777">
      <w:pPr>
        <w:rPr>
          <w:lang w:eastAsia="en-US" w:bidi="ar-SA"/>
        </w:rPr>
      </w:pPr>
      <w:r>
        <w:rPr>
          <w:lang w:eastAsia="en-US" w:bidi="ar-SA"/>
        </w:rPr>
        <w:t>If the received text is anomalous in language but metrically appropriate, and rectifying the anomaly would render the prosody inappropriate, proceed as follows.</w:t>
      </w:r>
    </w:p>
    <w:p w14:paraId="7E842C83" w14:textId="77777777">
      <w:pPr>
        <w:pStyle w:val="Lista"/>
      </w:pPr>
      <w:r>
        <w:lastRenderedPageBreak/>
        <w:t>preferably, abstain from implementing the correction or normalisation</w:t>
      </w:r>
    </w:p>
    <w:p w14:paraId="2FAC9986" w14:textId="77777777">
      <w:pPr>
        <w:pStyle w:val="Lista2"/>
      </w:pPr>
      <w:r>
        <w:t>instead, simply flag the spot as erroneous or non-standard</w:t>
      </w:r>
    </w:p>
    <w:p w14:paraId="0B8A6DF1" w14:textId="77777777">
      <w:pPr>
        <w:pStyle w:val="Lista3"/>
      </w:pPr>
      <w:r>
        <w:t xml:space="preserve">the correct or standard form may be mentioned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58A87C3C" w14:textId="77777777">
      <w:pPr>
        <w:pStyle w:val="Lista2"/>
      </w:pPr>
      <w:r>
        <w:t xml:space="preserve">for example, in a </w:t>
      </w:r>
      <w:r>
        <w:rPr>
          <w:rStyle w:val="Foreign"/>
        </w:rPr>
        <w:t>vasantatilakā</w:t>
      </w:r>
      <w:r>
        <w:t xml:space="preserve"> stanza, </w:t>
      </w:r>
      <w:r>
        <w:rPr>
          <w:rStyle w:val="Code"/>
        </w:rPr>
        <w:t xml:space="preserve">&lt;l </w:t>
      </w:r>
      <w:r>
        <w:rPr>
          <w:rStyle w:val="Codeattribute"/>
        </w:rPr>
        <w:t>n</w:t>
      </w:r>
      <w:r>
        <w:rPr>
          <w:rStyle w:val="Code"/>
        </w:rPr>
        <w:t>=</w:t>
      </w:r>
      <w:r>
        <w:rPr>
          <w:rStyle w:val="Codevalue"/>
        </w:rPr>
        <w:t>"a"</w:t>
      </w:r>
      <w:r>
        <w:rPr>
          <w:rStyle w:val="Code"/>
        </w:rPr>
        <w:t>&gt;</w:t>
      </w:r>
      <w:r>
        <w:rPr>
          <w:rStyle w:val="Codetext"/>
        </w:rPr>
        <w:t>saḥ sarvva-satva-satat</w:t>
      </w:r>
      <w:r>
        <w:rPr>
          <w:rStyle w:val="Code"/>
        </w:rPr>
        <w:t>&lt;orig&gt;</w:t>
      </w:r>
      <w:r>
        <w:rPr>
          <w:rStyle w:val="Codetext"/>
        </w:rPr>
        <w:t>ārtthibhi</w:t>
      </w:r>
      <w:r>
        <w:rPr>
          <w:rStyle w:val="Code"/>
        </w:rPr>
        <w:t>&lt;/orig&gt;</w:t>
      </w:r>
      <w:r>
        <w:rPr>
          <w:rStyle w:val="Codetext"/>
        </w:rPr>
        <w:t xml:space="preserve"> nitya-dātā</w:t>
      </w:r>
      <w:r>
        <w:rPr>
          <w:rStyle w:val="Code"/>
        </w:rPr>
        <w:t>&lt;/l&gt;</w:t>
      </w:r>
    </w:p>
    <w:p w14:paraId="52B2E0CA" w14:textId="77777777">
      <w:pPr>
        <w:pStyle w:val="Lista3"/>
      </w:pPr>
      <w:r>
        <w:t xml:space="preserve">the metre is correct, but the form </w:t>
      </w:r>
      <w:r>
        <w:rPr>
          <w:rStyle w:val="Foreign"/>
        </w:rPr>
        <w:t>°ārtthibhi</w:t>
      </w:r>
      <w:r>
        <w:t xml:space="preserve"> is a solecism for expected </w:t>
      </w:r>
      <w:r>
        <w:rPr>
          <w:rStyle w:val="Foreign"/>
        </w:rPr>
        <w:t>°ārtthibhyo</w:t>
      </w:r>
      <w:r>
        <w:t>, which in turn would be metrically incorrect, so the locus has been merely flagged as non-standard</w:t>
      </w:r>
    </w:p>
    <w:p w14:paraId="33667ACD" w14:textId="77777777">
      <w:pPr>
        <w:pStyle w:val="Lista"/>
      </w:pPr>
      <w:r>
        <w:t>however, if you deem that correction or normalisation within the edition is essential, then you may encode it</w:t>
      </w:r>
    </w:p>
    <w:p w14:paraId="7D81E701" w14:textId="77777777">
      <w:pPr>
        <w:pStyle w:val="Lista2"/>
      </w:pPr>
      <w:r>
        <w:t xml:space="preserve">in this case, </w:t>
      </w:r>
      <w:r>
        <w:rPr>
          <w:rStyle w:val="Codeattribute"/>
        </w:rPr>
        <w:t>@real</w:t>
      </w:r>
      <w:r>
        <w:t xml:space="preserve"> must be added to the </w:t>
      </w:r>
      <w:r>
        <w:rPr>
          <w:rStyle w:val="Code"/>
        </w:rPr>
        <w:t>&lt;l&gt;</w:t>
      </w:r>
      <w:r>
        <w:t xml:space="preserve"> element affected </w:t>
      </w:r>
      <w:r>
        <w:rPr>
          <w:noProof/>
        </w:rPr>
        <w:t>(</w:t>
      </w:r>
      <w:r>
        <w:t>§</w:t>
      </w:r>
      <w:r>
        <w:fldChar w:fldCharType="begin"/>
      </w:r>
      <w:r>
        <w:instrText xml:space="preserve"> REF _Ref43980303 \r \h  \* MERGEFORMAT </w:instrText>
      </w:r>
      <w:r>
        <w:fldChar w:fldCharType="separate"/>
      </w:r>
      <w:r>
        <w:t>3.3.4.1</w:t>
      </w:r>
      <w:r>
        <w:fldChar w:fldCharType="end"/>
      </w:r>
      <w:r>
        <w:t>), with a value corresponding to the prosody of the rectified text</w:t>
      </w:r>
    </w:p>
    <w:p w14:paraId="7B881E13" w14:textId="77777777">
      <w:pPr>
        <w:pStyle w:val="Lista2"/>
      </w:pPr>
      <w:r>
        <w:t xml:space="preserve">for example, normalising the above excerpt: </w:t>
      </w:r>
      <w:r>
        <w:rPr>
          <w:rStyle w:val="Code"/>
        </w:rPr>
        <w:t xml:space="preserve">&lt;l </w:t>
      </w:r>
      <w:r>
        <w:rPr>
          <w:rStyle w:val="Codeattribute"/>
        </w:rPr>
        <w:t>n</w:t>
      </w:r>
      <w:r>
        <w:rPr>
          <w:rStyle w:val="Code"/>
        </w:rPr>
        <w:t>=</w:t>
      </w:r>
      <w:r>
        <w:rPr>
          <w:rStyle w:val="Codevalue"/>
        </w:rPr>
        <w:t>"a"</w:t>
      </w:r>
      <w:r>
        <w:rPr>
          <w:rStyle w:val="Code"/>
        </w:rPr>
        <w:t xml:space="preserve"> </w:t>
      </w:r>
      <w:r>
        <w:rPr>
          <w:rStyle w:val="Codeattribute"/>
        </w:rPr>
        <w:t>real</w:t>
      </w:r>
      <w:r>
        <w:rPr>
          <w:rStyle w:val="Code"/>
        </w:rPr>
        <w:t>=</w:t>
      </w:r>
      <w:r>
        <w:rPr>
          <w:rStyle w:val="Codevalue"/>
        </w:rPr>
        <w:t>"++-+---++++-++"</w:t>
      </w:r>
      <w:r>
        <w:rPr>
          <w:rStyle w:val="Code"/>
        </w:rPr>
        <w:t>&gt;</w:t>
      </w:r>
      <w:r>
        <w:rPr>
          <w:rStyle w:val="Codetext"/>
        </w:rPr>
        <w:t>saḥ sarvva-satva-satat</w:t>
      </w:r>
      <w:r>
        <w:rPr>
          <w:rStyle w:val="Code"/>
        </w:rPr>
        <w:t>&lt;choice&gt;&lt;orig&gt;</w:t>
      </w:r>
      <w:r>
        <w:rPr>
          <w:rStyle w:val="Codetext"/>
        </w:rPr>
        <w:t>ārtthibhi</w:t>
      </w:r>
      <w:r>
        <w:rPr>
          <w:rStyle w:val="Code"/>
        </w:rPr>
        <w:t>&lt;/orig&gt;&lt;reg&gt;</w:t>
      </w:r>
      <w:r>
        <w:rPr>
          <w:rStyle w:val="Codetext"/>
        </w:rPr>
        <w:t>ārtthibhyo</w:t>
      </w:r>
      <w:r>
        <w:rPr>
          <w:rStyle w:val="Code"/>
        </w:rPr>
        <w:t>&lt;/reg&gt;&lt;/choice&gt;</w:t>
      </w:r>
      <w:r>
        <w:rPr>
          <w:rStyle w:val="Codetext"/>
        </w:rPr>
        <w:t xml:space="preserve"> nitya-dātā</w:t>
      </w:r>
      <w:r>
        <w:rPr>
          <w:rStyle w:val="Code"/>
        </w:rPr>
        <w:t>&lt;/l&gt;</w:t>
      </w:r>
    </w:p>
    <w:p w14:paraId="2FF6C3E7" w14:textId="77777777">
      <w:pPr>
        <w:pStyle w:val="Cmsor3"/>
      </w:pPr>
      <w:bookmarkStart w:id="674" w:name="_Toc243900349"/>
      <w:bookmarkStart w:id="675" w:name="_Ref43988493"/>
      <w:r>
        <w:t>Nesting correction and normalisation</w:t>
      </w:r>
      <w:bookmarkEnd w:id="674"/>
      <w:r>
        <w:t xml:space="preserve"> </w:t>
      </w:r>
      <w:bookmarkEnd w:id="675"/>
    </w:p>
    <w:p w14:paraId="28C63848" w14:textId="77777777">
      <w:r>
        <w:t xml:space="preserve">Should you find it necessary to do so, it is technically possible acceptable to use error encoding </w:t>
      </w:r>
      <w:r>
        <w:rPr>
          <w:noProof/>
        </w:rPr>
        <w:t>(</w:t>
      </w:r>
      <w:r>
        <w:t xml:space="preserve">including flagging, correction, suppression and suppletion) within the markup for non-standard usage </w:t>
      </w:r>
      <w:r>
        <w:rPr>
          <w:noProof/>
        </w:rPr>
        <w:t>(</w:t>
      </w:r>
      <w:r>
        <w:t>including flagging and normalisation). This corresponds to the editorial opinion that a non-standard reading (corresponding to the composer’s intent) was written erroneously by the scribe. In such a case, the recommendation is to include an entire word as relevant context in the markup for non-standard usage, to separate it more clearly for the specific locus of the error. Because of the complexity involved, it is recommended that you use this method (especially its most complex variant, correction within normalisation) sparingly and instead try encoding the two interventions on separate chunks of text or, when this is not possible, resort to annotation.</w:t>
      </w:r>
    </w:p>
    <w:p w14:paraId="5769E0F2" w14:textId="77777777">
      <w:pPr>
        <w:pStyle w:val="Lista"/>
        <w:rPr>
          <w:rStyle w:val="Code"/>
          <w:rFonts w:ascii="Gentium" w:hAnsi="Gentium" w:cs="Tiro Devanagari Sanskrit"/>
          <w:noProof w:val="0"/>
          <w:color w:val="auto"/>
          <w:shd w:val="clear" w:color="auto" w:fill="auto"/>
        </w:rPr>
      </w:pPr>
      <w:r>
        <w:t xml:space="preserve">for example, the word </w:t>
      </w:r>
      <w:r>
        <w:rPr>
          <w:rStyle w:val="Foreign"/>
        </w:rPr>
        <w:t>mahārajñaḥ</w:t>
      </w:r>
      <w:r>
        <w:t xml:space="preserve"> is non-standard (the standard genitive being </w:t>
      </w:r>
      <w:r>
        <w:rPr>
          <w:rStyle w:val="Foreign"/>
        </w:rPr>
        <w:t>mahārājasya</w:t>
      </w:r>
      <w:r>
        <w:t xml:space="preserve">) and also contains a likely scribal mistake (as the correct non-standard form would be </w:t>
      </w:r>
      <w:r>
        <w:rPr>
          <w:rStyle w:val="Foreign"/>
        </w:rPr>
        <w:t>mahārājñaḥ</w:t>
      </w:r>
      <w:r>
        <w:t>)</w:t>
      </w:r>
    </w:p>
    <w:p w14:paraId="13E78600" w14:textId="77777777">
      <w:pPr>
        <w:pStyle w:val="Lista2"/>
      </w:pPr>
      <w:r>
        <w:t xml:space="preserve">flagged for both anomalies: </w:t>
      </w:r>
      <w:r>
        <w:rPr>
          <w:rStyle w:val="Code"/>
        </w:rPr>
        <w:t>&lt;orig&gt;</w:t>
      </w:r>
      <w:r>
        <w:rPr>
          <w:rStyle w:val="Codetext"/>
        </w:rPr>
        <w:t>mahār</w:t>
      </w:r>
      <w:r>
        <w:rPr>
          <w:rStyle w:val="Code"/>
        </w:rPr>
        <w:t>&lt;sic&gt;</w:t>
      </w:r>
      <w:r>
        <w:rPr>
          <w:rStyle w:val="Codetext"/>
        </w:rPr>
        <w:t>a</w:t>
      </w:r>
      <w:r>
        <w:rPr>
          <w:rStyle w:val="Code"/>
        </w:rPr>
        <w:t>&lt;/sic&gt;</w:t>
      </w:r>
      <w:r>
        <w:rPr>
          <w:rStyle w:val="Codetext"/>
        </w:rPr>
        <w:t>jñaḥ</w:t>
      </w:r>
      <w:r>
        <w:rPr>
          <w:rStyle w:val="Code"/>
        </w:rPr>
        <w:t>&lt;/orig&gt;</w:t>
      </w:r>
    </w:p>
    <w:p w14:paraId="340C588F" w14:textId="77777777">
      <w:pPr>
        <w:pStyle w:val="Lista2"/>
        <w:rPr>
          <w:rStyle w:val="Code"/>
          <w:rFonts w:ascii="Gentium Plus" w:hAnsi="Gentium Plus" w:cs="Arial Unicode MS"/>
          <w:noProof w:val="0"/>
          <w:color w:val="auto"/>
          <w:shd w:val="clear" w:color="auto" w:fill="auto"/>
        </w:rPr>
      </w:pPr>
      <w:r>
        <w:t xml:space="preserve">corrected and flagged for non-standard usage: </w:t>
      </w:r>
      <w:r>
        <w:rPr>
          <w:rStyle w:val="Code"/>
        </w:rPr>
        <w:t>&lt;orig&gt;</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jñaḥ</w:t>
      </w:r>
      <w:r>
        <w:rPr>
          <w:rStyle w:val="Code"/>
        </w:rPr>
        <w:t>&lt;/orig&gt;</w:t>
      </w:r>
    </w:p>
    <w:p w14:paraId="58AE4661" w14:textId="77777777">
      <w:pPr>
        <w:pStyle w:val="Lista3"/>
      </w:pPr>
      <w:r>
        <w:t>as in the above example, but the scribal mistake is corrected rather than only flagged</w:t>
      </w:r>
    </w:p>
    <w:p w14:paraId="30CEEEAD" w14:textId="77777777">
      <w:pPr>
        <w:pStyle w:val="Lista2"/>
        <w:rPr>
          <w:rStyle w:val="Code"/>
          <w:rFonts w:ascii="Gentium Plus" w:hAnsi="Gentium Plus" w:cs="Arial Unicode MS"/>
          <w:noProof w:val="0"/>
          <w:color w:val="auto"/>
          <w:shd w:val="clear" w:color="auto" w:fill="auto"/>
        </w:rPr>
      </w:pPr>
      <w:r>
        <w:t xml:space="preserve">corrected and normalised: </w:t>
      </w:r>
      <w:r>
        <w:rPr>
          <w:rStyle w:val="Code"/>
        </w:rPr>
        <w:t>&lt;choice&gt;&lt;orig&gt;</w:t>
      </w:r>
      <w:r>
        <w:rPr>
          <w:rStyle w:val="Codetext"/>
        </w:rPr>
        <w:t>mahār</w:t>
      </w:r>
      <w:r>
        <w:rPr>
          <w:rStyle w:val="Code"/>
        </w:rPr>
        <w:t xml:space="preserve"> &lt;choice&gt;&lt;sic&gt;</w:t>
      </w:r>
      <w:r>
        <w:rPr>
          <w:rStyle w:val="Codetext"/>
        </w:rPr>
        <w:t>a</w:t>
      </w:r>
      <w:r>
        <w:rPr>
          <w:rStyle w:val="Code"/>
        </w:rPr>
        <w:t>&lt;/sic&gt;&lt;corr&gt;</w:t>
      </w:r>
      <w:r>
        <w:rPr>
          <w:rStyle w:val="Codetext"/>
        </w:rPr>
        <w:t>ā</w:t>
      </w:r>
      <w:r>
        <w:rPr>
          <w:rStyle w:val="Code"/>
        </w:rPr>
        <w:t>&lt;/corr&gt;&lt;/choice&gt;</w:t>
      </w:r>
      <w:r>
        <w:rPr>
          <w:rStyle w:val="Codetext"/>
        </w:rPr>
        <w:t>jñaḥ</w:t>
      </w:r>
      <w:r>
        <w:rPr>
          <w:rStyle w:val="Code"/>
        </w:rPr>
        <w:t>&lt;/orig&gt;&lt;reg&gt;</w:t>
      </w:r>
      <w:r>
        <w:rPr>
          <w:rStyle w:val="Codetext"/>
        </w:rPr>
        <w:t>mahārājasya</w:t>
      </w:r>
      <w:r>
        <w:rPr>
          <w:rStyle w:val="Code"/>
        </w:rPr>
        <w:t>&lt;/reg&gt;&lt;/choice&gt;</w:t>
      </w:r>
    </w:p>
    <w:p w14:paraId="0DA72ADB" w14:textId="77777777">
      <w:pPr>
        <w:pStyle w:val="Lista2"/>
        <w:rPr>
          <w:rStyle w:val="Code"/>
          <w:rFonts w:ascii="Gentium Plus" w:hAnsi="Gentium Plus" w:cs="Arial Unicode MS"/>
          <w:noProof w:val="0"/>
          <w:color w:val="auto"/>
          <w:shd w:val="clear" w:color="auto" w:fill="auto"/>
        </w:rPr>
      </w:pPr>
      <w:r>
        <w:t xml:space="preserve">corrected and normalised as separate interventions without nesting: </w:t>
      </w:r>
      <w:r>
        <w:rPr>
          <w:rStyle w:val="Codetext"/>
        </w:rPr>
        <w:t>mahār</w:t>
      </w:r>
      <w:r>
        <w:rPr>
          <w:rStyle w:val="Code"/>
        </w:rPr>
        <w:t>&lt;choice&gt;&lt;sic&gt;</w:t>
      </w:r>
      <w:r>
        <w:rPr>
          <w:rStyle w:val="Codetext"/>
        </w:rPr>
        <w:t>a</w:t>
      </w:r>
      <w:r>
        <w:rPr>
          <w:rStyle w:val="Code"/>
        </w:rPr>
        <w:t>&lt;/sic&gt;&lt;corr&gt;</w:t>
      </w:r>
      <w:r>
        <w:rPr>
          <w:rStyle w:val="Codetext"/>
        </w:rPr>
        <w:t>ā</w:t>
      </w:r>
      <w:r>
        <w:rPr>
          <w:rStyle w:val="Code"/>
        </w:rPr>
        <w:t>&lt;/corr&gt;&lt;/choice&gt;</w:t>
      </w:r>
      <w:r>
        <w:rPr>
          <w:rStyle w:val="Codetext"/>
        </w:rPr>
        <w:t>j</w:t>
      </w:r>
      <w:r>
        <w:rPr>
          <w:rStyle w:val="Code"/>
        </w:rPr>
        <w:t>&lt;choice&gt;&lt;orig&gt;</w:t>
      </w:r>
      <w:r>
        <w:rPr>
          <w:rStyle w:val="Codetext"/>
        </w:rPr>
        <w:t>ñaḥ</w:t>
      </w:r>
      <w:r>
        <w:rPr>
          <w:rStyle w:val="Code"/>
        </w:rPr>
        <w:t>&lt;/orig&gt;&lt;reg&gt;</w:t>
      </w:r>
      <w:r>
        <w:rPr>
          <w:rStyle w:val="Codetext"/>
        </w:rPr>
        <w:t>asya</w:t>
      </w:r>
      <w:r>
        <w:rPr>
          <w:rStyle w:val="Code"/>
        </w:rPr>
        <w:t>&lt;/reg&gt;&lt;/choice&gt;</w:t>
      </w:r>
    </w:p>
    <w:p w14:paraId="6123DC63" w14:textId="77777777">
      <w:pPr>
        <w:pStyle w:val="Lista"/>
      </w:pPr>
      <w:r>
        <w:t>nesting editorial intervention in any other combination must be avoided; thus</w:t>
      </w:r>
    </w:p>
    <w:p w14:paraId="37CAB116" w14:textId="77777777">
      <w:pPr>
        <w:pStyle w:val="Lista2"/>
      </w:pPr>
      <w:r>
        <w:t>do not nest a normalisation within a correction</w:t>
      </w:r>
    </w:p>
    <w:p w14:paraId="75F85AC7" w14:textId="77777777">
      <w:pPr>
        <w:pStyle w:val="Lista2"/>
      </w:pPr>
      <w:r>
        <w:t>do not nest a correction within another correction</w:t>
      </w:r>
    </w:p>
    <w:p w14:paraId="53BF7090" w14:textId="77777777">
      <w:pPr>
        <w:pStyle w:val="Lista2"/>
      </w:pPr>
      <w:r>
        <w:t>do not nest a normalisation within another normalisation</w:t>
      </w:r>
    </w:p>
    <w:p w14:paraId="724E3048" w14:textId="77777777">
      <w:pPr>
        <w:pStyle w:val="Lista"/>
      </w:pPr>
      <w:r>
        <w:t xml:space="preserve">in situations where you feel that a received non-standard form is the result of two successive stages of non-standard alteration </w:t>
      </w:r>
      <w:r>
        <w:rPr>
          <w:noProof/>
        </w:rPr>
        <w:t>(</w:t>
      </w:r>
      <w:r>
        <w:t>e.g. non-standard morphology written with non-standard orthography), we recommend one of the following strategies</w:t>
      </w:r>
    </w:p>
    <w:p w14:paraId="3C9F308B" w14:textId="77777777">
      <w:pPr>
        <w:pStyle w:val="Lista2"/>
      </w:pPr>
      <w:r>
        <w:t xml:space="preserve">encode only the received reading </w:t>
      </w:r>
      <w:r>
        <w:rPr>
          <w:noProof/>
        </w:rPr>
        <w:t>(</w:t>
      </w:r>
      <w:r>
        <w:t xml:space="preserve">as </w:t>
      </w:r>
      <w:r>
        <w:rPr>
          <w:rStyle w:val="Code"/>
        </w:rPr>
        <w:t>&lt;orig&gt;</w:t>
      </w:r>
      <w:r>
        <w:t xml:space="preserve">) and the ultimate normalisation </w:t>
      </w:r>
      <w:r>
        <w:rPr>
          <w:noProof/>
        </w:rPr>
        <w:t>(</w:t>
      </w:r>
      <w:r>
        <w:t xml:space="preserve">as </w:t>
      </w:r>
      <w:r>
        <w:rPr>
          <w:rStyle w:val="Code"/>
        </w:rPr>
        <w:t>&lt;reg&gt;</w:t>
      </w:r>
      <w:r>
        <w:t xml:space="preserve">), and record your ideas about an intermediate stage in an apparatus note </w:t>
      </w:r>
      <w:r>
        <w:rPr>
          <w:noProof/>
        </w:rPr>
        <w:t>(</w:t>
      </w:r>
      <w:r>
        <w:t>§</w:t>
      </w:r>
      <w:r>
        <w:fldChar w:fldCharType="begin"/>
      </w:r>
      <w:r>
        <w:instrText xml:space="preserve"> REF _Ref43988104 \w \h  \* MERGEFORMAT </w:instrText>
      </w:r>
      <w:r>
        <w:fldChar w:fldCharType="separate"/>
      </w:r>
      <w:r>
        <w:t>10.7</w:t>
      </w:r>
      <w:r>
        <w:fldChar w:fldCharType="end"/>
      </w:r>
      <w:r>
        <w:t>)</w:t>
      </w:r>
    </w:p>
    <w:p w14:paraId="42161E09" w14:textId="77777777">
      <w:pPr>
        <w:pStyle w:val="Lista2"/>
      </w:pPr>
      <w:r>
        <w:t>or encode the intermediate stage as the correction of a scribal mistake in the received text and, as permitted above, encode a normalisation with that correction nested inside it, e.g.</w:t>
      </w:r>
    </w:p>
    <w:p w14:paraId="658B1B6E" w14:textId="77777777">
      <w:pPr>
        <w:pStyle w:val="Lista3"/>
      </w:pPr>
      <w:r>
        <w:t xml:space="preserve">for example, the word </w:t>
      </w:r>
      <w:r>
        <w:rPr>
          <w:rStyle w:val="Foreign"/>
        </w:rPr>
        <w:t>pāñcavarṣaIkā</w:t>
      </w:r>
      <w:r>
        <w:t xml:space="preserve"> is assumed to be a non-standard spelling of </w:t>
      </w:r>
      <w:r>
        <w:rPr>
          <w:rStyle w:val="Foreign"/>
        </w:rPr>
        <w:t>*pāñcavarṣayikā</w:t>
      </w:r>
      <w:r>
        <w:t xml:space="preserve">, which itself is a non-standard derivation whose expected form would be </w:t>
      </w:r>
      <w:r>
        <w:rPr>
          <w:rStyle w:val="Foreign"/>
        </w:rPr>
        <w:t>pāñcavarṣikā</w:t>
      </w:r>
    </w:p>
    <w:p w14:paraId="24A834D6" w14:textId="77777777">
      <w:pPr>
        <w:pStyle w:val="Lista3"/>
      </w:pPr>
      <w:r>
        <w:lastRenderedPageBreak/>
        <w:t xml:space="preserve">encoded with the received reading and the fully rectified reading: </w:t>
      </w:r>
      <w:r>
        <w:rPr>
          <w:rStyle w:val="Codetext"/>
        </w:rPr>
        <w:t>pāñcavarṣ</w:t>
      </w:r>
      <w:r>
        <w:rPr>
          <w:rStyle w:val="Code"/>
        </w:rPr>
        <w:t>&lt;choice&gt;&lt;orig&gt;</w:t>
      </w:r>
      <w:r>
        <w:rPr>
          <w:rStyle w:val="Codetext"/>
        </w:rPr>
        <w:t>aI</w:t>
      </w:r>
      <w:r>
        <w:rPr>
          <w:rStyle w:val="Code"/>
        </w:rPr>
        <w:t>&lt;/orig&gt;&lt;reg&gt;</w:t>
      </w:r>
      <w:r>
        <w:rPr>
          <w:rStyle w:val="Codetext"/>
        </w:rPr>
        <w:t>i</w:t>
      </w:r>
      <w:r>
        <w:rPr>
          <w:rStyle w:val="Code"/>
        </w:rPr>
        <w:t>&lt;/reg&gt;&lt;/choice&gt;</w:t>
      </w:r>
      <w:r>
        <w:rPr>
          <w:rStyle w:val="Codetext"/>
        </w:rPr>
        <w:t>kā</w:t>
      </w:r>
    </w:p>
    <w:p w14:paraId="63FFC278" w14:textId="77777777">
      <w:pPr>
        <w:pStyle w:val="Lista3"/>
      </w:pPr>
      <w:r>
        <w:t xml:space="preserve">encoded as correction nested in normalisation: </w:t>
      </w:r>
      <w:r>
        <w:rPr>
          <w:rStyle w:val="Codetext"/>
        </w:rPr>
        <w:t>pāñcavarṣ</w:t>
      </w:r>
      <w:r>
        <w:rPr>
          <w:rStyle w:val="Code"/>
        </w:rPr>
        <w:t>&lt;choice&gt;&lt;orig&gt;</w:t>
      </w:r>
      <w:r>
        <w:rPr>
          <w:rStyle w:val="Codetext"/>
        </w:rPr>
        <w:t>a</w:t>
      </w:r>
      <w:r>
        <w:rPr>
          <w:rStyle w:val="Code"/>
        </w:rPr>
        <w:t>&lt;choice&gt;&lt;sic&gt;</w:t>
      </w:r>
      <w:r>
        <w:rPr>
          <w:rStyle w:val="Codetext"/>
        </w:rPr>
        <w:t>I</w:t>
      </w:r>
      <w:r>
        <w:rPr>
          <w:rStyle w:val="Code"/>
        </w:rPr>
        <w:t>&lt;/sic&gt;&lt;corr&gt;</w:t>
      </w:r>
      <w:r>
        <w:rPr>
          <w:rStyle w:val="Codetext"/>
        </w:rPr>
        <w:t>yi</w:t>
      </w:r>
      <w:r>
        <w:rPr>
          <w:rStyle w:val="Code"/>
        </w:rPr>
        <w:t>&lt;/corr&gt;&lt;/choice&gt;&lt;/orig&gt;&lt;reg&gt;</w:t>
      </w:r>
      <w:r>
        <w:rPr>
          <w:rStyle w:val="Codetext"/>
        </w:rPr>
        <w:t>i</w:t>
      </w:r>
      <w:r>
        <w:rPr>
          <w:rStyle w:val="Code"/>
        </w:rPr>
        <w:t>&lt;/reg&gt;&lt;/choice&gt;</w:t>
      </w:r>
      <w:r>
        <w:rPr>
          <w:rStyle w:val="Codetext"/>
        </w:rPr>
        <w:t>kā</w:t>
      </w:r>
    </w:p>
    <w:p w14:paraId="65D44F6E" w14:textId="77777777">
      <w:pPr>
        <w:pStyle w:val="Cmsor2"/>
      </w:pPr>
      <w:bookmarkStart w:id="676" w:name="_Ref229056523"/>
      <w:bookmarkStart w:id="677" w:name="_Toc243900350"/>
      <w:bookmarkStart w:id="678" w:name="_Ref181352167"/>
      <w:bookmarkEnd w:id="659"/>
      <w:r>
        <w:t>Editorial curation</w:t>
      </w:r>
      <w:bookmarkEnd w:id="676"/>
      <w:bookmarkEnd w:id="677"/>
    </w:p>
    <w:p w14:paraId="1CF82700" w14:textId="77777777">
      <w:bookmarkStart w:id="679" w:name="_9w2cv2tff5ws" w:colFirst="0" w:colLast="0"/>
      <w:bookmarkStart w:id="680" w:name="_xk5v4l7lzr6g" w:colFirst="0" w:colLast="0"/>
      <w:bookmarkStart w:id="681" w:name="_s3fp2wg6e0tr" w:colFirst="0" w:colLast="0"/>
      <w:bookmarkStart w:id="682" w:name="_4q8co2w6em7s" w:colFirst="0" w:colLast="0"/>
      <w:bookmarkStart w:id="683" w:name="_gfq2483l08s8" w:colFirst="0" w:colLast="0"/>
      <w:bookmarkStart w:id="684" w:name="_17phg3rwszds" w:colFirst="0" w:colLast="0"/>
      <w:bookmarkStart w:id="685" w:name="_ed4evxx65471" w:colFirst="0" w:colLast="0"/>
      <w:bookmarkStart w:id="686" w:name="_ucm4r081jfln" w:colFirst="0" w:colLast="0"/>
      <w:bookmarkStart w:id="687" w:name="_65k0k8n31en0" w:colFirst="0" w:colLast="0"/>
      <w:bookmarkStart w:id="688" w:name="_Ref43987541"/>
      <w:bookmarkEnd w:id="679"/>
      <w:bookmarkEnd w:id="680"/>
      <w:bookmarkEnd w:id="681"/>
      <w:bookmarkEnd w:id="682"/>
      <w:bookmarkEnd w:id="683"/>
      <w:bookmarkEnd w:id="684"/>
      <w:bookmarkEnd w:id="685"/>
      <w:bookmarkEnd w:id="686"/>
      <w:bookmarkEnd w:id="687"/>
      <w:r>
        <w:rPr>
          <w:lang w:eastAsia="en-US" w:bidi="ar-SA"/>
        </w:rPr>
        <w:t xml:space="preserve">As discussed in TG §3.3, our editions can include some basic text-based markup that we call </w:t>
      </w:r>
      <w:r>
        <w:rPr>
          <w:i/>
          <w:iCs/>
          <w:lang w:eastAsia="en-US" w:bidi="ar-SA"/>
        </w:rPr>
        <w:t>shorthand</w:t>
      </w:r>
      <w:r>
        <w:t>, which we employ in order to reduce clutter in our encoding. Essential shorthand (TG §3.3.1) is notation that could in principle be replaced by XML encoding, but we choose never to do so. When shorthand is present in a DHARMA digital edition, it will always be implicitly understood as editorial, even though it is not explicitly encoded as such.</w:t>
      </w:r>
    </w:p>
    <w:p w14:paraId="76FCDE06" w14:textId="77777777">
      <w:pPr>
        <w:pStyle w:val="Normlbehzs"/>
      </w:pPr>
      <w:r>
        <w:t>Essential shorthand includes the disambiguation colon (TG §3.3.1.1), the placeholders for orphaned graphic elements (§</w:t>
      </w:r>
      <w:r>
        <w:fldChar w:fldCharType="begin"/>
      </w:r>
      <w:r>
        <w:instrText xml:space="preserve"> REF _Ref43987165 \r \h </w:instrText>
      </w:r>
      <w:r>
        <w:fldChar w:fldCharType="separate"/>
      </w:r>
      <w:r>
        <w:t>5.1.4</w:t>
      </w:r>
      <w:r>
        <w:fldChar w:fldCharType="end"/>
      </w:r>
      <w:r>
        <w:t xml:space="preserve"> and TG§3.3.1.2), the spaces and hyphens for editorial segmentation (TG §7.3) and the hyphens used for sandhi analysis (TG §7.2).</w:t>
      </w:r>
    </w:p>
    <w:p w14:paraId="5DDE80C4" w14:textId="77777777">
      <w:pPr>
        <w:pStyle w:val="Normlbehzs"/>
      </w:pPr>
      <w:r>
        <w:t>Optional shorthand is notation for which an equivalent or functionally similar encoding alternative exists in DHARMA practice, but which is nonetheless permitted (with different degrees of endorsement) in our XML editions when their simplicity is preferred to the potentially complex encoding alternative. Optional shorthand includes the character joiner sign = (§</w:t>
      </w:r>
      <w:r>
        <w:fldChar w:fldCharType="begin"/>
      </w:r>
      <w:r>
        <w:instrText xml:space="preserve"> REF _Ref43987221 \r \h </w:instrText>
      </w:r>
      <w:r>
        <w:fldChar w:fldCharType="separate"/>
      </w:r>
      <w:r>
        <w:t>5.1.1</w:t>
      </w:r>
      <w:r>
        <w:fldChar w:fldCharType="end"/>
      </w:r>
      <w:r>
        <w:t xml:space="preserve"> and TG§3.3.2.1) and the wildcards V and C for generic vowels and consonants (§</w:t>
      </w:r>
      <w:r>
        <w:fldChar w:fldCharType="begin"/>
      </w:r>
      <w:r>
        <w:instrText xml:space="preserve"> REF _Ref228202081 \r \h </w:instrText>
      </w:r>
      <w:r>
        <w:fldChar w:fldCharType="separate"/>
      </w:r>
      <w:r>
        <w:t>5.1.2</w:t>
      </w:r>
      <w:r>
        <w:fldChar w:fldCharType="end"/>
      </w:r>
      <w:r>
        <w:t xml:space="preserve"> and TG §3.3.2.2) as well as some forms of notation which are essentially a kind of editorial normalisation. The following subsections discuss editorial punctuation (which is not shorthand and must always be accompanied by encoding), along with these latter optional shorthand solutions and their encoding alternatives.</w:t>
      </w:r>
    </w:p>
    <w:p w14:paraId="3BFED152" w14:textId="77777777">
      <w:pPr>
        <w:pStyle w:val="Cmsor3"/>
      </w:pPr>
      <w:bookmarkStart w:id="689" w:name="_Ref43984944"/>
      <w:bookmarkStart w:id="690" w:name="_Toc243900351"/>
      <w:r>
        <w:t>Editorial spac</w:t>
      </w:r>
      <w:bookmarkEnd w:id="689"/>
      <w:r>
        <w:t>ing</w:t>
      </w:r>
      <w:bookmarkEnd w:id="690"/>
    </w:p>
    <w:p w14:paraId="39B102C4" w14:textId="77777777">
      <w:r>
        <w:t xml:space="preserve">See TG §7.3.4 for general guidance about where and how editorial spaces </w:t>
      </w:r>
      <w:r>
        <w:rPr>
          <w:noProof/>
        </w:rPr>
        <w:t>(</w:t>
      </w:r>
      <w:r>
        <w:t>for word separation) should be employed, and §</w:t>
      </w:r>
      <w:r>
        <w:fldChar w:fldCharType="begin"/>
      </w:r>
      <w:r>
        <w:instrText xml:space="preserve"> REF _Ref43989206 \w \h  \* MERGEFORMAT </w:instrText>
      </w:r>
      <w:r>
        <w:fldChar w:fldCharType="separate"/>
      </w:r>
      <w:r>
        <w:t>16.1</w:t>
      </w:r>
      <w:r>
        <w:fldChar w:fldCharType="end"/>
      </w:r>
      <w:r>
        <w:t xml:space="preserve"> about how spaces in your XML document will be processed. That summary of white space in the processing of XML documents will not necessarily apply to the processing of our encoded files, chiefly because not all processing algorithms behave identically in complex situations while treating white space and the attribute </w:t>
      </w:r>
      <w:r>
        <w:rPr>
          <w:rStyle w:val="Codeattribute"/>
        </w:rPr>
        <w:t>@xml:space</w:t>
      </w:r>
      <w:r>
        <w:rPr>
          <w:rStyle w:val="Codetext"/>
        </w:rPr>
        <w:t>=</w:t>
      </w:r>
      <w:r>
        <w:rPr>
          <w:rStyle w:val="Codevalue"/>
        </w:rPr>
        <w:t>"preserve"</w:t>
      </w:r>
      <w:r>
        <w:t xml:space="preserve"> on the </w:t>
      </w:r>
      <w:r>
        <w:rPr>
          <w:rStyle w:val="Code"/>
        </w:rPr>
        <w:t>&lt;text&gt;</w:t>
      </w:r>
      <w:r>
        <w:t xml:space="preserve"> element of our documents. Therefore, do not bother memorising the subtleties of whitespace handling theory; instead, adhere to the following rules of thumb.</w:t>
      </w:r>
    </w:p>
    <w:p w14:paraId="56C3FA16" w14:textId="77777777">
      <w:pPr>
        <w:pStyle w:val="Lista"/>
      </w:pPr>
      <w:r>
        <w:t>avoid adding spaces to your text except where an editorial space is required</w:t>
      </w:r>
    </w:p>
    <w:p w14:paraId="375DF283" w14:textId="77777777">
      <w:pPr>
        <w:pStyle w:val="Lista"/>
      </w:pPr>
      <w:r>
        <w:t>make sure to add all required editorial spaces even if an XML element is also present at the same point</w:t>
      </w:r>
    </w:p>
    <w:p w14:paraId="2A2D613C" w14:textId="77777777">
      <w:pPr>
        <w:pStyle w:val="Lista2"/>
      </w:pPr>
      <w:r>
        <w:t>as far as possible, avoid editorial spaces at the beginning and end of the content of a container element, especially in the situations addressed in §</w:t>
      </w:r>
      <w:r>
        <w:fldChar w:fldCharType="begin"/>
      </w:r>
      <w:r>
        <w:instrText xml:space="preserve"> REF _Ref232068629 \r \h </w:instrText>
      </w:r>
      <w:r>
        <w:fldChar w:fldCharType="separate"/>
      </w:r>
      <w:r>
        <w:t>7.8.1.1</w:t>
      </w:r>
      <w:r>
        <w:fldChar w:fldCharType="end"/>
      </w:r>
      <w:r>
        <w:t xml:space="preserve"> below</w:t>
      </w:r>
    </w:p>
    <w:p w14:paraId="29F805E0" w14:textId="77777777">
      <w:pPr>
        <w:pStyle w:val="Lista"/>
      </w:pPr>
      <w:r>
        <w:t>with block-level containers, feel free to enter their contents in a new line after the start tag and/or to put the end tag in a new line if that makes your work easier for you</w:t>
      </w:r>
    </w:p>
    <w:p w14:paraId="2B063C5E" w14:textId="77777777">
      <w:pPr>
        <w:pStyle w:val="Cmsor4"/>
      </w:pPr>
      <w:bookmarkStart w:id="691" w:name="_Ref232068629"/>
      <w:r>
        <w:t>Spacing phrase-level elements</w:t>
      </w:r>
      <w:bookmarkEnd w:id="691"/>
    </w:p>
    <w:p w14:paraId="29469B65" w14:textId="77777777">
      <w:r>
        <w:t>Phrase-level elements enclosing text (e.g. those representing legibility issues, editorial intervention and restoration) are text containers, therefore</w:t>
      </w:r>
    </w:p>
    <w:p w14:paraId="14C442D7" w14:textId="77777777">
      <w:pPr>
        <w:pStyle w:val="Lista"/>
      </w:pPr>
      <w:r>
        <w:t>spaces outside such elements should be used wherever necessary, i.e. wherever the text within a phrase-level container belongs to a word separate from its neighbour outside the container, e.g.</w:t>
      </w:r>
    </w:p>
    <w:p w14:paraId="48450114" w14:textId="77777777">
      <w:pPr>
        <w:pStyle w:val="Lista2"/>
      </w:pPr>
      <w:r>
        <w:rPr>
          <w:rStyle w:val="Codetext"/>
        </w:rPr>
        <w:t xml:space="preserve">evam </w:t>
      </w:r>
      <w:r>
        <w:rPr>
          <w:rStyle w:val="Code"/>
        </w:rPr>
        <w:t>&lt;unclear&gt;</w:t>
      </w:r>
      <w:r>
        <w:rPr>
          <w:rStyle w:val="Codetext"/>
        </w:rPr>
        <w:t>etaT</w:t>
      </w:r>
      <w:r>
        <w:rPr>
          <w:rStyle w:val="Code"/>
        </w:rPr>
        <w:t>&lt;/unclear&gt;</w:t>
      </w:r>
      <w:r>
        <w:t xml:space="preserve"> must have a space before the container</w:t>
      </w:r>
    </w:p>
    <w:p w14:paraId="1A474757" w14:textId="77777777">
      <w:pPr>
        <w:pStyle w:val="Lista2"/>
      </w:pPr>
      <w:r>
        <w:rPr>
          <w:rStyle w:val="Codetext"/>
        </w:rPr>
        <w:t>evam e</w:t>
      </w:r>
      <w:r>
        <w:rPr>
          <w:rStyle w:val="Code"/>
        </w:rPr>
        <w:t>&lt;unclear&gt;</w:t>
      </w:r>
      <w:r>
        <w:rPr>
          <w:rStyle w:val="Codetext"/>
        </w:rPr>
        <w:t>taT</w:t>
      </w:r>
      <w:r>
        <w:rPr>
          <w:rStyle w:val="Code"/>
        </w:rPr>
        <w:t>&lt;/unclear&gt;</w:t>
      </w:r>
      <w:r>
        <w:t xml:space="preserve"> must not have a space before the container</w:t>
      </w:r>
    </w:p>
    <w:p w14:paraId="3B889DBC" w14:textId="77777777">
      <w:pPr>
        <w:pStyle w:val="Lista"/>
      </w:pPr>
      <w:r>
        <w:t>white space at the inner edges of such containers may be trimmed from their content in processing</w:t>
      </w:r>
    </w:p>
    <w:p w14:paraId="031819EE" w14:textId="77777777">
      <w:pPr>
        <w:pStyle w:val="Lista2"/>
      </w:pPr>
      <w:r>
        <w:t>therefore any necessary spaces must be placed outside these containers, e.g.</w:t>
      </w:r>
    </w:p>
    <w:p w14:paraId="4EA770C3" w14:textId="77777777">
      <w:pPr>
        <w:pStyle w:val="Lista3"/>
      </w:pPr>
      <w:r>
        <w:rPr>
          <w:rStyle w:val="Codetext"/>
        </w:rPr>
        <w:t>evam</w:t>
      </w:r>
      <w:r>
        <w:rPr>
          <w:rStyle w:val="Code"/>
        </w:rPr>
        <w:t xml:space="preserve">&lt;unclear&gt; </w:t>
      </w:r>
      <w:r>
        <w:rPr>
          <w:rStyle w:val="Codetext"/>
        </w:rPr>
        <w:t>etaT</w:t>
      </w:r>
      <w:r>
        <w:rPr>
          <w:rStyle w:val="Code"/>
        </w:rPr>
        <w:t>&lt;/unclear&gt;</w:t>
      </w:r>
      <w:r>
        <w:t xml:space="preserve"> is incorrectly spaced</w:t>
      </w:r>
    </w:p>
    <w:p w14:paraId="089DD69E" w14:textId="77777777">
      <w:pPr>
        <w:pStyle w:val="Lista3"/>
      </w:pPr>
      <w:r>
        <w:lastRenderedPageBreak/>
        <w:t xml:space="preserve">while </w:t>
      </w:r>
      <w:r>
        <w:rPr>
          <w:rStyle w:val="Codetext"/>
        </w:rPr>
        <w:t xml:space="preserve">evam </w:t>
      </w:r>
      <w:r>
        <w:rPr>
          <w:rStyle w:val="Code"/>
        </w:rPr>
        <w:t xml:space="preserve">&lt;unclear&gt; </w:t>
      </w:r>
      <w:r>
        <w:rPr>
          <w:rStyle w:val="Codetext"/>
        </w:rPr>
        <w:t>etaT</w:t>
      </w:r>
      <w:r>
        <w:rPr>
          <w:rStyle w:val="Code"/>
        </w:rPr>
        <w:t>&lt;/unclear&gt;</w:t>
      </w:r>
      <w:r>
        <w:t xml:space="preserve"> is technically correct, though it contains a superfluous space within the </w:t>
      </w:r>
      <w:r>
        <w:rPr>
          <w:rStyle w:val="Code"/>
        </w:rPr>
        <w:t>&lt;unclear&gt;</w:t>
      </w:r>
      <w:r>
        <w:t xml:space="preserve"> tag</w:t>
      </w:r>
    </w:p>
    <w:p w14:paraId="2A3F137D" w14:textId="77777777">
      <w:pPr>
        <w:pStyle w:val="Lista"/>
      </w:pPr>
      <w:r>
        <w:t xml:space="preserve">in elements that encode two </w:t>
      </w:r>
      <w:r>
        <w:rPr>
          <w:noProof/>
        </w:rPr>
        <w:t>(</w:t>
      </w:r>
      <w:r>
        <w:t>or more) alternative readings for a stretch of text, it may be necessary to add a space at the beginning or end of only one of these alternatives</w:t>
      </w:r>
    </w:p>
    <w:p w14:paraId="50DB5CB4" w14:textId="77777777">
      <w:pPr>
        <w:pStyle w:val="Lista2"/>
      </w:pPr>
      <w:r>
        <w:t>to avoid anomalies in processing, in such cases you should increase the scope of the elements so that the space is not at the edge of the content, e.g.</w:t>
      </w:r>
    </w:p>
    <w:p w14:paraId="0A804B5F" w14:textId="77777777">
      <w:pPr>
        <w:pStyle w:val="Lista3"/>
      </w:pPr>
      <w:r>
        <w:t xml:space="preserve">in an ambivalent reading that may be read as </w:t>
      </w:r>
      <w:r>
        <w:rPr>
          <w:rStyle w:val="Foreign"/>
        </w:rPr>
        <w:t>tathāpi</w:t>
      </w:r>
      <w:r>
        <w:t xml:space="preserve"> (</w:t>
      </w:r>
      <w:proofErr w:type="spellStart"/>
      <w:r>
        <w:rPr>
          <w:rStyle w:val="Foreign"/>
        </w:rPr>
        <w:t>tathā</w:t>
      </w:r>
      <w:proofErr w:type="spellEnd"/>
      <w:r>
        <w:rPr>
          <w:rStyle w:val="Foreign"/>
        </w:rPr>
        <w:t>*api</w:t>
      </w:r>
      <w:r>
        <w:t xml:space="preserve"> in inseparable sandhi) or </w:t>
      </w:r>
      <w:r>
        <w:rPr>
          <w:rStyle w:val="Foreign"/>
        </w:rPr>
        <w:t>tathā hi</w:t>
      </w:r>
      <w:r>
        <w:t xml:space="preserve"> (two separable words)</w:t>
      </w:r>
    </w:p>
    <w:p w14:paraId="76D83727" w14:textId="77777777">
      <w:pPr>
        <w:pStyle w:val="Lista4"/>
      </w:pPr>
      <w:r>
        <w:rPr>
          <w:rStyle w:val="Codetext"/>
        </w:rPr>
        <w:t>tathā</w:t>
      </w:r>
      <w:r>
        <w:rPr>
          <w:rStyle w:val="Code"/>
        </w:rPr>
        <w:t>&lt;choice&gt;&lt;unclear&gt;</w:t>
      </w:r>
      <w:r>
        <w:rPr>
          <w:rStyle w:val="Codetext"/>
        </w:rPr>
        <w:t>p</w:t>
      </w:r>
      <w:r>
        <w:rPr>
          <w:rStyle w:val="Code"/>
        </w:rPr>
        <w:t xml:space="preserve">&lt;/unclear&gt;&lt;unclear&gt; </w:t>
      </w:r>
      <w:r>
        <w:rPr>
          <w:rStyle w:val="Codetext"/>
        </w:rPr>
        <w:t>h</w:t>
      </w:r>
      <w:r>
        <w:rPr>
          <w:rStyle w:val="Code"/>
        </w:rPr>
        <w:t>&lt;/unclear&gt;&lt;/choice&gt;</w:t>
      </w:r>
      <w:r>
        <w:rPr>
          <w:rStyle w:val="Codetext"/>
        </w:rPr>
        <w:t>i</w:t>
      </w:r>
      <w:r>
        <w:t xml:space="preserve"> is incorrectly spaced </w:t>
      </w:r>
      <w:r>
        <w:rPr>
          <w:noProof/>
        </w:rPr>
        <w:t>(</w:t>
      </w:r>
      <w:r>
        <w:t xml:space="preserve">since the space before </w:t>
      </w:r>
      <w:r>
        <w:rPr>
          <w:rStyle w:val="Foreign"/>
        </w:rPr>
        <w:t>h</w:t>
      </w:r>
      <w:r>
        <w:t xml:space="preserve"> may be trimmed)</w:t>
      </w:r>
    </w:p>
    <w:p w14:paraId="5FC8C37C" w14:textId="77777777">
      <w:pPr>
        <w:pStyle w:val="Lista4"/>
      </w:pPr>
      <w:r>
        <w:t xml:space="preserve">to eliminate the problem, use </w:t>
      </w:r>
    </w:p>
    <w:p w14:paraId="340050AD" w14:textId="77777777">
      <w:pPr>
        <w:pStyle w:val="Lista5"/>
      </w:pPr>
      <w:r>
        <w:t xml:space="preserve">either </w:t>
      </w:r>
      <w:r>
        <w:rPr>
          <w:rStyle w:val="Code"/>
        </w:rPr>
        <w:t>&lt;choice&gt;&lt;unclear&gt;</w:t>
      </w:r>
      <w:r>
        <w:rPr>
          <w:rStyle w:val="Codetext"/>
        </w:rPr>
        <w:t>tathāpi</w:t>
      </w:r>
      <w:r>
        <w:rPr>
          <w:rStyle w:val="Code"/>
        </w:rPr>
        <w:t>&lt;/unclear&gt;&lt;unclear&gt;</w:t>
      </w:r>
      <w:r>
        <w:rPr>
          <w:rStyle w:val="Codetext"/>
        </w:rPr>
        <w:t>tathā hi</w:t>
      </w:r>
      <w:r>
        <w:rPr>
          <w:rStyle w:val="Code"/>
        </w:rPr>
        <w:t>&lt;/unclear&gt;&lt;/choice&gt;</w:t>
      </w:r>
      <w:r>
        <w:t xml:space="preserve"> </w:t>
      </w:r>
    </w:p>
    <w:p w14:paraId="0B23D484" w14:textId="77777777">
      <w:pPr>
        <w:pStyle w:val="Lista5"/>
      </w:pPr>
      <w:r>
        <w:t xml:space="preserve">or </w:t>
      </w:r>
      <w:r>
        <w:rPr>
          <w:rStyle w:val="Codetext"/>
        </w:rPr>
        <w:t>tath</w:t>
      </w:r>
      <w:r>
        <w:rPr>
          <w:rStyle w:val="Code"/>
        </w:rPr>
        <w:t>&lt;choice&gt;&lt;unclear&gt;</w:t>
      </w:r>
      <w:r>
        <w:rPr>
          <w:rStyle w:val="Codetext"/>
        </w:rPr>
        <w:t>āp</w:t>
      </w:r>
      <w:r>
        <w:rPr>
          <w:rStyle w:val="Code"/>
        </w:rPr>
        <w:t>&lt;/unclear&gt;&lt;unclear&gt;</w:t>
      </w:r>
      <w:r>
        <w:rPr>
          <w:rStyle w:val="Codetext"/>
        </w:rPr>
        <w:t>ā h</w:t>
      </w:r>
      <w:r>
        <w:rPr>
          <w:rStyle w:val="Code"/>
        </w:rPr>
        <w:t>&lt;/unclear&gt;&lt;/choice&gt;</w:t>
      </w:r>
      <w:r>
        <w:rPr>
          <w:rStyle w:val="Codetext"/>
        </w:rPr>
        <w:t>i</w:t>
      </w:r>
    </w:p>
    <w:p w14:paraId="789C935B" w14:textId="77777777">
      <w:pPr>
        <w:pStyle w:val="Lista3"/>
      </w:pPr>
      <w:r>
        <w:t xml:space="preserve">in an editorial correction of </w:t>
      </w:r>
      <w:r>
        <w:rPr>
          <w:rStyle w:val="Foreign"/>
        </w:rPr>
        <w:t>gata-kāle</w:t>
      </w:r>
      <w:r>
        <w:t xml:space="preserve"> to </w:t>
      </w:r>
      <w:r>
        <w:rPr>
          <w:rStyle w:val="Foreign"/>
        </w:rPr>
        <w:t>gate kāle</w:t>
      </w:r>
    </w:p>
    <w:p w14:paraId="29CE0E3C" w14:textId="77777777">
      <w:pPr>
        <w:pStyle w:val="Lista4"/>
      </w:pPr>
      <w:r>
        <w:rPr>
          <w:rStyle w:val="Codetext"/>
        </w:rPr>
        <w:t>gat</w:t>
      </w:r>
      <w:r>
        <w:rPr>
          <w:rStyle w:val="Code"/>
        </w:rPr>
        <w:t>&lt;choice&gt;&lt;sic&gt;</w:t>
      </w:r>
      <w:r>
        <w:rPr>
          <w:rStyle w:val="Codetext"/>
        </w:rPr>
        <w:t>a-</w:t>
      </w:r>
      <w:r>
        <w:rPr>
          <w:rStyle w:val="Code"/>
        </w:rPr>
        <w:t>&lt;/sic&gt;&lt;corr&gt;</w:t>
      </w:r>
      <w:r>
        <w:rPr>
          <w:rStyle w:val="Codetext"/>
        </w:rPr>
        <w:t xml:space="preserve">e </w:t>
      </w:r>
      <w:r>
        <w:rPr>
          <w:rStyle w:val="Code"/>
        </w:rPr>
        <w:t>&lt;/corr&gt;&lt;/choice&gt;</w:t>
      </w:r>
      <w:r>
        <w:rPr>
          <w:rStyle w:val="Codetext"/>
        </w:rPr>
        <w:t>kāle</w:t>
      </w:r>
      <w:r>
        <w:t xml:space="preserve"> is incorrectly spaced </w:t>
      </w:r>
      <w:r>
        <w:rPr>
          <w:noProof/>
        </w:rPr>
        <w:t>(</w:t>
      </w:r>
      <w:r>
        <w:t xml:space="preserve">since the space after </w:t>
      </w:r>
      <w:r>
        <w:rPr>
          <w:rStyle w:val="Foreign"/>
        </w:rPr>
        <w:t>e</w:t>
      </w:r>
      <w:r>
        <w:t xml:space="preserve"> may be trimmed)</w:t>
      </w:r>
    </w:p>
    <w:p w14:paraId="6104D728" w14:textId="77777777">
      <w:pPr>
        <w:pStyle w:val="Lista4"/>
      </w:pPr>
      <w:r>
        <w:t xml:space="preserve">to eliminate the problem, use </w:t>
      </w:r>
    </w:p>
    <w:p w14:paraId="11BEFEB0" w14:textId="77777777">
      <w:pPr>
        <w:pStyle w:val="Lista5"/>
      </w:pPr>
      <w:r>
        <w:t xml:space="preserve">either </w:t>
      </w:r>
      <w:r>
        <w:rPr>
          <w:rStyle w:val="Code"/>
        </w:rPr>
        <w:t>&lt;choice&gt;&lt;sic&gt;</w:t>
      </w:r>
      <w:r>
        <w:rPr>
          <w:rStyle w:val="Codetext"/>
        </w:rPr>
        <w:t>gata-kāle</w:t>
      </w:r>
      <w:r>
        <w:rPr>
          <w:rStyle w:val="Code"/>
        </w:rPr>
        <w:t>&lt;/sic&gt;&lt;corr&gt;</w:t>
      </w:r>
      <w:r>
        <w:rPr>
          <w:rStyle w:val="Codetext"/>
        </w:rPr>
        <w:t>gate kāle</w:t>
      </w:r>
      <w:r>
        <w:rPr>
          <w:rStyle w:val="Code"/>
        </w:rPr>
        <w:t>&lt;/corr&gt;&lt;/choice&gt;</w:t>
      </w:r>
      <w:r>
        <w:t xml:space="preserve"> </w:t>
      </w:r>
    </w:p>
    <w:p w14:paraId="673D61A7" w14:textId="77777777">
      <w:pPr>
        <w:pStyle w:val="Lista5"/>
      </w:pPr>
      <w:r>
        <w:t xml:space="preserve">or </w:t>
      </w:r>
      <w:r>
        <w:rPr>
          <w:rStyle w:val="Codetext"/>
        </w:rPr>
        <w:t>gat</w:t>
      </w:r>
      <w:r>
        <w:rPr>
          <w:rStyle w:val="Code"/>
        </w:rPr>
        <w:t>&lt;choice&gt;&lt;sic&gt;</w:t>
      </w:r>
      <w:r>
        <w:rPr>
          <w:rStyle w:val="Codetext"/>
        </w:rPr>
        <w:t>a-k</w:t>
      </w:r>
      <w:r>
        <w:rPr>
          <w:rStyle w:val="Code"/>
        </w:rPr>
        <w:t>&lt;/sic&gt;&lt;corr&gt;</w:t>
      </w:r>
      <w:r>
        <w:rPr>
          <w:rStyle w:val="Codetext"/>
        </w:rPr>
        <w:t>e k</w:t>
      </w:r>
      <w:r>
        <w:rPr>
          <w:rStyle w:val="Code"/>
        </w:rPr>
        <w:t>&lt;/corr&gt;&lt;/choice&gt;</w:t>
      </w:r>
      <w:r>
        <w:rPr>
          <w:rStyle w:val="Codetext"/>
        </w:rPr>
        <w:t>āle</w:t>
      </w:r>
    </w:p>
    <w:p w14:paraId="38D83AF4" w14:textId="77777777">
      <w:pPr>
        <w:pStyle w:val="Cmsor3"/>
      </w:pPr>
      <w:bookmarkStart w:id="692" w:name="_xg74xrj1ejbr" w:colFirst="0" w:colLast="0"/>
      <w:bookmarkStart w:id="693" w:name="_Ref232156818"/>
      <w:bookmarkStart w:id="694" w:name="_Toc243900352"/>
      <w:bookmarkEnd w:id="692"/>
      <w:r>
        <w:t>Editorial hyphenation</w:t>
      </w:r>
      <w:bookmarkEnd w:id="693"/>
      <w:bookmarkEnd w:id="694"/>
    </w:p>
    <w:p w14:paraId="5A5A8312" w14:textId="77777777">
      <w:r>
        <w:t xml:space="preserve">See TG §7.3.5 for general guidance about where and how editorial hyphens </w:t>
      </w:r>
      <w:r>
        <w:rPr>
          <w:noProof/>
        </w:rPr>
        <w:t>(</w:t>
      </w:r>
      <w:r>
        <w:t xml:space="preserve">for compound segmentation and some cases of sandhi analysis) should be employed. </w:t>
      </w:r>
    </w:p>
    <w:p w14:paraId="5D6340F9" w14:textId="77777777">
      <w:pPr>
        <w:pStyle w:val="Lista"/>
      </w:pPr>
      <w:r>
        <w:t>hyphens must never be added at the ends of epigraphic lines</w:t>
      </w:r>
    </w:p>
    <w:p w14:paraId="43C07ED4" w14:textId="77777777">
      <w:pPr>
        <w:pStyle w:val="Lista2"/>
      </w:pPr>
      <w:r>
        <w:t xml:space="preserve">if a line beginning interrupts a word, the element encoding the new line must take the attribute </w:t>
      </w:r>
      <w:r>
        <w:rPr>
          <w:rStyle w:val="Codeattribute"/>
        </w:rPr>
        <w:t>@break</w:t>
      </w:r>
      <w:r>
        <w:rPr>
          <w:rStyle w:val="Code"/>
        </w:rPr>
        <w:t>=</w:t>
      </w:r>
      <w:r>
        <w:rPr>
          <w:rStyle w:val="Codevalue"/>
        </w:rPr>
        <w:t>"no"</w:t>
      </w:r>
    </w:p>
    <w:p w14:paraId="4ACE53D8" w14:textId="77777777">
      <w:pPr>
        <w:pStyle w:val="Lista2"/>
      </w:pPr>
      <w:r>
        <w:t xml:space="preserve">the same applies to </w:t>
      </w:r>
      <w:r>
        <w:rPr>
          <w:rStyle w:val="Code"/>
        </w:rPr>
        <w:t>&lt;pb/&gt;</w:t>
      </w:r>
      <w:r>
        <w:t xml:space="preserve"> and </w:t>
      </w:r>
      <w:r>
        <w:rPr>
          <w:rStyle w:val="Code"/>
        </w:rPr>
        <w:t>&lt;milestone/&gt;</w:t>
      </w:r>
      <w:r>
        <w:t xml:space="preserve"> elements</w:t>
      </w:r>
    </w:p>
    <w:p w14:paraId="68737496" w14:textId="77777777">
      <w:pPr>
        <w:pStyle w:val="Lista2"/>
      </w:pPr>
      <w:r>
        <w:t>this encoding replaces the word-breaking hyphen used at the ends of printed lines</w:t>
      </w:r>
    </w:p>
    <w:p w14:paraId="304C86A5" w14:textId="77777777">
      <w:pPr>
        <w:pStyle w:val="Lista"/>
      </w:pPr>
      <w:r>
        <w:t xml:space="preserve">when an editorial hyphen </w:t>
      </w:r>
      <w:r>
        <w:rPr>
          <w:noProof/>
        </w:rPr>
        <w:t>(</w:t>
      </w:r>
      <w:r>
        <w:t xml:space="preserve">marking an in-compound word boundary) coincides with one of the above elements or with an encoded </w:t>
      </w:r>
      <w:r>
        <w:rPr>
          <w:rStyle w:val="Code"/>
        </w:rPr>
        <w:t>&lt;space/&gt;</w:t>
      </w:r>
      <w:r>
        <w:t>, the hyphen shall be placed at the beginning of the text after the intervening element</w:t>
      </w:r>
      <w:r>
        <w:rPr>
          <w:noProof/>
        </w:rPr>
        <w:t>(</w:t>
      </w:r>
      <w:r>
        <w:t>s)</w:t>
      </w:r>
    </w:p>
    <w:p w14:paraId="02D62DDB" w14:textId="77777777">
      <w:pPr>
        <w:pStyle w:val="Lista2"/>
      </w:pPr>
      <w:r>
        <w:t xml:space="preserve">e.g. </w:t>
      </w:r>
      <w:r>
        <w:rPr>
          <w:rStyle w:val="Codetext"/>
        </w:rPr>
        <w:t>nr̥pati</w:t>
      </w:r>
      <w:r>
        <w:rPr>
          <w:rStyle w:val="Code"/>
        </w:rPr>
        <w:t xml:space="preserve">&lt;lb </w:t>
      </w:r>
      <w:r>
        <w:rPr>
          <w:rStyle w:val="Codeattribute"/>
        </w:rPr>
        <w:t>n=</w:t>
      </w:r>
      <w:r>
        <w:rPr>
          <w:rStyle w:val="Codevalue"/>
        </w:rPr>
        <w:t>"12"</w:t>
      </w:r>
      <w:r>
        <w:rPr>
          <w:rStyle w:val="Code"/>
        </w:rPr>
        <w:t xml:space="preserve"> </w:t>
      </w:r>
      <w:r>
        <w:rPr>
          <w:rStyle w:val="Codeattribute"/>
        </w:rPr>
        <w:t>break=</w:t>
      </w:r>
      <w:r>
        <w:rPr>
          <w:rStyle w:val="Codevalue"/>
        </w:rPr>
        <w:t>"no"</w:t>
      </w:r>
      <w:r>
        <w:rPr>
          <w:rStyle w:val="Code"/>
        </w:rPr>
        <w:t>/&gt;</w:t>
      </w:r>
      <w:r>
        <w:rPr>
          <w:rStyle w:val="Codetext"/>
        </w:rPr>
        <w:t>-makuṭa</w:t>
      </w:r>
    </w:p>
    <w:p w14:paraId="6DA9C9BA" w14:textId="77777777">
      <w:pPr>
        <w:pStyle w:val="Lista"/>
      </w:pPr>
      <w:r>
        <w:t>unlike space, hyphens may be used without technical worries at the beginning or end of text-containing elements</w:t>
      </w:r>
    </w:p>
    <w:p w14:paraId="25ACD3FE" w14:textId="77777777">
      <w:pPr>
        <w:pStyle w:val="Lista"/>
      </w:pPr>
      <w:r>
        <w:t>as far as feasible, avoid including editorial hyphens within markup describing the received text, e.g.</w:t>
      </w:r>
    </w:p>
    <w:p w14:paraId="724D8592" w14:textId="77777777">
      <w:pPr>
        <w:pStyle w:val="Lista3"/>
      </w:pPr>
      <w:r>
        <w:rPr>
          <w:rStyle w:val="Codetext"/>
        </w:rPr>
        <w:t>sarva-</w:t>
      </w:r>
      <w:r>
        <w:rPr>
          <w:rStyle w:val="Code"/>
        </w:rPr>
        <w:t>&lt;unclear&gt;</w:t>
      </w:r>
      <w:r>
        <w:rPr>
          <w:rStyle w:val="Codetext"/>
        </w:rPr>
        <w:t>lokā</w:t>
      </w:r>
      <w:r>
        <w:rPr>
          <w:rStyle w:val="Code"/>
        </w:rPr>
        <w:t>&lt;/unclear&gt;</w:t>
      </w:r>
      <w:r>
        <w:rPr>
          <w:rStyle w:val="Codetext"/>
        </w:rPr>
        <w:t>nām</w:t>
      </w:r>
      <w:r>
        <w:t xml:space="preserve"> is preferable to </w:t>
      </w:r>
      <w:r>
        <w:rPr>
          <w:rStyle w:val="Codetext"/>
        </w:rPr>
        <w:t>sarva</w:t>
      </w:r>
      <w:r>
        <w:rPr>
          <w:rStyle w:val="Code"/>
        </w:rPr>
        <w:t>&lt;unclear&gt;</w:t>
      </w:r>
      <w:r>
        <w:rPr>
          <w:rStyle w:val="Codetext"/>
        </w:rPr>
        <w:t>-lokā</w:t>
      </w:r>
      <w:r>
        <w:rPr>
          <w:rStyle w:val="Code"/>
        </w:rPr>
        <w:t>&lt;/unclear&gt;</w:t>
      </w:r>
      <w:r>
        <w:rPr>
          <w:rStyle w:val="Codetext"/>
        </w:rPr>
        <w:t>nām</w:t>
      </w:r>
      <w:r>
        <w:t>, since the hyphen is not actually present in the text and thus not unclear</w:t>
      </w:r>
    </w:p>
    <w:p w14:paraId="230A2B20" w14:textId="77777777">
      <w:pPr>
        <w:pStyle w:val="Lista3"/>
      </w:pPr>
      <w:r>
        <w:rPr>
          <w:rStyle w:val="Codetext"/>
        </w:rPr>
        <w:t>viṣaya-</w:t>
      </w:r>
      <w:r>
        <w:rPr>
          <w:rStyle w:val="Code"/>
        </w:rPr>
        <w:t>&lt;abbr&gt;</w:t>
      </w:r>
      <w:r>
        <w:rPr>
          <w:rStyle w:val="Codetext"/>
        </w:rPr>
        <w:t>saṁ</w:t>
      </w:r>
      <w:r>
        <w:rPr>
          <w:rStyle w:val="Code"/>
        </w:rPr>
        <w:t>&lt;/abbr&gt;</w:t>
      </w:r>
      <w:r>
        <w:t xml:space="preserve"> (where </w:t>
      </w:r>
      <w:r>
        <w:rPr>
          <w:rStyle w:val="Foreign"/>
        </w:rPr>
        <w:t>saṁ</w:t>
      </w:r>
      <w:r>
        <w:t xml:space="preserve"> is understood to stand for </w:t>
      </w:r>
      <w:r>
        <w:rPr>
          <w:rStyle w:val="Foreign"/>
        </w:rPr>
        <w:t>saṁbaddha</w:t>
      </w:r>
      <w:r>
        <w:t xml:space="preserve">) is preferable to </w:t>
      </w:r>
      <w:r>
        <w:rPr>
          <w:rStyle w:val="Codetext"/>
        </w:rPr>
        <w:t>viṣaya</w:t>
      </w:r>
      <w:r>
        <w:rPr>
          <w:rStyle w:val="Code"/>
        </w:rPr>
        <w:t>&lt;abbr&gt;</w:t>
      </w:r>
      <w:r>
        <w:rPr>
          <w:rStyle w:val="Codetext"/>
        </w:rPr>
        <w:t>-saṁ</w:t>
      </w:r>
      <w:r>
        <w:rPr>
          <w:rStyle w:val="Code"/>
        </w:rPr>
        <w:t>&lt;/abbr&gt;</w:t>
      </w:r>
      <w:r>
        <w:t xml:space="preserve">, since the hyphen, not being actually present, is not part of the abbreviation </w:t>
      </w:r>
    </w:p>
    <w:p w14:paraId="5825327B" w14:textId="77777777">
      <w:pPr>
        <w:pStyle w:val="Lista2"/>
      </w:pPr>
      <w:r>
        <w:t>however, there is no need to split phrase-level elements around an editorial hyphen even if, strictly speaking, the editorial hyphen is not qualified by the element, e.g.</w:t>
      </w:r>
    </w:p>
    <w:p w14:paraId="260E79F1" w14:textId="77777777">
      <w:pPr>
        <w:pStyle w:val="Lista3"/>
      </w:pPr>
      <w:r>
        <w:rPr>
          <w:rStyle w:val="Codetext"/>
        </w:rPr>
        <w:t>sar</w:t>
      </w:r>
      <w:r>
        <w:rPr>
          <w:rStyle w:val="Code"/>
        </w:rPr>
        <w:t>&lt;unclear&gt;</w:t>
      </w:r>
      <w:r>
        <w:rPr>
          <w:rStyle w:val="Codetext"/>
        </w:rPr>
        <w:t>va-lokā</w:t>
      </w:r>
      <w:r>
        <w:rPr>
          <w:rStyle w:val="Code"/>
        </w:rPr>
        <w:t>&lt;/unclear&gt;</w:t>
      </w:r>
      <w:r>
        <w:rPr>
          <w:rStyle w:val="Codetext"/>
        </w:rPr>
        <w:t>nām</w:t>
      </w:r>
      <w:r>
        <w:t xml:space="preserve"> is the preferred encoding, though the hyphen, not being present in the text, is not unclear, so a more accurate but less practicable encoding would be </w:t>
      </w:r>
      <w:r>
        <w:rPr>
          <w:rStyle w:val="Codetext"/>
        </w:rPr>
        <w:t>sar</w:t>
      </w:r>
      <w:r>
        <w:rPr>
          <w:rStyle w:val="Code"/>
        </w:rPr>
        <w:t>&lt;unclear&gt;</w:t>
      </w:r>
      <w:r>
        <w:rPr>
          <w:rStyle w:val="Codetext"/>
        </w:rPr>
        <w:t>va</w:t>
      </w:r>
      <w:r>
        <w:rPr>
          <w:rStyle w:val="Code"/>
        </w:rPr>
        <w:t>&lt;/unclear&gt;-&lt;unclear&gt;</w:t>
      </w:r>
      <w:r>
        <w:rPr>
          <w:rStyle w:val="Codetext"/>
        </w:rPr>
        <w:t>lokā</w:t>
      </w:r>
      <w:r>
        <w:rPr>
          <w:rStyle w:val="Code"/>
        </w:rPr>
        <w:t>&lt;/unclear&gt;</w:t>
      </w:r>
      <w:r>
        <w:rPr>
          <w:rStyle w:val="Codetext"/>
        </w:rPr>
        <w:t>nām</w:t>
      </w:r>
    </w:p>
    <w:p w14:paraId="1468E38D" w14:textId="77777777">
      <w:pPr>
        <w:pStyle w:val="Cmsor3"/>
      </w:pPr>
      <w:bookmarkStart w:id="695" w:name="_Ref229060537"/>
      <w:bookmarkStart w:id="696" w:name="_Toc243900353"/>
      <w:bookmarkStart w:id="697" w:name="_Ref229062653"/>
      <w:r>
        <w:t>Supplied punctuation</w:t>
      </w:r>
      <w:bookmarkEnd w:id="695"/>
      <w:bookmarkEnd w:id="696"/>
    </w:p>
    <w:p w14:paraId="16EE5943" w14:textId="77777777">
      <w:r>
        <w:t>Original punctuation marks present in the text must always be transliterated and encoded as per §</w:t>
      </w:r>
      <w:r>
        <w:fldChar w:fldCharType="begin"/>
      </w:r>
      <w:r>
        <w:instrText xml:space="preserve"> REF _Ref226033363 \r \h </w:instrText>
      </w:r>
      <w:r>
        <w:fldChar w:fldCharType="separate"/>
      </w:r>
      <w:r>
        <w:t>5.3</w:t>
      </w:r>
      <w:r>
        <w:fldChar w:fldCharType="end"/>
      </w:r>
      <w:r>
        <w:t xml:space="preserve">. Editorial punctuation marks must never be added silently to an XML edition, but editorial punctuation can, and </w:t>
      </w:r>
      <w:r>
        <w:lastRenderedPageBreak/>
        <w:t>by our recommendation should, be used to render the semantic structure of a text clearer, so long as it is clearly marked up as editorial.</w:t>
      </w:r>
    </w:p>
    <w:p w14:paraId="50E32C4A" w14:textId="77777777">
      <w:pPr>
        <w:pStyle w:val="Cmsor4"/>
      </w:pPr>
      <w:r>
        <w:t>Encoding editorial  punctuation</w:t>
      </w:r>
    </w:p>
    <w:p w14:paraId="362701A1" w14:textId="77777777">
      <w:pPr>
        <w:pStyle w:val="Lista"/>
      </w:pPr>
      <w:r>
        <w:t>editorial punctuation is recommended in the following circumstances:</w:t>
      </w:r>
    </w:p>
    <w:p w14:paraId="117642CD" w14:textId="77777777">
      <w:pPr>
        <w:pStyle w:val="Lista2"/>
      </w:pPr>
      <w:r>
        <w:t xml:space="preserve">for semantic segmentation of long paragraphs into sentences or other semantic units, when no original punctuation is present, as in </w:t>
      </w:r>
      <w:r>
        <w:fldChar w:fldCharType="begin"/>
      </w:r>
      <w:r>
        <w:instrText xml:space="preserve"> REF _Ref229059150 \h </w:instrText>
      </w:r>
      <w:r>
        <w:fldChar w:fldCharType="separate"/>
      </w:r>
      <w:r>
        <w:t xml:space="preserve">Exhibit </w:t>
      </w:r>
      <w:r>
        <w:rPr>
          <w:noProof/>
        </w:rPr>
        <w:t>7.8</w:t>
      </w:r>
      <w:r>
        <w:t>.</w:t>
      </w:r>
      <w:r>
        <w:rPr>
          <w:noProof/>
        </w:rPr>
        <w:t>A</w:t>
      </w:r>
      <w:r>
        <w:fldChar w:fldCharType="end"/>
      </w:r>
    </w:p>
    <w:p w14:paraId="00ED66A0" w14:textId="77777777">
      <w:pPr>
        <w:pStyle w:val="Lista2"/>
      </w:pPr>
      <w:r>
        <w:t xml:space="preserve">in lists </w:t>
      </w:r>
      <w:r>
        <w:rPr>
          <w:noProof/>
        </w:rPr>
        <w:t>(</w:t>
      </w:r>
      <w:r>
        <w:t xml:space="preserve">e.g. lists of donees), to mark the end of each list item when list encoding is not used, as in </w:t>
      </w:r>
      <w:r>
        <w:fldChar w:fldCharType="begin"/>
      </w:r>
      <w:r>
        <w:instrText xml:space="preserve"> REF _Ref229059156 \h </w:instrText>
      </w:r>
      <w:r>
        <w:fldChar w:fldCharType="separate"/>
      </w:r>
      <w:r>
        <w:t xml:space="preserve">Exhibit </w:t>
      </w:r>
      <w:r>
        <w:rPr>
          <w:noProof/>
        </w:rPr>
        <w:t>7.8</w:t>
      </w:r>
      <w:r>
        <w:t>.</w:t>
      </w:r>
      <w:r>
        <w:rPr>
          <w:noProof/>
        </w:rPr>
        <w:t>B</w:t>
      </w:r>
      <w:r>
        <w:fldChar w:fldCharType="end"/>
      </w:r>
    </w:p>
    <w:p w14:paraId="2E86CBC9" w14:textId="77777777">
      <w:pPr>
        <w:pStyle w:val="Lista2"/>
      </w:pPr>
      <w:r>
        <w:t xml:space="preserve">especially if in either of the above cases the original does use punctuation marks, but does so inconsistently </w:t>
      </w:r>
      <w:r>
        <w:rPr>
          <w:noProof/>
        </w:rPr>
        <w:t>(</w:t>
      </w:r>
      <w:r>
        <w:t>i.e. only after some sentences or list items), because in this case the most logical assumption is that the lack of punctuation marks after certain items is a scribal omission</w:t>
      </w:r>
    </w:p>
    <w:p w14:paraId="0444B8B0" w14:textId="77777777">
      <w:pPr>
        <w:pStyle w:val="Lista"/>
      </w:pPr>
      <w:r>
        <w:t>editorial punctuation need not and must not be added at the end of any encoded block-level container (§</w:t>
      </w:r>
      <w:r>
        <w:fldChar w:fldCharType="begin"/>
      </w:r>
      <w:r>
        <w:instrText xml:space="preserve"> REF _Ref225500627 \w \h </w:instrText>
      </w:r>
      <w:r>
        <w:fldChar w:fldCharType="separate"/>
      </w:r>
      <w:r>
        <w:t>3.2</w:t>
      </w:r>
      <w:r>
        <w:fldChar w:fldCharType="end"/>
      </w:r>
      <w:r>
        <w:t>), because the encoding already takes care of segmentation in these cases</w:t>
      </w:r>
    </w:p>
    <w:p w14:paraId="5B6DEEAC" w14:textId="77777777">
      <w:pPr>
        <w:pStyle w:val="Lista2"/>
      </w:pPr>
      <w:r>
        <w:t>including</w:t>
      </w:r>
    </w:p>
    <w:p w14:paraId="236A1D8E" w14:textId="77777777">
      <w:pPr>
        <w:pStyle w:val="Lista3"/>
      </w:pPr>
      <w:r>
        <w:t>paragraphs and anonymous blocks containing prose (§</w:t>
      </w:r>
      <w:r>
        <w:fldChar w:fldCharType="begin"/>
      </w:r>
      <w:r>
        <w:instrText xml:space="preserve"> REF _Ref229058843 \w \h </w:instrText>
      </w:r>
      <w:r>
        <w:fldChar w:fldCharType="separate"/>
      </w:r>
      <w:r>
        <w:t>3.2.1</w:t>
      </w:r>
      <w:r>
        <w:fldChar w:fldCharType="end"/>
      </w:r>
      <w:r>
        <w:t>)</w:t>
      </w:r>
    </w:p>
    <w:p w14:paraId="38FCA34F" w14:textId="77777777">
      <w:pPr>
        <w:pStyle w:val="Lista3"/>
      </w:pPr>
      <w:r>
        <w:t>stanzas and verse lines (§</w:t>
      </w:r>
      <w:r>
        <w:fldChar w:fldCharType="begin"/>
      </w:r>
      <w:r>
        <w:instrText xml:space="preserve"> REF _Ref224740501 \w \h </w:instrText>
      </w:r>
      <w:r>
        <w:fldChar w:fldCharType="separate"/>
      </w:r>
      <w:r>
        <w:t>3.2.2</w:t>
      </w:r>
      <w:r>
        <w:fldChar w:fldCharType="end"/>
      </w:r>
      <w:r>
        <w:t>)</w:t>
      </w:r>
    </w:p>
    <w:p w14:paraId="4F11D58E" w14:textId="77777777">
      <w:pPr>
        <w:pStyle w:val="Lista3"/>
      </w:pPr>
      <w:r>
        <w:t>lists and list items (§</w:t>
      </w:r>
      <w:r>
        <w:fldChar w:fldCharType="begin"/>
      </w:r>
      <w:r>
        <w:instrText xml:space="preserve"> REF _Ref168563127 \w \h </w:instrText>
      </w:r>
      <w:r>
        <w:fldChar w:fldCharType="separate"/>
      </w:r>
      <w:r>
        <w:t>3.2.1.3</w:t>
      </w:r>
      <w:r>
        <w:fldChar w:fldCharType="end"/>
      </w:r>
      <w:r>
        <w:t>)</w:t>
      </w:r>
    </w:p>
    <w:p w14:paraId="7A3A89D7" w14:textId="77777777">
      <w:pPr>
        <w:pStyle w:val="Lista"/>
      </w:pPr>
      <w:r>
        <w:t>to encode supplied punctuation,</w:t>
      </w:r>
    </w:p>
    <w:p w14:paraId="32C6F478" w14:textId="77777777">
      <w:pPr>
        <w:pStyle w:val="Lista2"/>
      </w:pPr>
      <w:r>
        <w:t xml:space="preserve">use the default transliteration placeholder . </w:t>
      </w:r>
      <w:r>
        <w:rPr>
          <w:noProof/>
        </w:rPr>
        <w:t>(</w:t>
      </w:r>
      <w:r>
        <w:t>period, full stop) as per §</w:t>
      </w:r>
      <w:r>
        <w:fldChar w:fldCharType="begin"/>
      </w:r>
      <w:r>
        <w:instrText xml:space="preserve"> REF _Ref226036268 \w \h </w:instrText>
      </w:r>
      <w:r>
        <w:fldChar w:fldCharType="separate"/>
      </w:r>
      <w:r>
        <w:t>5.3.3.1</w:t>
      </w:r>
      <w:r>
        <w:fldChar w:fldCharType="end"/>
      </w:r>
      <w:r>
        <w:t xml:space="preserve"> and TG §5.3</w:t>
      </w:r>
    </w:p>
    <w:p w14:paraId="159D60B6" w14:textId="77777777">
      <w:pPr>
        <w:pStyle w:val="Lista2"/>
      </w:pPr>
      <w:r>
        <w:t xml:space="preserve">do not add a </w:t>
      </w:r>
      <w:r>
        <w:rPr>
          <w:rStyle w:val="Code"/>
        </w:rPr>
        <w:t>&lt;g&gt;</w:t>
      </w:r>
      <w:r>
        <w:t xml:space="preserve"> tag around this placeholder as you would for original punctuation </w:t>
      </w:r>
      <w:r>
        <w:rPr>
          <w:noProof/>
        </w:rPr>
        <w:t>(</w:t>
      </w:r>
      <w:r>
        <w:t>§</w:t>
      </w:r>
      <w:r>
        <w:fldChar w:fldCharType="begin"/>
      </w:r>
      <w:r>
        <w:instrText xml:space="preserve"> REF _Ref225955927 \w \h </w:instrText>
      </w:r>
      <w:r>
        <w:fldChar w:fldCharType="separate"/>
      </w:r>
      <w:r>
        <w:t>5.3.4</w:t>
      </w:r>
      <w:r>
        <w:fldChar w:fldCharType="end"/>
      </w:r>
      <w:r>
        <w:t>)</w:t>
      </w:r>
    </w:p>
    <w:p w14:paraId="5193D3AC" w14:textId="77777777">
      <w:pPr>
        <w:pStyle w:val="Lista3"/>
      </w:pPr>
      <w:r>
        <w:t>this is to express the fact that this punctuation character is an abstract one, without any assertion of its physical appearance</w:t>
      </w:r>
    </w:p>
    <w:p w14:paraId="2F2C581C" w14:textId="77777777">
      <w:pPr>
        <w:pStyle w:val="Lista2"/>
        <w:rPr>
          <w:rFonts w:ascii="Gentium Plus" w:hAnsi="Gentium Plus" w:cs="Arial Unicode MS"/>
        </w:rPr>
      </w:pPr>
      <w:r>
        <w:t xml:space="preserve">wrap the placeholder in </w:t>
      </w:r>
      <w:r>
        <w:rPr>
          <w:rStyle w:val="Code"/>
        </w:rPr>
        <w:t xml:space="preserve">&lt;supplied </w:t>
      </w:r>
      <w:r>
        <w:rPr>
          <w:rStyle w:val="Codeattribute"/>
        </w:rPr>
        <w:t>reason</w:t>
      </w:r>
      <w:r>
        <w:rPr>
          <w:rStyle w:val="Code"/>
        </w:rPr>
        <w:t>=</w:t>
      </w:r>
      <w:r>
        <w:rPr>
          <w:rStyle w:val="Codevalue"/>
        </w:rPr>
        <w:t>"subaudible"</w:t>
      </w:r>
      <w:r>
        <w:rPr>
          <w:rStyle w:val="Code"/>
        </w:rPr>
        <w:t>&gt;</w:t>
      </w:r>
      <w:r>
        <w:t xml:space="preserve"> to mark it up as editorial</w:t>
      </w:r>
    </w:p>
    <w:p w14:paraId="533CEFDB" w14:textId="77777777">
      <w:pPr>
        <w:pStyle w:val="Lista3"/>
        <w:rPr>
          <w:rStyle w:val="Code"/>
          <w:rFonts w:ascii="Gentium Plus" w:hAnsi="Gentium Plus" w:cs="Arial Unicode MS"/>
          <w:noProof w:val="0"/>
          <w:color w:val="auto"/>
          <w:shd w:val="clear" w:color="auto" w:fill="auto"/>
        </w:rPr>
      </w:pPr>
      <w:r>
        <w:t>the rationale behind the choice of this attribute value is that punctuation is implied by the semantic context, so in a way, a punctuation mark is “subaudible” to the native or informed reader, whereas alternative encoding as editorial intervention would imply that the scribe made an error or used non-standard language, which is not the case</w:t>
      </w:r>
    </w:p>
    <w:p w14:paraId="63CA7B8C" w14:textId="77777777">
      <w:pPr>
        <w:pStyle w:val="Lista"/>
      </w:pPr>
      <w:r>
        <w:t>when you supply punctuation within or adjacent to text that you have supplied because it had been omitted (§</w:t>
      </w:r>
      <w:r>
        <w:fldChar w:fldCharType="begin"/>
      </w:r>
      <w:r>
        <w:instrText xml:space="preserve"> REF _Ref229056324 \r \h </w:instrText>
      </w:r>
      <w:r>
        <w:fldChar w:fldCharType="separate"/>
      </w:r>
      <w:r>
        <w:t>7.5.3</w:t>
      </w:r>
      <w:r>
        <w:fldChar w:fldCharType="end"/>
      </w:r>
      <w:r>
        <w:t>) or lost (§</w:t>
      </w:r>
      <w:r>
        <w:fldChar w:fldCharType="begin"/>
      </w:r>
      <w:r>
        <w:instrText xml:space="preserve"> REF _Ref228459751 \r \h </w:instrText>
      </w:r>
      <w:r>
        <w:fldChar w:fldCharType="separate"/>
      </w:r>
      <w:r>
        <w:t>6.4</w:t>
      </w:r>
      <w:r>
        <w:fldChar w:fldCharType="end"/>
      </w:r>
      <w:r>
        <w:t xml:space="preserve">) in the original, a separate </w:t>
      </w:r>
      <w:r>
        <w:rPr>
          <w:rStyle w:val="Code"/>
        </w:rPr>
        <w:t>&lt;supplied&gt;</w:t>
      </w:r>
      <w:r>
        <w:t xml:space="preserve"> element must be created to wrap the editorial punctuation</w:t>
      </w:r>
    </w:p>
    <w:p w14:paraId="69F2A5A4" w14:textId="77777777">
      <w:pPr>
        <w:pStyle w:val="Lista2"/>
      </w:pPr>
      <w:r>
        <w:t xml:space="preserve">e.g. </w:t>
      </w:r>
      <w:r>
        <w:rPr>
          <w:rStyle w:val="Codetext"/>
        </w:rPr>
        <w:t>ājñāpaya</w:t>
      </w:r>
      <w:r>
        <w:rPr>
          <w:rStyle w:val="Code"/>
        </w:rPr>
        <w:t xml:space="preserve">&lt;supplied </w:t>
      </w:r>
      <w:r>
        <w:rPr>
          <w:rStyle w:val="Codeattribute"/>
        </w:rPr>
        <w:t>reason</w:t>
      </w:r>
      <w:r>
        <w:rPr>
          <w:rStyle w:val="Codetext"/>
        </w:rPr>
        <w:t>=</w:t>
      </w:r>
      <w:r>
        <w:rPr>
          <w:rStyle w:val="Codevalue"/>
        </w:rPr>
        <w:t>"omitted"</w:t>
      </w:r>
      <w:r>
        <w:rPr>
          <w:rStyle w:val="Code"/>
        </w:rPr>
        <w:t>&gt;</w:t>
      </w:r>
      <w:r>
        <w:rPr>
          <w:rStyle w:val="Codetext"/>
        </w:rPr>
        <w:t>ti</w:t>
      </w:r>
      <w:r>
        <w:rPr>
          <w:rStyle w:val="Code"/>
        </w:rPr>
        <w:t xml:space="preserve">&lt;/supplied&gt;&lt;supplied </w:t>
      </w:r>
      <w:r>
        <w:rPr>
          <w:rStyle w:val="Codeattribute"/>
        </w:rPr>
        <w:t>reason</w:t>
      </w:r>
      <w:r>
        <w:rPr>
          <w:rStyle w:val="Codetext"/>
        </w:rPr>
        <w:t>=</w:t>
      </w:r>
      <w:r>
        <w:rPr>
          <w:rStyle w:val="Codevalue"/>
        </w:rPr>
        <w:t>"subaudible"</w:t>
      </w:r>
      <w:r>
        <w:rPr>
          <w:rStyle w:val="Code"/>
        </w:rPr>
        <w:t>&gt;</w:t>
      </w:r>
      <w:r>
        <w:rPr>
          <w:rStyle w:val="Codetext"/>
        </w:rPr>
        <w:t>.</w:t>
      </w:r>
      <w:r>
        <w:rPr>
          <w:rStyle w:val="Code"/>
        </w:rPr>
        <w:t>&lt;/supplied&gt;</w:t>
      </w:r>
    </w:p>
    <w:p w14:paraId="1CC9611E" w14:textId="77777777">
      <w:pPr>
        <w:pStyle w:val="Lista"/>
      </w:pPr>
      <w:r>
        <w:t>editorial punctuation in DHARMA editions will be of this single kind, without differentiation on any basis</w:t>
      </w:r>
    </w:p>
    <w:p w14:paraId="256091F4" w14:textId="51C4CD4E">
      <w:pPr>
        <w:pStyle w:val="Lista2"/>
      </w:pPr>
      <w:r>
        <w:t>although many earlier editors supply two levels of punctuation (</w:t>
      </w:r>
      <w:proofErr w:type="spellStart"/>
      <w:r>
        <w:t>daṇḍa</w:t>
      </w:r>
      <w:proofErr w:type="spellEnd"/>
      <w:r>
        <w:t xml:space="preserve"> and double </w:t>
      </w:r>
      <w:proofErr w:type="spellStart"/>
      <w:r>
        <w:t>daṇḍa</w:t>
      </w:r>
      <w:proofErr w:type="spellEnd"/>
      <w:r>
        <w:t>), the higher punctuation level is only useful at the end of stanzas and paragraphs, where we demarcate block-level containers instead of supplying punctuations</w:t>
      </w:r>
    </w:p>
    <w:tbl>
      <w:tblPr>
        <w:tblStyle w:val="CodeSampleTable"/>
        <w:tblW w:w="5000" w:type="pct"/>
        <w:tblLook w:val="04A0" w:firstRow="1" w:lastRow="0" w:firstColumn="1" w:lastColumn="0" w:noHBand="0" w:noVBand="1"/>
      </w:tblPr>
      <w:tblGrid>
        <w:gridCol w:w="9628"/>
      </w:tblGrid>
      <w:tr w14:paraId="1F389A36"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4CBF312" w14:textId="77777777">
            <w:pPr>
              <w:pStyle w:val="Kpalrs"/>
            </w:pPr>
            <w:bookmarkStart w:id="698" w:name="_Ref229059150"/>
            <w:r>
              <w:t xml:space="preserve">Exhibit </w:t>
            </w:r>
            <w:fldSimple w:instr=" STYLEREF 2 \s ">
              <w:r>
                <w:rPr>
                  <w:noProof/>
                </w:rPr>
                <w:t>7.8</w:t>
              </w:r>
            </w:fldSimple>
            <w:r>
              <w:t>.</w:t>
            </w:r>
            <w:fldSimple w:instr=" SEQ Exhibit \* ALPHABETIC \s 2 ">
              <w:r>
                <w:rPr>
                  <w:noProof/>
                </w:rPr>
                <w:t>A</w:t>
              </w:r>
            </w:fldSimple>
            <w:bookmarkEnd w:id="698"/>
            <w:r>
              <w:t>: supplied punctuation at the end of a sentence</w:t>
            </w:r>
          </w:p>
        </w:tc>
      </w:tr>
      <w:tr w14:paraId="3C028675" w14:textId="77777777">
        <w:tc>
          <w:tcPr>
            <w:tcW w:w="5000" w:type="pct"/>
          </w:tcPr>
          <w:p w14:paraId="5980C496" w14:textId="77777777">
            <w:pPr>
              <w:pStyle w:val="CodeParagraph"/>
            </w:pPr>
            <w:r>
              <w:rPr>
                <w:rStyle w:val="Code"/>
              </w:rPr>
              <w:t>&lt;p&gt;</w:t>
            </w:r>
            <w:r>
              <w:rPr>
                <w:rStyle w:val="Codetext"/>
              </w:rPr>
              <w:t xml:space="preserve"> ... anumantavyo varddhanīyaś ca</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yo vājñānād ... </w:t>
            </w:r>
            <w:r>
              <w:rPr>
                <w:rStyle w:val="Code"/>
              </w:rPr>
              <w:t>&lt;/p&gt;</w:t>
            </w:r>
          </w:p>
        </w:tc>
      </w:tr>
    </w:tbl>
    <w:p w14:paraId="47ED19C9" w14:textId="77777777"/>
    <w:tbl>
      <w:tblPr>
        <w:tblStyle w:val="CodeSampleTable"/>
        <w:tblW w:w="5000" w:type="pct"/>
        <w:tblLook w:val="04A0" w:firstRow="1" w:lastRow="0" w:firstColumn="1" w:lastColumn="0" w:noHBand="0" w:noVBand="1"/>
      </w:tblPr>
      <w:tblGrid>
        <w:gridCol w:w="9628"/>
      </w:tblGrid>
      <w:tr w14:paraId="0457783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E030158" w14:textId="77777777">
            <w:pPr>
              <w:pStyle w:val="Kpalrs"/>
            </w:pPr>
            <w:bookmarkStart w:id="699" w:name="_Ref229059156"/>
            <w:r>
              <w:t xml:space="preserve">Exhibit </w:t>
            </w:r>
            <w:fldSimple w:instr=" STYLEREF 2 \s ">
              <w:r>
                <w:rPr>
                  <w:noProof/>
                </w:rPr>
                <w:t>7.8</w:t>
              </w:r>
            </w:fldSimple>
            <w:r>
              <w:t>.</w:t>
            </w:r>
            <w:fldSimple w:instr=" SEQ Exhibit \* ALPHABETIC \s 2 ">
              <w:r>
                <w:rPr>
                  <w:noProof/>
                </w:rPr>
                <w:t>B</w:t>
              </w:r>
            </w:fldSimple>
            <w:bookmarkEnd w:id="699"/>
            <w:r>
              <w:t>: supplied punctuation in a list with sporadic original punctuation</w:t>
            </w:r>
          </w:p>
        </w:tc>
      </w:tr>
      <w:tr w14:paraId="749EEEE7" w14:textId="77777777">
        <w:tc>
          <w:tcPr>
            <w:tcW w:w="5000" w:type="pct"/>
          </w:tcPr>
          <w:p w14:paraId="2AAAC6F2" w14:textId="77777777">
            <w:pPr>
              <w:pStyle w:val="CodeParagraph"/>
              <w:keepNext/>
            </w:pPr>
            <w:r>
              <w:rPr>
                <w:rStyle w:val="Code"/>
              </w:rPr>
              <w:t>&lt;p&gt;</w:t>
            </w:r>
            <w:r>
              <w:rPr>
                <w:rStyle w:val="Codetext"/>
              </w:rPr>
              <w:t xml:space="preserve"> ... Āruvaśarmmaṇa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puna vedaśarmmaṇa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 jakkiśarmmaṇa Ekkaṁśaḥ</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t>
            </w:r>
            <w:r>
              <w:rPr>
                <w:rStyle w:val="Code"/>
              </w:rPr>
              <w:t>&lt;/supplied&gt;</w:t>
            </w:r>
            <w:r>
              <w:rPr>
                <w:rStyle w:val="Codetext"/>
              </w:rPr>
              <w:t xml:space="preserve"> ... vebaśarmmaṇa Ekkaṁśaḥ</w:t>
            </w:r>
            <w:r>
              <w:rPr>
                <w:rStyle w:val="Code"/>
              </w:rPr>
              <w:t xml:space="preserve">&lt;g </w:t>
            </w:r>
            <w:r>
              <w:rPr>
                <w:rStyle w:val="Codeattribute"/>
              </w:rPr>
              <w:t>type</w:t>
            </w:r>
            <w:r>
              <w:rPr>
                <w:rStyle w:val="Code"/>
              </w:rPr>
              <w:t>=</w:t>
            </w:r>
            <w:r>
              <w:rPr>
                <w:rStyle w:val="Codevalue"/>
              </w:rPr>
              <w:t xml:space="preserve">"punctuation" </w:t>
            </w:r>
            <w:r>
              <w:rPr>
                <w:rStyle w:val="Codeattribute"/>
              </w:rPr>
              <w:t>ref</w:t>
            </w:r>
            <w:r>
              <w:rPr>
                <w:rStyle w:val="Code"/>
              </w:rPr>
              <w:t>=</w:t>
            </w:r>
            <w:r>
              <w:rPr>
                <w:rStyle w:val="Codevalue"/>
              </w:rPr>
              <w:t>"sym:bar"</w:t>
            </w:r>
            <w:r>
              <w:rPr>
                <w:rStyle w:val="Code"/>
              </w:rPr>
              <w:t>&gt;</w:t>
            </w:r>
            <w:r>
              <w:rPr>
                <w:rStyle w:val="Codetext"/>
              </w:rPr>
              <w:t>.</w:t>
            </w:r>
            <w:r>
              <w:rPr>
                <w:rStyle w:val="Code"/>
              </w:rPr>
              <w:t>&lt;/g&gt;</w:t>
            </w:r>
            <w:r>
              <w:rPr>
                <w:rStyle w:val="Codetext"/>
              </w:rPr>
              <w:t xml:space="preserve"> ... sarvvaśarmmaṇa ... </w:t>
            </w:r>
            <w:r>
              <w:rPr>
                <w:rStyle w:val="Code"/>
              </w:rPr>
              <w:t>&lt;/p&gt;</w:t>
            </w:r>
          </w:p>
        </w:tc>
      </w:tr>
      <w:tr w14:paraId="047C0495" w14:textId="77777777">
        <w:tc>
          <w:tcPr>
            <w:tcW w:w="5000" w:type="pct"/>
          </w:tcPr>
          <w:p w14:paraId="10400E94" w14:textId="77777777">
            <w:pPr>
              <w:pStyle w:val="TableNote"/>
              <w:rPr>
                <w:rStyle w:val="Code"/>
              </w:rPr>
            </w:pPr>
            <w:r>
              <w:t xml:space="preserve">the original punctuation mark in the excerpt is tagged with </w:t>
            </w:r>
            <w:r>
              <w:rPr>
                <w:rStyle w:val="Code"/>
              </w:rPr>
              <w:t>&lt;g&gt;</w:t>
            </w:r>
          </w:p>
        </w:tc>
      </w:tr>
    </w:tbl>
    <w:p w14:paraId="24C8802D" w14:textId="77777777">
      <w:pPr>
        <w:pStyle w:val="Cmsor4"/>
      </w:pPr>
      <w:r>
        <w:lastRenderedPageBreak/>
        <w:t>Supplying omitted punctuation</w:t>
      </w:r>
    </w:p>
    <w:p w14:paraId="3AEA1318" w14:textId="77777777">
      <w:r>
        <w:t>If you are fully confident that the absence of a punctuation mark at a certain point is the result of actual scribal omission (rather than of the fact that the creator of the document did not feel the need for a punctuation mark there), then you may at your discretion choose to restitute it like any other omission instead of encoding it as subaudible.</w:t>
      </w:r>
    </w:p>
    <w:p w14:paraId="40EB43E7" w14:textId="77777777">
      <w:pPr>
        <w:pStyle w:val="Lista"/>
      </w:pPr>
      <w:r>
        <w:t xml:space="preserve">use the same placeholder and  </w:t>
      </w:r>
      <w:r>
        <w:rPr>
          <w:rStyle w:val="Code"/>
        </w:rPr>
        <w:t>&lt;g&gt;</w:t>
      </w:r>
      <w:r>
        <w:t xml:space="preserve"> encoding </w:t>
      </w:r>
      <w:r>
        <w:rPr>
          <w:noProof/>
        </w:rPr>
        <w:t>(</w:t>
      </w:r>
      <w:r>
        <w:t>§</w:t>
      </w:r>
      <w:r>
        <w:fldChar w:fldCharType="begin"/>
      </w:r>
      <w:r>
        <w:instrText xml:space="preserve"> REF _Ref225955927 \w \h </w:instrText>
      </w:r>
      <w:r>
        <w:fldChar w:fldCharType="separate"/>
      </w:r>
      <w:r>
        <w:t>5.3.4</w:t>
      </w:r>
      <w:r>
        <w:fldChar w:fldCharType="end"/>
      </w:r>
      <w:r>
        <w:t>) as for other comparable punctuation marks in the same document</w:t>
      </w:r>
    </w:p>
    <w:p w14:paraId="1C98DA00" w14:textId="77777777">
      <w:pPr>
        <w:pStyle w:val="Lista"/>
      </w:pPr>
      <w:r>
        <w:t xml:space="preserve">wrap the </w:t>
      </w:r>
      <w:r>
        <w:rPr>
          <w:rStyle w:val="Code"/>
        </w:rPr>
        <w:t>&lt;g&gt;</w:t>
      </w:r>
      <w:r>
        <w:t xml:space="preserve"> element in </w:t>
      </w:r>
      <w:r>
        <w:rPr>
          <w:rStyle w:val="Code"/>
        </w:rPr>
        <w:t xml:space="preserve">&lt;supplied </w:t>
      </w:r>
      <w:r>
        <w:rPr>
          <w:rStyle w:val="Codeattribute"/>
        </w:rPr>
        <w:t>reason</w:t>
      </w:r>
      <w:r>
        <w:rPr>
          <w:rStyle w:val="Code"/>
        </w:rPr>
        <w:t>=</w:t>
      </w:r>
      <w:r>
        <w:rPr>
          <w:rStyle w:val="Codevalue"/>
        </w:rPr>
        <w:t>"omitted"</w:t>
      </w:r>
      <w:r>
        <w:rPr>
          <w:rStyle w:val="Code"/>
        </w:rPr>
        <w:t>&gt;</w:t>
      </w:r>
      <w:r>
        <w:t xml:space="preserve"> as per §</w:t>
      </w:r>
      <w:r>
        <w:fldChar w:fldCharType="begin"/>
      </w:r>
      <w:r>
        <w:instrText xml:space="preserve"> REF _Ref229056324 \r \h </w:instrText>
      </w:r>
      <w:r>
        <w:fldChar w:fldCharType="separate"/>
      </w:r>
      <w:r>
        <w:t>7.5.3</w:t>
      </w:r>
      <w:r>
        <w:fldChar w:fldCharType="end"/>
      </w:r>
    </w:p>
    <w:p w14:paraId="2EEFE6C0" w14:textId="77777777">
      <w:pPr>
        <w:pStyle w:val="Lista2"/>
      </w:pPr>
      <w:r>
        <w:t xml:space="preserve">in this case, there is no need for a separate </w:t>
      </w:r>
      <w:r>
        <w:rPr>
          <w:rStyle w:val="Code"/>
        </w:rPr>
        <w:t>&lt;supplied&gt;</w:t>
      </w:r>
      <w:r>
        <w:t xml:space="preserve"> tag when the restored punctuation is within or adjacent to other restored text</w:t>
      </w:r>
    </w:p>
    <w:p w14:paraId="447428CB" w14:textId="77777777">
      <w:pPr>
        <w:pStyle w:val="Cmsor3"/>
      </w:pPr>
      <w:bookmarkStart w:id="700" w:name="_Toc243900354"/>
      <w:r>
        <w:t xml:space="preserve">Supplied </w:t>
      </w:r>
      <w:r>
        <w:rPr>
          <w:rStyle w:val="Foreign"/>
        </w:rPr>
        <w:t>avagraha</w:t>
      </w:r>
      <w:bookmarkEnd w:id="697"/>
      <w:bookmarkEnd w:id="700"/>
    </w:p>
    <w:p w14:paraId="374DD3CE" w14:textId="77777777">
      <w:r>
        <w:t xml:space="preserve">As per TG §4.3.1.1, editors may supply </w:t>
      </w:r>
      <w:r>
        <w:rPr>
          <w:rStyle w:val="Foreign"/>
        </w:rPr>
        <w:t>avagraha</w:t>
      </w:r>
      <w:r>
        <w:t xml:space="preserve"> without explicitly marking it up as editorial, because the texts in our scope hardly ever contain an original </w:t>
      </w:r>
      <w:r>
        <w:rPr>
          <w:rStyle w:val="Foreign"/>
        </w:rPr>
        <w:t>avagraha</w:t>
      </w:r>
      <w:r>
        <w:t xml:space="preserve">. Nonetheless, adding encoding to editorial </w:t>
      </w:r>
      <w:r>
        <w:rPr>
          <w:rStyle w:val="Foreign"/>
        </w:rPr>
        <w:t>avagraha</w:t>
      </w:r>
      <w:r>
        <w:t xml:space="preserve">s is strongly recommended in all XML editions and mandatory in editions which contain original </w:t>
      </w:r>
      <w:r>
        <w:rPr>
          <w:rStyle w:val="Foreign"/>
        </w:rPr>
        <w:t>avagraha</w:t>
      </w:r>
      <w:r>
        <w:t>.</w:t>
      </w:r>
    </w:p>
    <w:p w14:paraId="3FC35A6E" w14:textId="77777777">
      <w:pPr>
        <w:pStyle w:val="Lista"/>
      </w:pPr>
      <w:r>
        <w:t xml:space="preserve">to mark up </w:t>
      </w:r>
      <w:r>
        <w:rPr>
          <w:rStyle w:val="Foreign"/>
        </w:rPr>
        <w:t>avagraha</w:t>
      </w:r>
      <w:r>
        <w:t xml:space="preserve"> as editorial, wrap the </w:t>
      </w:r>
      <w:r>
        <w:rPr>
          <w:rStyle w:val="Foreign"/>
        </w:rPr>
        <w:t>avagraha</w:t>
      </w:r>
      <w:r>
        <w:t xml:space="preserve"> (transliterated as ’ [right single quote]) in </w:t>
      </w:r>
      <w:r>
        <w:rPr>
          <w:rStyle w:val="Code"/>
        </w:rPr>
        <w:t xml:space="preserve">&lt;supplied </w:t>
      </w:r>
      <w:r>
        <w:rPr>
          <w:rStyle w:val="Codeattribute"/>
        </w:rPr>
        <w:t>reason</w:t>
      </w:r>
      <w:r>
        <w:rPr>
          <w:rStyle w:val="Code"/>
        </w:rPr>
        <w:t>=</w:t>
      </w:r>
      <w:r>
        <w:rPr>
          <w:rStyle w:val="Codevalue"/>
        </w:rPr>
        <w:t>"subaudible"</w:t>
      </w:r>
      <w:r>
        <w:rPr>
          <w:rStyle w:val="Code"/>
        </w:rPr>
        <w:t>&gt;</w:t>
      </w:r>
    </w:p>
    <w:p w14:paraId="44710A93" w14:textId="77777777">
      <w:pPr>
        <w:pStyle w:val="Lista2"/>
      </w:pPr>
      <w:r>
        <w:t>this is the same encoding as that used for editorial punctuation (§</w:t>
      </w:r>
      <w:r>
        <w:fldChar w:fldCharType="begin"/>
      </w:r>
      <w:r>
        <w:instrText xml:space="preserve"> REF _Ref229060537 \r \h </w:instrText>
      </w:r>
      <w:r>
        <w:fldChar w:fldCharType="separate"/>
      </w:r>
      <w:r>
        <w:t>7.8.3</w:t>
      </w:r>
      <w:r>
        <w:fldChar w:fldCharType="end"/>
      </w:r>
      <w:r>
        <w:t>), employed for the present purpose with the same rationale</w:t>
      </w:r>
    </w:p>
    <w:p w14:paraId="3FAF705C" w14:textId="77777777">
      <w:pPr>
        <w:pStyle w:val="Lista"/>
      </w:pPr>
      <w:r>
        <w:t xml:space="preserve">when you supply </w:t>
      </w:r>
      <w:r>
        <w:rPr>
          <w:rStyle w:val="Foreign"/>
        </w:rPr>
        <w:t>avagraha</w:t>
      </w:r>
      <w:r>
        <w:t xml:space="preserve"> within or adjacent to text that you have supplied because it had been omitted (§</w:t>
      </w:r>
      <w:r>
        <w:fldChar w:fldCharType="begin"/>
      </w:r>
      <w:r>
        <w:instrText xml:space="preserve"> REF _Ref229056324 \r \h </w:instrText>
      </w:r>
      <w:r>
        <w:fldChar w:fldCharType="separate"/>
      </w:r>
      <w:r>
        <w:t>7.5.3</w:t>
      </w:r>
      <w:r>
        <w:fldChar w:fldCharType="end"/>
      </w:r>
      <w:r>
        <w:t>) or lost (§</w:t>
      </w:r>
      <w:r>
        <w:fldChar w:fldCharType="begin"/>
      </w:r>
      <w:r>
        <w:instrText xml:space="preserve"> REF _Ref228459751 \r \h </w:instrText>
      </w:r>
      <w:r>
        <w:fldChar w:fldCharType="separate"/>
      </w:r>
      <w:r>
        <w:t>6.4</w:t>
      </w:r>
      <w:r>
        <w:fldChar w:fldCharType="end"/>
      </w:r>
      <w:r>
        <w:t xml:space="preserve">) in the original, a separate </w:t>
      </w:r>
      <w:r>
        <w:rPr>
          <w:rStyle w:val="Code"/>
        </w:rPr>
        <w:t>&lt;supplied&gt;</w:t>
      </w:r>
      <w:r>
        <w:t xml:space="preserve"> element must be created to wrap the editorial </w:t>
      </w:r>
      <w:r>
        <w:rPr>
          <w:rStyle w:val="Foreign"/>
        </w:rPr>
        <w:t>avagraha</w:t>
      </w:r>
    </w:p>
    <w:p w14:paraId="487653C9" w14:textId="77777777">
      <w:pPr>
        <w:pStyle w:val="Lista2"/>
        <w:rPr>
          <w:rStyle w:val="Codetext"/>
          <w:rFonts w:ascii="Gentium" w:hAnsi="Gentium" w:cs="Tiro Devanagari Sanskrit"/>
          <w:noProof w:val="0"/>
          <w:color w:val="auto"/>
          <w:shd w:val="clear" w:color="auto" w:fill="auto"/>
        </w:rPr>
      </w:pPr>
      <w:r>
        <w:t xml:space="preserve">e.g. </w:t>
      </w:r>
      <w:r>
        <w:rPr>
          <w:rStyle w:val="Code"/>
        </w:rPr>
        <w:t xml:space="preserve">&lt;supplied </w:t>
      </w:r>
      <w:r>
        <w:rPr>
          <w:rStyle w:val="Codeattribute"/>
        </w:rPr>
        <w:t>reason</w:t>
      </w:r>
      <w:r>
        <w:rPr>
          <w:rStyle w:val="Codetext"/>
        </w:rPr>
        <w:t>=</w:t>
      </w:r>
      <w:r>
        <w:rPr>
          <w:rStyle w:val="Codevalue"/>
        </w:rPr>
        <w:t>"lost"</w:t>
      </w:r>
      <w:r>
        <w:rPr>
          <w:rStyle w:val="Code"/>
        </w:rPr>
        <w:t>&gt;</w:t>
      </w:r>
      <w:r>
        <w:rPr>
          <w:rStyle w:val="Codetext"/>
        </w:rPr>
        <w:t xml:space="preserve">yo </w:t>
      </w:r>
      <w:r>
        <w:rPr>
          <w:rStyle w:val="Code"/>
        </w:rPr>
        <w:t xml:space="preserve">&lt;/supplied&gt;&lt;supplied </w:t>
      </w:r>
      <w:r>
        <w:rPr>
          <w:rStyle w:val="Codeattribute"/>
        </w:rPr>
        <w:t>reason</w:t>
      </w:r>
      <w:r>
        <w:rPr>
          <w:rStyle w:val="Codetext"/>
        </w:rPr>
        <w:t>=</w:t>
      </w:r>
      <w:r>
        <w:rPr>
          <w:rStyle w:val="Codevalue"/>
        </w:rPr>
        <w:t>"subaudible"</w:t>
      </w:r>
      <w:r>
        <w:rPr>
          <w:rStyle w:val="Code"/>
        </w:rPr>
        <w:t>&gt;</w:t>
      </w:r>
      <w:r>
        <w:rPr>
          <w:rStyle w:val="Codetext"/>
        </w:rPr>
        <w:t>’</w:t>
      </w:r>
      <w:r>
        <w:rPr>
          <w:rStyle w:val="Code"/>
        </w:rPr>
        <w:t xml:space="preserve">&lt;/supplied&gt;&lt;supplied </w:t>
      </w:r>
      <w:r>
        <w:rPr>
          <w:rStyle w:val="Codeattribute"/>
        </w:rPr>
        <w:t>reason</w:t>
      </w:r>
      <w:r>
        <w:rPr>
          <w:rStyle w:val="Codetext"/>
        </w:rPr>
        <w:t>=</w:t>
      </w:r>
      <w:r>
        <w:rPr>
          <w:rStyle w:val="Codevalue"/>
        </w:rPr>
        <w:t>"lost"</w:t>
      </w:r>
      <w:r>
        <w:rPr>
          <w:rStyle w:val="Code"/>
        </w:rPr>
        <w:t>&gt;</w:t>
      </w:r>
      <w:r>
        <w:rPr>
          <w:rStyle w:val="Codetext"/>
        </w:rPr>
        <w:t>paharttā sa</w:t>
      </w:r>
      <w:r>
        <w:rPr>
          <w:rStyle w:val="Code"/>
        </w:rPr>
        <w:t>&lt;/supplied&gt;</w:t>
      </w:r>
      <w:r>
        <w:rPr>
          <w:rStyle w:val="Codetext"/>
        </w:rPr>
        <w:t xml:space="preserve"> pañca-mahāpātaka-saṁyukto bhavati</w:t>
      </w:r>
    </w:p>
    <w:p w14:paraId="7E79221A" w14:textId="77777777">
      <w:pPr>
        <w:pStyle w:val="Lista"/>
      </w:pPr>
      <w:r>
        <w:t xml:space="preserve">in corpora where original </w:t>
      </w:r>
      <w:r>
        <w:rPr>
          <w:rStyle w:val="Foreign"/>
        </w:rPr>
        <w:t>avagraha</w:t>
      </w:r>
      <w:r>
        <w:rPr>
          <w:rStyle w:val="Foreign"/>
          <w:i w:val="0"/>
          <w:iCs w:val="0"/>
        </w:rPr>
        <w:t>s</w:t>
      </w:r>
      <w:r>
        <w:t xml:space="preserve"> are unusual, it is recommended that you wrap any original </w:t>
      </w:r>
      <w:r>
        <w:rPr>
          <w:rStyle w:val="Foreign"/>
        </w:rPr>
        <w:t>avagraha</w:t>
      </w:r>
      <w:r>
        <w:t xml:space="preserve"> in </w:t>
      </w:r>
      <w:r>
        <w:rPr>
          <w:rStyle w:val="Code"/>
        </w:rPr>
        <w:t>&lt;orig&gt;</w:t>
      </w:r>
      <w:r>
        <w:t xml:space="preserve"> to make it very clear that they are not editorial additions</w:t>
      </w:r>
    </w:p>
    <w:p w14:paraId="081E48B8" w14:textId="77777777">
      <w:pPr>
        <w:pStyle w:val="Cmsor3"/>
      </w:pPr>
      <w:bookmarkStart w:id="701" w:name="_Toc243900355"/>
      <w:r>
        <w:t>Distinction of short and long e/o in Dravidian languages</w:t>
      </w:r>
      <w:bookmarkEnd w:id="701"/>
    </w:p>
    <w:p w14:paraId="0CD86555" w14:textId="77777777">
      <w:r>
        <w:t xml:space="preserve">Dravidian-language inscriptions in our purview usually do not make a graphic distinction between the short and long versions of </w:t>
      </w:r>
      <w:r>
        <w:rPr>
          <w:rStyle w:val="Foreign"/>
        </w:rPr>
        <w:t>e</w:t>
      </w:r>
      <w:r>
        <w:t xml:space="preserve"> and </w:t>
      </w:r>
      <w:r>
        <w:rPr>
          <w:rStyle w:val="Foreign"/>
        </w:rPr>
        <w:t>o</w:t>
      </w:r>
      <w:r>
        <w:t xml:space="preserve">, even though this is a phonemic distinction in the languages </w:t>
      </w:r>
      <w:proofErr w:type="spellStart"/>
      <w:r>
        <w:t>concened</w:t>
      </w:r>
      <w:proofErr w:type="spellEnd"/>
      <w:r>
        <w:t xml:space="preserve">. As per TG §7.1.1, the transliteration </w:t>
      </w:r>
      <w:r>
        <w:rPr>
          <w:rStyle w:val="Foreign"/>
        </w:rPr>
        <w:t>e</w:t>
      </w:r>
      <w:r>
        <w:t xml:space="preserve"> and </w:t>
      </w:r>
      <w:r>
        <w:rPr>
          <w:rStyle w:val="Foreign"/>
        </w:rPr>
        <w:t>o</w:t>
      </w:r>
      <w:r>
        <w:t xml:space="preserve"> stands for the generic grapheme where a graphic distinction is not present, and for the short grapheme where a graphic distinction is present. Conversely, the transliteration </w:t>
      </w:r>
      <w:r>
        <w:rPr>
          <w:rStyle w:val="Foreign"/>
        </w:rPr>
        <w:t>ē</w:t>
      </w:r>
      <w:r>
        <w:t xml:space="preserve"> and </w:t>
      </w:r>
      <w:r>
        <w:rPr>
          <w:rStyle w:val="Foreign"/>
        </w:rPr>
        <w:t>ō</w:t>
      </w:r>
      <w:r>
        <w:t xml:space="preserve"> stand for the long grapheme where a graphic distinction is present, while if a graphic distinction is not present in the original, then the editor may use these as shorthand for the generic grapheme representing the long phoneme. This shorthand is permitted in XML editions, but it may also be replaced by encoding at your discretion, in order to wholly eliminate ambiguity. The cost of allowing this shorthand is that the distinction must be made explicit in documents which do make a graphic distinction between these pairs.</w:t>
      </w:r>
    </w:p>
    <w:p w14:paraId="64B420FA" w14:textId="77777777">
      <w:pPr>
        <w:pStyle w:val="Lista"/>
      </w:pPr>
      <w:r>
        <w:t xml:space="preserve">when editing a document which </w:t>
      </w:r>
      <w:r>
        <w:rPr>
          <w:b/>
          <w:bCs/>
        </w:rPr>
        <w:t>does not make a graphic distinction</w:t>
      </w:r>
      <w:r>
        <w:t xml:space="preserve"> between short and long </w:t>
      </w:r>
      <w:r>
        <w:rPr>
          <w:rStyle w:val="Foreign"/>
        </w:rPr>
        <w:t>e</w:t>
      </w:r>
      <w:r>
        <w:t xml:space="preserve"> and </w:t>
      </w:r>
      <w:r>
        <w:rPr>
          <w:rStyle w:val="Foreign"/>
        </w:rPr>
        <w:t>o</w:t>
      </w:r>
      <w:r>
        <w:t>,</w:t>
      </w:r>
    </w:p>
    <w:p w14:paraId="6D621260" w14:textId="77777777">
      <w:pPr>
        <w:pStyle w:val="Lista2"/>
      </w:pPr>
      <w:r>
        <w:t xml:space="preserve">the generic grapheme representing the short phoneme shall be transliterated normally as </w:t>
      </w:r>
      <w:r>
        <w:rPr>
          <w:rStyle w:val="Foreign"/>
        </w:rPr>
        <w:t>e</w:t>
      </w:r>
      <w:r>
        <w:t xml:space="preserve"> or </w:t>
      </w:r>
      <w:r>
        <w:rPr>
          <w:rStyle w:val="Foreign"/>
        </w:rPr>
        <w:t>o</w:t>
      </w:r>
    </w:p>
    <w:p w14:paraId="6667DADE" w14:textId="77777777">
      <w:pPr>
        <w:pStyle w:val="Lista2"/>
      </w:pPr>
      <w:r>
        <w:t>the generic grapheme representing the long phoneme shall be</w:t>
      </w:r>
    </w:p>
    <w:p w14:paraId="3944695D" w14:textId="77777777">
      <w:pPr>
        <w:pStyle w:val="Lista3"/>
      </w:pPr>
      <w:r>
        <w:t xml:space="preserve">either transliterated with shorthand as </w:t>
      </w:r>
      <w:r>
        <w:rPr>
          <w:rStyle w:val="Foreign"/>
        </w:rPr>
        <w:t>ē</w:t>
      </w:r>
      <w:r>
        <w:t xml:space="preserve"> or </w:t>
      </w:r>
      <w:r>
        <w:rPr>
          <w:rStyle w:val="Foreign"/>
        </w:rPr>
        <w:t>ō</w:t>
      </w:r>
    </w:p>
    <w:p w14:paraId="108AF226" w14:textId="77777777">
      <w:pPr>
        <w:pStyle w:val="Lista3"/>
      </w:pPr>
      <w:r>
        <w:t>or encoded as an editorial normalisation</w:t>
      </w:r>
    </w:p>
    <w:p w14:paraId="3D785BB8" w14:textId="77777777">
      <w:pPr>
        <w:pStyle w:val="Lista4"/>
        <w:rPr>
          <w:rStyle w:val="Code"/>
          <w:rFonts w:ascii="Gentium" w:hAnsi="Gentium" w:cs="Tiro Devanagari Sanskrit"/>
          <w:noProof w:val="0"/>
          <w:color w:val="auto"/>
          <w:shd w:val="clear" w:color="auto" w:fill="auto"/>
        </w:rPr>
      </w:pPr>
      <w:r>
        <w:t xml:space="preserve">e.g. </w:t>
      </w:r>
      <w:r>
        <w:rPr>
          <w:rStyle w:val="Code"/>
        </w:rPr>
        <w:t>&lt;choice&gt;&lt;orig&gt;</w:t>
      </w:r>
      <w:r>
        <w:rPr>
          <w:rStyle w:val="Codetext"/>
        </w:rPr>
        <w:t>e</w:t>
      </w:r>
      <w:r>
        <w:rPr>
          <w:rStyle w:val="Code"/>
        </w:rPr>
        <w:t>&lt;/orig&gt;&lt;reg&gt;</w:t>
      </w:r>
      <w:r>
        <w:rPr>
          <w:rStyle w:val="Codetext"/>
        </w:rPr>
        <w:t>ē</w:t>
      </w:r>
      <w:r>
        <w:rPr>
          <w:rStyle w:val="Code"/>
        </w:rPr>
        <w:t>&lt;/reg&gt;&lt;/choice&gt;</w:t>
      </w:r>
    </w:p>
    <w:p w14:paraId="4D63795C" w14:textId="77777777">
      <w:pPr>
        <w:pStyle w:val="Lista"/>
      </w:pPr>
      <w:r>
        <w:t xml:space="preserve">when editing a document which, unusually for the DHARMA corpus, </w:t>
      </w:r>
      <w:r>
        <w:rPr>
          <w:b/>
          <w:bCs/>
        </w:rPr>
        <w:t>makes a graphic distinction</w:t>
      </w:r>
      <w:r>
        <w:t xml:space="preserve"> between short and long </w:t>
      </w:r>
      <w:r>
        <w:rPr>
          <w:rStyle w:val="Foreign"/>
        </w:rPr>
        <w:t>e</w:t>
      </w:r>
      <w:r>
        <w:t xml:space="preserve"> and </w:t>
      </w:r>
      <w:r>
        <w:rPr>
          <w:rStyle w:val="Foreign"/>
        </w:rPr>
        <w:t>o</w:t>
      </w:r>
      <w:r>
        <w:t>,</w:t>
      </w:r>
    </w:p>
    <w:p w14:paraId="7C339E40" w14:textId="77777777">
      <w:pPr>
        <w:pStyle w:val="Lista2"/>
      </w:pPr>
      <w:r>
        <w:t>this fact must always be recorded in your palaeographic description</w:t>
      </w:r>
    </w:p>
    <w:p w14:paraId="634B09AA" w14:textId="77777777">
      <w:pPr>
        <w:pStyle w:val="Lista2"/>
        <w:rPr>
          <w:rStyle w:val="Foreign"/>
          <w:i w:val="0"/>
          <w:iCs w:val="0"/>
          <w:noProof w:val="0"/>
        </w:rPr>
      </w:pPr>
      <w:r>
        <w:t xml:space="preserve">the short grapheme used properly for the short phoneme shall be transliterated normally as </w:t>
      </w:r>
      <w:r>
        <w:rPr>
          <w:rStyle w:val="Foreign"/>
        </w:rPr>
        <w:t>e</w:t>
      </w:r>
      <w:r>
        <w:t xml:space="preserve"> or </w:t>
      </w:r>
      <w:r>
        <w:rPr>
          <w:rStyle w:val="Foreign"/>
        </w:rPr>
        <w:t>o</w:t>
      </w:r>
      <w:r>
        <w:t xml:space="preserve"> and may be complemented with </w:t>
      </w:r>
      <w:r>
        <w:rPr>
          <w:rStyle w:val="Code"/>
        </w:rPr>
        <w:t>&lt;orig&gt;</w:t>
      </w:r>
      <w:r>
        <w:t xml:space="preserve"> encoding for extra clarity</w:t>
      </w:r>
    </w:p>
    <w:p w14:paraId="50BEA7E2" w14:textId="77777777">
      <w:pPr>
        <w:pStyle w:val="Lista2"/>
      </w:pPr>
      <w:r>
        <w:lastRenderedPageBreak/>
        <w:t xml:space="preserve">the long grapheme used properly for the long phoneme shall be transliterated as </w:t>
      </w:r>
      <w:r>
        <w:rPr>
          <w:rStyle w:val="Foreign"/>
        </w:rPr>
        <w:t>ē</w:t>
      </w:r>
      <w:r>
        <w:t xml:space="preserve"> or </w:t>
      </w:r>
      <w:r>
        <w:rPr>
          <w:rStyle w:val="Foreign"/>
        </w:rPr>
        <w:t>ō</w:t>
      </w:r>
      <w:r>
        <w:t xml:space="preserve"> and must be complemented with </w:t>
      </w:r>
      <w:r>
        <w:rPr>
          <w:rStyle w:val="Code"/>
        </w:rPr>
        <w:t>&lt;orig&gt;</w:t>
      </w:r>
      <w:r>
        <w:t xml:space="preserve"> encoding to disambiguate it from the shorthand</w:t>
      </w:r>
    </w:p>
    <w:p w14:paraId="3D3B5CDF" w14:textId="77777777">
      <w:pPr>
        <w:pStyle w:val="Lista2"/>
      </w:pPr>
      <w:r>
        <w:t xml:space="preserve">if the short grapheme is used (anomalously) for the long phoneme, this may be </w:t>
      </w:r>
    </w:p>
    <w:p w14:paraId="2966B3B3" w14:textId="77777777">
      <w:pPr>
        <w:pStyle w:val="Lista3"/>
      </w:pPr>
      <w:r>
        <w:t xml:space="preserve">either transliterated with shorthand as </w:t>
      </w:r>
      <w:r>
        <w:rPr>
          <w:rStyle w:val="Foreign"/>
        </w:rPr>
        <w:t>ē</w:t>
      </w:r>
      <w:r>
        <w:t xml:space="preserve"> or </w:t>
      </w:r>
      <w:r>
        <w:rPr>
          <w:rStyle w:val="Foreign"/>
        </w:rPr>
        <w:t>ō</w:t>
      </w:r>
    </w:p>
    <w:p w14:paraId="6408A7F3" w14:textId="77777777">
      <w:pPr>
        <w:pStyle w:val="Lista3"/>
      </w:pPr>
      <w:r>
        <w:t>or encoded as an editorial normalisation</w:t>
      </w:r>
    </w:p>
    <w:p w14:paraId="3B2011E2" w14:textId="77777777">
      <w:pPr>
        <w:pStyle w:val="Lista2"/>
        <w:rPr>
          <w:rStyle w:val="Code"/>
          <w:rFonts w:ascii="Gentium" w:hAnsi="Gentium" w:cs="Tiro Devanagari Sanskrit"/>
          <w:noProof w:val="0"/>
          <w:color w:val="auto"/>
          <w:shd w:val="clear" w:color="auto" w:fill="auto"/>
        </w:rPr>
      </w:pPr>
      <w:r>
        <w:rPr>
          <w:rStyle w:val="Code"/>
          <w:rFonts w:ascii="Gentium" w:hAnsi="Gentium" w:cs="Tiro Devanagari Sanskrit"/>
          <w:noProof w:val="0"/>
          <w:color w:val="auto"/>
          <w:shd w:val="clear" w:color="auto" w:fill="auto"/>
        </w:rPr>
        <w:t>if the long grapheme is used (anomalously) for the short phoneme, this shall be encoded as an editorial normalisation</w:t>
      </w:r>
    </w:p>
    <w:p w14:paraId="585AE790" w14:textId="77777777">
      <w:pPr>
        <w:pStyle w:val="Cmsor3"/>
      </w:pPr>
      <w:bookmarkStart w:id="702" w:name="_Toc243900356"/>
      <w:r>
        <w:t>Shortened vowels in Sanskrit loanwords</w:t>
      </w:r>
      <w:bookmarkEnd w:id="702"/>
    </w:p>
    <w:p w14:paraId="32725EB3" w14:textId="77777777">
      <w:r>
        <w:rPr>
          <w:lang w:eastAsia="en-US" w:bidi="ar-SA"/>
        </w:rPr>
        <w:t xml:space="preserve">Documents in Indonesian languages often shorten the long vowels of Sanskrit loanwords. As per </w:t>
      </w:r>
      <w:r>
        <w:t xml:space="preserve">TG §7.1.2, in documents which do make a graphic distinction between short and long vowels, the transliteration </w:t>
      </w:r>
      <w:r>
        <w:rPr>
          <w:rStyle w:val="Foreign"/>
        </w:rPr>
        <w:t>ă</w:t>
      </w:r>
      <w:r>
        <w:t xml:space="preserve">, </w:t>
      </w:r>
      <w:r>
        <w:rPr>
          <w:rStyle w:val="Foreign"/>
        </w:rPr>
        <w:t>ĭ</w:t>
      </w:r>
      <w:r>
        <w:t xml:space="preserve"> and </w:t>
      </w:r>
      <w:r>
        <w:rPr>
          <w:rStyle w:val="Foreign"/>
        </w:rPr>
        <w:t>ŭ</w:t>
      </w:r>
      <w:r>
        <w:t xml:space="preserve"> may be used where the long vowel is expected but the short vowel was written. This shorthand is permitted in XML editions, but it may also be replaced by encoding at your discretion, in order to wholly eliminate ambiguity.</w:t>
      </w:r>
    </w:p>
    <w:p w14:paraId="68A7B544" w14:textId="77777777">
      <w:pPr>
        <w:pStyle w:val="Lista"/>
      </w:pPr>
      <w:r>
        <w:t xml:space="preserve">when editing a document in a vernacular language where the vowels </w:t>
      </w:r>
      <w:r>
        <w:rPr>
          <w:rStyle w:val="Foreign"/>
        </w:rPr>
        <w:t>ā</w:t>
      </w:r>
      <w:r>
        <w:t xml:space="preserve">, </w:t>
      </w:r>
      <w:r>
        <w:rPr>
          <w:rStyle w:val="Foreign"/>
        </w:rPr>
        <w:t>ī</w:t>
      </w:r>
      <w:r>
        <w:t xml:space="preserve"> or </w:t>
      </w:r>
      <w:r>
        <w:rPr>
          <w:rStyle w:val="Foreign"/>
        </w:rPr>
        <w:t>ū</w:t>
      </w:r>
      <w:r>
        <w:t xml:space="preserve"> are shortened in Sanskrit loanwords,</w:t>
      </w:r>
    </w:p>
    <w:p w14:paraId="04E1F368" w14:textId="77777777">
      <w:pPr>
        <w:pStyle w:val="Lista2"/>
      </w:pPr>
      <w:r>
        <w:t xml:space="preserve">either transliterate these vowels with the shorthand </w:t>
      </w:r>
      <w:r>
        <w:rPr>
          <w:rStyle w:val="Foreign"/>
        </w:rPr>
        <w:t>ă</w:t>
      </w:r>
      <w:r>
        <w:t xml:space="preserve">, </w:t>
      </w:r>
      <w:r>
        <w:rPr>
          <w:rStyle w:val="Foreign"/>
        </w:rPr>
        <w:t>ĭ</w:t>
      </w:r>
      <w:r>
        <w:t xml:space="preserve"> or </w:t>
      </w:r>
      <w:r>
        <w:rPr>
          <w:rStyle w:val="Foreign"/>
        </w:rPr>
        <w:t>ŭ</w:t>
      </w:r>
      <w:r>
        <w:t xml:space="preserve"> </w:t>
      </w:r>
    </w:p>
    <w:p w14:paraId="6B43A05D" w14:textId="77777777">
      <w:pPr>
        <w:pStyle w:val="Lista2"/>
      </w:pPr>
      <w:r>
        <w:t>or encode them as an editorial normalisation</w:t>
      </w:r>
    </w:p>
    <w:p w14:paraId="1C6C09D9" w14:textId="77777777">
      <w:pPr>
        <w:pStyle w:val="Lista3"/>
      </w:pPr>
      <w:r>
        <w:t xml:space="preserve">e.g. </w:t>
      </w:r>
      <w:r>
        <w:rPr>
          <w:rStyle w:val="Code"/>
        </w:rPr>
        <w:t>&lt;choice&gt;&lt;orig&gt;</w:t>
      </w:r>
      <w:r>
        <w:rPr>
          <w:rStyle w:val="Codetext"/>
        </w:rPr>
        <w:t>a</w:t>
      </w:r>
      <w:r>
        <w:rPr>
          <w:rStyle w:val="Code"/>
        </w:rPr>
        <w:t>&lt;/orig&gt;&lt;reg&gt;</w:t>
      </w:r>
      <w:r>
        <w:rPr>
          <w:rStyle w:val="Codetext"/>
        </w:rPr>
        <w:t>ā</w:t>
      </w:r>
      <w:r>
        <w:rPr>
          <w:rStyle w:val="Code"/>
        </w:rPr>
        <w:t>&lt;/reg&gt;&lt;/choice&gt;</w:t>
      </w:r>
    </w:p>
    <w:p w14:paraId="77C27942" w14:textId="77777777">
      <w:pPr>
        <w:pStyle w:val="Cmsor2"/>
      </w:pPr>
      <w:bookmarkStart w:id="703" w:name="_Toc243900357"/>
      <w:bookmarkStart w:id="704" w:name="_Ref232171213"/>
      <w:bookmarkEnd w:id="660"/>
      <w:bookmarkEnd w:id="678"/>
      <w:bookmarkEnd w:id="688"/>
      <w:r>
        <w:t>Highlighting for review</w:t>
      </w:r>
      <w:bookmarkEnd w:id="703"/>
    </w:p>
    <w:p w14:paraId="7AB2D85A" w14:textId="77777777">
      <w:r>
        <w:t>The encoding method presented in §</w:t>
      </w:r>
      <w:r>
        <w:fldChar w:fldCharType="begin"/>
      </w:r>
      <w:r>
        <w:instrText xml:space="preserve"> REF _Ref122447347 \r \h </w:instrText>
      </w:r>
      <w:r>
        <w:fldChar w:fldCharType="separate"/>
      </w:r>
      <w:r>
        <w:t>14.2.4</w:t>
      </w:r>
      <w:r>
        <w:fldChar w:fldCharType="end"/>
      </w:r>
      <w:r>
        <w:t xml:space="preserve"> for highlighting a segment of text which you wish to consider further or discuss with a colleague may be used in the edition division as well as in other parts of the XML document.</w:t>
      </w:r>
    </w:p>
    <w:p w14:paraId="3A22ECCE" w14:textId="77777777">
      <w:pPr>
        <w:pStyle w:val="Cmsor1"/>
      </w:pPr>
      <w:bookmarkStart w:id="705" w:name="_Toc243900358"/>
      <w:r>
        <w:lastRenderedPageBreak/>
        <w:t>Language, script and visual characteristics</w:t>
      </w:r>
      <w:bookmarkEnd w:id="704"/>
      <w:bookmarkEnd w:id="705"/>
    </w:p>
    <w:p w14:paraId="68E37B44" w14:textId="77777777">
      <w:pPr>
        <w:pStyle w:val="Cmsor2"/>
      </w:pPr>
      <w:bookmarkStart w:id="706" w:name="_hrv588cx6rm9" w:colFirst="0" w:colLast="0"/>
      <w:bookmarkStart w:id="707" w:name="_givjq86nqgzx" w:colFirst="0" w:colLast="0"/>
      <w:bookmarkStart w:id="708" w:name="_Ref232070683"/>
      <w:bookmarkStart w:id="709" w:name="_Toc243900359"/>
      <w:bookmarkEnd w:id="706"/>
      <w:bookmarkEnd w:id="707"/>
      <w:r>
        <w:t>Source language</w:t>
      </w:r>
      <w:bookmarkEnd w:id="708"/>
      <w:bookmarkEnd w:id="709"/>
    </w:p>
    <w:p w14:paraId="79FCD723" w14:textId="77777777">
      <w:r>
        <w:t xml:space="preserve">This section is concerned with encoding language within the edition. As language encoding is applicable to several parts of the XML document, the general instructions for using the attribute </w:t>
      </w:r>
      <w:r>
        <w:rPr>
          <w:rStyle w:val="Codeattribute"/>
        </w:rPr>
        <w:t>@xml:lang</w:t>
      </w:r>
      <w:r>
        <w:t xml:space="preserve"> are given in §</w:t>
      </w:r>
      <w:r>
        <w:fldChar w:fldCharType="begin"/>
      </w:r>
      <w:r>
        <w:instrText xml:space="preserve"> REF _Ref233727317 \r \h </w:instrText>
      </w:r>
      <w:r>
        <w:fldChar w:fldCharType="separate"/>
      </w:r>
      <w:r>
        <w:t>14.4.1</w:t>
      </w:r>
      <w:r>
        <w:fldChar w:fldCharType="end"/>
      </w:r>
      <w:r>
        <w:t>.</w:t>
      </w:r>
    </w:p>
    <w:p w14:paraId="73D64815" w14:textId="77777777">
      <w:pPr>
        <w:pStyle w:val="Cmsor3"/>
      </w:pPr>
      <w:bookmarkStart w:id="710" w:name="_Ref231978649"/>
      <w:bookmarkStart w:id="711" w:name="_Toc243900360"/>
      <w:r>
        <w:t>The language of the edition</w:t>
      </w:r>
      <w:bookmarkEnd w:id="710"/>
      <w:bookmarkEnd w:id="711"/>
    </w:p>
    <w:p w14:paraId="7E983CE5" w14:textId="77777777">
      <w:pPr>
        <w:pStyle w:val="Lista"/>
      </w:pPr>
      <w:r>
        <w:t xml:space="preserve">the language of the original document must be explicitly encoded using the attribute </w:t>
      </w:r>
      <w:r>
        <w:rPr>
          <w:rStyle w:val="Codeattribute"/>
        </w:rPr>
        <w:t>@xml:lang</w:t>
      </w:r>
      <w:r>
        <w:t xml:space="preserve"> containing an ISO language tag and a script subtag indicating that the text is in Romanised transliteration, as described in §</w:t>
      </w:r>
      <w:r>
        <w:fldChar w:fldCharType="begin"/>
      </w:r>
      <w:r>
        <w:instrText xml:space="preserve"> REF _Ref233792736 \r \h </w:instrText>
      </w:r>
      <w:r>
        <w:fldChar w:fldCharType="separate"/>
      </w:r>
      <w:r>
        <w:t>14.4.1.1</w:t>
      </w:r>
      <w:r>
        <w:fldChar w:fldCharType="end"/>
      </w:r>
      <w:r>
        <w:t xml:space="preserve"> </w:t>
      </w:r>
    </w:p>
    <w:p w14:paraId="3165135B" w14:textId="77777777">
      <w:pPr>
        <w:pStyle w:val="Lista2"/>
      </w:pPr>
      <w:r>
        <w:t xml:space="preserve">e.g. </w:t>
      </w:r>
      <w:r>
        <w:rPr>
          <w:rStyle w:val="Code"/>
        </w:rPr>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"san-Latn"</w:t>
      </w:r>
      <w:r>
        <w:rPr>
          <w:rStyle w:val="Code"/>
        </w:rPr>
        <w:t>&gt;</w:t>
      </w:r>
      <w:r>
        <w:t xml:space="preserve"> for an inscription in Sanskrit</w:t>
      </w:r>
    </w:p>
    <w:p w14:paraId="0DA44EC5" w14:textId="77777777">
      <w:pPr>
        <w:pStyle w:val="Lista3"/>
      </w:pPr>
      <w:r>
        <w:t>note that this example illustrates only the language encoding, which must be complemented by script encoding as per §</w:t>
      </w:r>
      <w:r>
        <w:fldChar w:fldCharType="begin"/>
      </w:r>
      <w:r>
        <w:instrText xml:space="preserve"> REF _Ref231978625 \r \h </w:instrText>
      </w:r>
      <w:r>
        <w:fldChar w:fldCharType="separate"/>
      </w:r>
      <w:r>
        <w:t>8.2.2</w:t>
      </w:r>
      <w:r>
        <w:fldChar w:fldCharType="end"/>
      </w:r>
    </w:p>
    <w:p w14:paraId="736EA4B2" w14:textId="77777777">
      <w:pPr>
        <w:pStyle w:val="Lista"/>
      </w:pPr>
      <w:r>
        <w:rPr>
          <w:rStyle w:val="Codeattribute"/>
        </w:rPr>
        <w:t>@xml:lang</w:t>
      </w:r>
      <w:r>
        <w:t xml:space="preserve"> must always be present on the edition division unless it contains textparts with the language of each textpart encoded separately as per §</w:t>
      </w:r>
      <w:r>
        <w:fldChar w:fldCharType="begin"/>
      </w:r>
      <w:r>
        <w:instrText xml:space="preserve"> REF _Ref43986547 \r \h </w:instrText>
      </w:r>
      <w:r>
        <w:fldChar w:fldCharType="separate"/>
      </w:r>
      <w:r>
        <w:t>8.1.2.1</w:t>
      </w:r>
      <w:r>
        <w:fldChar w:fldCharType="end"/>
      </w:r>
    </w:p>
    <w:p w14:paraId="76B1254A" w14:textId="77777777">
      <w:pPr>
        <w:pStyle w:val="Lista2"/>
      </w:pPr>
      <w:r>
        <w:t>all XML elements within the edition division are understood to inherit the language of the edition division, so parts of the edition only need language encoding when they are in a different language</w:t>
      </w:r>
    </w:p>
    <w:p w14:paraId="04F085FE" w14:textId="77777777">
      <w:pPr>
        <w:pStyle w:val="Cmsor3"/>
      </w:pPr>
      <w:bookmarkStart w:id="712" w:name="_Ref232089615"/>
      <w:bookmarkStart w:id="713" w:name="_Toc243900361"/>
      <w:r>
        <w:t>Multilingual inscriptions</w:t>
      </w:r>
      <w:bookmarkEnd w:id="712"/>
      <w:bookmarkEnd w:id="713"/>
    </w:p>
    <w:p w14:paraId="1A51095D" w14:textId="77777777">
      <w:pPr>
        <w:rPr>
          <w:lang w:eastAsia="en-US" w:bidi="ar-SA"/>
        </w:rPr>
      </w:pPr>
      <w:r>
        <w:rPr>
          <w:lang w:eastAsia="en-US" w:bidi="ar-SA"/>
        </w:rPr>
        <w:t>In multilingual inscriptions where language changes are concomitant with script changes, the latter must be encoded as per §</w:t>
      </w:r>
      <w:r>
        <w:rPr>
          <w:lang w:eastAsia="en-US" w:bidi="ar-SA"/>
        </w:rPr>
        <w:fldChar w:fldCharType="begin"/>
      </w:r>
      <w:r>
        <w:rPr>
          <w:lang w:eastAsia="en-US" w:bidi="ar-SA"/>
        </w:rPr>
        <w:instrText xml:space="preserve"> REF _Ref231974552 \r \h </w:instrText>
      </w:r>
      <w:r>
        <w:rPr>
          <w:lang w:eastAsia="en-US" w:bidi="ar-SA"/>
        </w:rPr>
      </w:r>
      <w:r>
        <w:rPr>
          <w:lang w:eastAsia="en-US" w:bidi="ar-SA"/>
        </w:rPr>
        <w:fldChar w:fldCharType="separate"/>
      </w:r>
      <w:r>
        <w:rPr>
          <w:lang w:eastAsia="en-US" w:bidi="ar-SA"/>
        </w:rPr>
        <w:t>8.2.3</w:t>
      </w:r>
      <w:r>
        <w:rPr>
          <w:lang w:eastAsia="en-US" w:bidi="ar-SA"/>
        </w:rPr>
        <w:fldChar w:fldCharType="end"/>
      </w:r>
      <w:r>
        <w:rPr>
          <w:lang w:eastAsia="en-US" w:bidi="ar-SA"/>
        </w:rPr>
        <w:t xml:space="preserve"> in addition to encoding the former.</w:t>
      </w:r>
    </w:p>
    <w:p w14:paraId="31E0EF15" w14:textId="77777777">
      <w:pPr>
        <w:pStyle w:val="Cmsor4"/>
      </w:pPr>
      <w:bookmarkStart w:id="714" w:name="_klgqi6fi4k5w" w:colFirst="0" w:colLast="0"/>
      <w:bookmarkStart w:id="715" w:name="_Ref43986547"/>
      <w:bookmarkEnd w:id="714"/>
      <w:r>
        <w:t>Sections in different languages</w:t>
      </w:r>
      <w:bookmarkEnd w:id="715"/>
    </w:p>
    <w:p w14:paraId="1D40B83F" w14:textId="77777777">
      <w:r>
        <w:t xml:space="preserve">When two </w:t>
      </w:r>
      <w:r>
        <w:rPr>
          <w:noProof/>
        </w:rPr>
        <w:t>(</w:t>
      </w:r>
      <w:r>
        <w:t>or more) major sections of an inscription are in two (or more) different languages, consider the degree to which these sections are independent of each other.</w:t>
      </w:r>
    </w:p>
    <w:p w14:paraId="56E90487" w14:textId="77777777">
      <w:pPr>
        <w:pStyle w:val="Lista"/>
      </w:pPr>
      <w:r>
        <w:t>if the inscription may be perceived as a single, coherent text with one or more language shifts,</w:t>
      </w:r>
    </w:p>
    <w:p w14:paraId="445F9F5C" w14:textId="77777777">
      <w:pPr>
        <w:pStyle w:val="Lista2"/>
      </w:pPr>
      <w:r>
        <w:t>proceed as per §</w:t>
      </w:r>
      <w:r>
        <w:fldChar w:fldCharType="begin"/>
      </w:r>
      <w:r>
        <w:instrText xml:space="preserve"> REF _Ref231898113 \r \h </w:instrText>
      </w:r>
      <w:r>
        <w:fldChar w:fldCharType="separate"/>
      </w:r>
      <w:r>
        <w:t>8.1.2.2</w:t>
      </w:r>
      <w:r>
        <w:fldChar w:fldCharType="end"/>
      </w:r>
      <w:r>
        <w:t xml:space="preserve"> even if this requires tagging several adjacent text containers individually for language</w:t>
      </w:r>
    </w:p>
    <w:p w14:paraId="237170FA" w14:textId="77777777">
      <w:pPr>
        <w:pStyle w:val="Lista"/>
      </w:pPr>
      <w:r>
        <w:t xml:space="preserve">if one section cannot be perceived as an integral continuation of the other, because they are visually clearly distinct </w:t>
      </w:r>
      <w:r>
        <w:rPr>
          <w:i/>
          <w:iCs/>
        </w:rPr>
        <w:t>and</w:t>
      </w:r>
      <w:r>
        <w:t xml:space="preserve"> semantically unconnected with no straightforward order in which they should be read </w:t>
      </w:r>
      <w:r>
        <w:rPr>
          <w:noProof/>
        </w:rPr>
        <w:t>(</w:t>
      </w:r>
      <w:r>
        <w:t>e.g. they convey the same message in two languages, or cover unrelated topics)</w:t>
      </w:r>
    </w:p>
    <w:p w14:paraId="5207F784" w14:textId="77777777">
      <w:pPr>
        <w:pStyle w:val="Lista2"/>
      </w:pPr>
      <w:r>
        <w:t>first, consider if it would be more appropriate to edit the inscription as two separate texts</w:t>
      </w:r>
    </w:p>
    <w:p w14:paraId="16AF74D9" w14:textId="77777777">
      <w:pPr>
        <w:pStyle w:val="Lista2"/>
      </w:pPr>
      <w:r>
        <w:t>if that is not feasible, then</w:t>
      </w:r>
    </w:p>
    <w:p w14:paraId="64225FE7" w14:textId="77777777">
      <w:pPr>
        <w:pStyle w:val="Lista3"/>
      </w:pPr>
      <w:r>
        <w:t xml:space="preserve">encode the language-based sections as textpart divisions </w:t>
      </w:r>
      <w:r>
        <w:rPr>
          <w:noProof/>
        </w:rPr>
        <w:t>(</w:t>
      </w:r>
      <w:r>
        <w:t>§</w:t>
      </w:r>
      <w:r>
        <w:fldChar w:fldCharType="begin"/>
      </w:r>
      <w:r>
        <w:instrText xml:space="preserve"> REF _Ref225778181 \r \h </w:instrText>
      </w:r>
      <w:r>
        <w:fldChar w:fldCharType="separate"/>
      </w:r>
      <w:r>
        <w:t>4.2</w:t>
      </w:r>
      <w:r>
        <w:fldChar w:fldCharType="end"/>
      </w:r>
      <w:r>
        <w:t>, §</w:t>
      </w:r>
      <w:r>
        <w:fldChar w:fldCharType="begin"/>
      </w:r>
      <w:r>
        <w:instrText xml:space="preserve"> REF _Ref231898382 \r \h </w:instrText>
      </w:r>
      <w:r>
        <w:fldChar w:fldCharType="separate"/>
      </w:r>
      <w:r>
        <w:t>4.7.3.4</w:t>
      </w:r>
      <w:r>
        <w:fldChar w:fldCharType="end"/>
      </w:r>
      <w:r>
        <w:t>)</w:t>
      </w:r>
    </w:p>
    <w:p w14:paraId="15C60E2B" w14:textId="77777777">
      <w:pPr>
        <w:pStyle w:val="Lista3"/>
      </w:pPr>
      <w:r>
        <w:t xml:space="preserve">add </w:t>
      </w:r>
      <w:r>
        <w:rPr>
          <w:rStyle w:val="Codeattribute"/>
        </w:rPr>
        <w:t>@xml:lang</w:t>
      </w:r>
      <w:r>
        <w:t xml:space="preserve"> to each corresponding </w:t>
      </w:r>
      <w:r>
        <w:rPr>
          <w:rStyle w:val="Code"/>
        </w:rPr>
        <w:t xml:space="preserve">&lt;div </w:t>
      </w:r>
      <w:r>
        <w:rPr>
          <w:rStyle w:val="Codeattribute"/>
        </w:rPr>
        <w:t>type</w:t>
      </w:r>
      <w:r>
        <w:rPr>
          <w:rStyle w:val="Code"/>
        </w:rPr>
        <w:t>=</w:t>
      </w:r>
      <w:r>
        <w:rPr>
          <w:rStyle w:val="Codevalue"/>
        </w:rPr>
        <w:t>"textpart"</w:t>
      </w:r>
      <w:r>
        <w:rPr>
          <w:rStyle w:val="Code"/>
        </w:rPr>
        <w:t>&gt;</w:t>
      </w:r>
      <w:r>
        <w:t xml:space="preserve"> element</w:t>
      </w:r>
    </w:p>
    <w:p w14:paraId="6A1A34A7" w14:textId="77777777">
      <w:pPr>
        <w:pStyle w:val="Lista3"/>
      </w:pPr>
      <w:r>
        <w:t xml:space="preserve">in this case only, the edition division shall not carry the attribute </w:t>
      </w:r>
      <w:r>
        <w:rPr>
          <w:rStyle w:val="Codeattribute"/>
        </w:rPr>
        <w:t>@xml:lang</w:t>
      </w:r>
    </w:p>
    <w:p w14:paraId="0A62CAE1" w14:textId="77777777">
      <w:pPr>
        <w:pStyle w:val="Lista4"/>
      </w:pPr>
      <w:r>
        <w:t>whereas in an inscription consisting of textparts in the same language, the language must be encoded on the edition division, not separately on the textparts</w:t>
      </w:r>
    </w:p>
    <w:p w14:paraId="0B0DD5E9" w14:textId="77777777">
      <w:pPr>
        <w:pStyle w:val="Lista3"/>
      </w:pPr>
      <w:r>
        <w:t>do not create textpart divisions just because an inscription is in two languages, only when the encoding of such divisions is warranted for other reasons discussed in §</w:t>
      </w:r>
      <w:r>
        <w:fldChar w:fldCharType="begin"/>
      </w:r>
      <w:r>
        <w:instrText xml:space="preserve"> REF _Ref224742342 \r \h </w:instrText>
      </w:r>
      <w:r>
        <w:fldChar w:fldCharType="separate"/>
      </w:r>
      <w:r>
        <w:t>4.2.1.4</w:t>
      </w:r>
      <w:r>
        <w:fldChar w:fldCharType="end"/>
      </w:r>
    </w:p>
    <w:p w14:paraId="2CD3F9A7" w14:textId="77777777">
      <w:pPr>
        <w:pStyle w:val="Cmsor4"/>
      </w:pPr>
      <w:bookmarkStart w:id="716" w:name="_oeygdv1jszl8" w:colFirst="0" w:colLast="0"/>
      <w:bookmarkStart w:id="717" w:name="_Ref231898113"/>
      <w:bookmarkEnd w:id="716"/>
      <w:r>
        <w:t xml:space="preserve">Passages or stanzas in </w:t>
      </w:r>
      <w:bookmarkEnd w:id="717"/>
      <w:r>
        <w:t>a secondary language</w:t>
      </w:r>
    </w:p>
    <w:p w14:paraId="5B1D435F" w14:textId="77777777">
      <w:pPr>
        <w:rPr>
          <w:lang w:eastAsia="en-US" w:bidi="ar-SA"/>
        </w:rPr>
      </w:pPr>
      <w:r>
        <w:rPr>
          <w:lang w:eastAsia="en-US" w:bidi="ar-SA"/>
        </w:rPr>
        <w:t>When an inscription contains one or more stanzas and/or prose passages in a different language, and the language changes repeatedly or the sections in different languages are not as conspicuously distinct as to require encoding as textpart divisions (§</w:t>
      </w:r>
      <w:r>
        <w:rPr>
          <w:lang w:eastAsia="en-US" w:bidi="ar-SA"/>
        </w:rPr>
        <w:fldChar w:fldCharType="begin"/>
      </w:r>
      <w:r>
        <w:rPr>
          <w:lang w:eastAsia="en-US" w:bidi="ar-SA"/>
        </w:rPr>
        <w:instrText xml:space="preserve"> REF _Ref43986547 \r \h </w:instrText>
      </w:r>
      <w:r>
        <w:rPr>
          <w:lang w:eastAsia="en-US" w:bidi="ar-SA"/>
        </w:rPr>
      </w:r>
      <w:r>
        <w:rPr>
          <w:lang w:eastAsia="en-US" w:bidi="ar-SA"/>
        </w:rPr>
        <w:fldChar w:fldCharType="separate"/>
      </w:r>
      <w:r>
        <w:rPr>
          <w:lang w:eastAsia="en-US" w:bidi="ar-SA"/>
        </w:rPr>
        <w:t>8.1.2.1</w:t>
      </w:r>
      <w:r>
        <w:rPr>
          <w:lang w:eastAsia="en-US" w:bidi="ar-SA"/>
        </w:rPr>
        <w:fldChar w:fldCharType="end"/>
      </w:r>
      <w:r>
        <w:rPr>
          <w:lang w:eastAsia="en-US" w:bidi="ar-SA"/>
        </w:rPr>
        <w:t>), proceed as follows.</w:t>
      </w:r>
    </w:p>
    <w:p w14:paraId="0CAE8D33" w14:textId="77777777">
      <w:pPr>
        <w:pStyle w:val="Lista"/>
      </w:pPr>
      <w:r>
        <w:t xml:space="preserve">select a default (primary) language to encode as the </w:t>
      </w:r>
      <w:r>
        <w:rPr>
          <w:rStyle w:val="Codeattribute"/>
        </w:rPr>
        <w:t>@xml:lang</w:t>
      </w:r>
      <w:r>
        <w:t xml:space="preserve"> of the edition division as per §</w:t>
      </w:r>
      <w:r>
        <w:fldChar w:fldCharType="begin"/>
      </w:r>
      <w:r>
        <w:instrText xml:space="preserve"> REF _Ref231978649 \r \h </w:instrText>
      </w:r>
      <w:r>
        <w:fldChar w:fldCharType="separate"/>
      </w:r>
      <w:r>
        <w:t>8.1.1</w:t>
      </w:r>
      <w:r>
        <w:fldChar w:fldCharType="end"/>
      </w:r>
    </w:p>
    <w:p w14:paraId="1F6B9068" w14:textId="77777777">
      <w:pPr>
        <w:pStyle w:val="Lista2"/>
      </w:pPr>
      <w:r>
        <w:t>the primary language should normally be the one that is used in the majority of the document</w:t>
      </w:r>
    </w:p>
    <w:p w14:paraId="7C8FA611" w14:textId="77777777">
      <w:pPr>
        <w:pStyle w:val="Lista2"/>
      </w:pPr>
      <w:r>
        <w:t>if two or more languages are represented in more or less equal proportions, make an arbitrary choice</w:t>
      </w:r>
    </w:p>
    <w:p w14:paraId="2DE2D489" w14:textId="77777777">
      <w:pPr>
        <w:pStyle w:val="Lista"/>
      </w:pPr>
      <w:r>
        <w:lastRenderedPageBreak/>
        <w:t xml:space="preserve">apply </w:t>
      </w:r>
      <w:r>
        <w:rPr>
          <w:rStyle w:val="Codeattribute"/>
        </w:rPr>
        <w:t>@xml:lang</w:t>
      </w:r>
      <w:r>
        <w:t xml:space="preserve"> to each of the block-level elements </w:t>
      </w:r>
      <w:r>
        <w:rPr>
          <w:noProof/>
        </w:rPr>
        <w:t>(</w:t>
      </w:r>
      <w:r>
        <w:t xml:space="preserve">viz. </w:t>
      </w:r>
      <w:r>
        <w:rPr>
          <w:rStyle w:val="Code"/>
        </w:rPr>
        <w:t>&lt;p&gt;</w:t>
      </w:r>
      <w:r>
        <w:t xml:space="preserve">, </w:t>
      </w:r>
      <w:r>
        <w:rPr>
          <w:rStyle w:val="Code"/>
        </w:rPr>
        <w:t>&lt;lg&gt;</w:t>
      </w:r>
      <w:r>
        <w:t xml:space="preserve"> or </w:t>
      </w:r>
      <w:r>
        <w:rPr>
          <w:rStyle w:val="Code"/>
        </w:rPr>
        <w:t>&lt;ab&gt;</w:t>
      </w:r>
      <w:r>
        <w:t>) containing text in a language other than the primary one, as per §</w:t>
      </w:r>
      <w:r>
        <w:fldChar w:fldCharType="begin"/>
      </w:r>
      <w:r>
        <w:instrText xml:space="preserve"> REF _Ref233727317 \r \h </w:instrText>
      </w:r>
      <w:r>
        <w:fldChar w:fldCharType="separate"/>
      </w:r>
      <w:r>
        <w:t>14.4.1</w:t>
      </w:r>
      <w:r>
        <w:fldChar w:fldCharType="end"/>
      </w:r>
      <w:r>
        <w:t xml:space="preserve"> </w:t>
      </w:r>
    </w:p>
    <w:p w14:paraId="72005712" w14:textId="77777777">
      <w:pPr>
        <w:pStyle w:val="Lista2"/>
      </w:pPr>
      <w:r>
        <w:t>containers with text in the primary language need not be tagged explicitly, since they inherit their language from the edition division</w:t>
      </w:r>
    </w:p>
    <w:p w14:paraId="12193C70" w14:textId="77777777">
      <w:pPr>
        <w:pStyle w:val="Cmsor4"/>
      </w:pPr>
      <w:bookmarkStart w:id="718" w:name="_Ref231904363"/>
      <w:r>
        <w:t>Words or phrases in a secondary language</w:t>
      </w:r>
      <w:bookmarkEnd w:id="718"/>
    </w:p>
    <w:p w14:paraId="6D304191" w14:textId="77777777">
      <w:r>
        <w:t>If an inscription largely written in a primary language contains isolated words or phrases (or any chunks of text smaller than a block-level container) in a secondary language, proceed as follows.</w:t>
      </w:r>
    </w:p>
    <w:p w14:paraId="6F50504F" w14:textId="77777777">
      <w:pPr>
        <w:pStyle w:val="Lista"/>
      </w:pPr>
      <w:r>
        <w:t>encode the primary language on the edition division</w:t>
      </w:r>
    </w:p>
    <w:p w14:paraId="7725D19E" w14:textId="77777777">
      <w:pPr>
        <w:pStyle w:val="Lista"/>
      </w:pPr>
      <w:r>
        <w:t xml:space="preserve">wrap each chunk of text in the secondary language with the element </w:t>
      </w:r>
      <w:r>
        <w:rPr>
          <w:rStyle w:val="Code"/>
        </w:rPr>
        <w:t>&lt;foreign&gt;</w:t>
      </w:r>
      <w:r>
        <w:t xml:space="preserve"> </w:t>
      </w:r>
    </w:p>
    <w:p w14:paraId="00E7A266" w14:textId="77777777">
      <w:pPr>
        <w:pStyle w:val="Lista2"/>
      </w:pPr>
      <w:r>
        <w:t xml:space="preserve">apply </w:t>
      </w:r>
      <w:r>
        <w:rPr>
          <w:rStyle w:val="Codeattribute"/>
        </w:rPr>
        <w:t>@xml:lang</w:t>
      </w:r>
      <w:r>
        <w:t xml:space="preserve"> to that element</w:t>
      </w:r>
    </w:p>
    <w:p w14:paraId="514DCA3E" w14:textId="77777777">
      <w:pPr>
        <w:pStyle w:val="Lista"/>
      </w:pPr>
      <w:r>
        <w:t>loanwords and foreign names should not, as a rule, be marked up as being in a different language</w:t>
      </w:r>
    </w:p>
    <w:p w14:paraId="3054864A" w14:textId="77777777">
      <w:pPr>
        <w:pStyle w:val="Lista"/>
      </w:pPr>
      <w:r>
        <w:t>tagging as foreign is recommended for the following items</w:t>
      </w:r>
    </w:p>
    <w:p w14:paraId="35B09B0D" w14:textId="77777777">
      <w:pPr>
        <w:pStyle w:val="Lista2"/>
      </w:pPr>
      <w:r>
        <w:t xml:space="preserve">complete phrases or sentences using vocabulary </w:t>
      </w:r>
      <w:r>
        <w:rPr>
          <w:rStyle w:val="Foreign"/>
        </w:rPr>
        <w:t>and</w:t>
      </w:r>
      <w:r>
        <w:t xml:space="preserve"> morphology/syntax foreign to the default language</w:t>
      </w:r>
    </w:p>
    <w:p w14:paraId="53391737" w14:textId="77777777">
      <w:pPr>
        <w:pStyle w:val="Lista2"/>
      </w:pPr>
      <w:r>
        <w:t xml:space="preserve">Sanskrit compounds which are not established as loanwords </w:t>
      </w:r>
      <w:r>
        <w:rPr>
          <w:noProof/>
        </w:rPr>
        <w:t>(</w:t>
      </w:r>
      <w:r>
        <w:t xml:space="preserve">i.e. do not appear in a standard dictionary of the local language such as the </w:t>
      </w:r>
      <w:r>
        <w:rPr>
          <w:rStyle w:val="Foreign"/>
        </w:rPr>
        <w:t>Old Javanese–English Dictionary</w:t>
      </w:r>
      <w:r>
        <w:t xml:space="preserve"> or the </w:t>
      </w:r>
      <w:r>
        <w:rPr>
          <w:rStyle w:val="Foreign"/>
        </w:rPr>
        <w:t>Madras Tamil Lexicon</w:t>
      </w:r>
      <w:r>
        <w:t>)</w:t>
      </w:r>
    </w:p>
    <w:p w14:paraId="503C7C7C" w14:textId="77777777">
      <w:pPr>
        <w:pStyle w:val="Lista"/>
      </w:pPr>
      <w:r>
        <w:t>in less clear-cut cases, use your own discretion to decide whether or not to tag a segment as foreign</w:t>
      </w:r>
    </w:p>
    <w:p w14:paraId="3B808347" w14:textId="77777777">
      <w:pPr>
        <w:pStyle w:val="Cmsor4"/>
      </w:pPr>
      <w:bookmarkStart w:id="719" w:name="_Ref231979218"/>
      <w:bookmarkStart w:id="720" w:name="_Ref232063409"/>
      <w:r>
        <w:t>Terms and glosses</w:t>
      </w:r>
      <w:bookmarkEnd w:id="719"/>
      <w:bookmarkEnd w:id="720"/>
    </w:p>
    <w:p w14:paraId="4C3919A7" w14:textId="77777777">
      <w:r>
        <w:t>In the special case when a document written in a primary language contains words or phrases of a foreign language which are consistently paired with glosses (translations and/or explanations in the primary language), these may be optionally encoded as follows instead of simply using the method described in §</w:t>
      </w:r>
      <w:r>
        <w:fldChar w:fldCharType="begin"/>
      </w:r>
      <w:r>
        <w:instrText xml:space="preserve"> REF _Ref231904363 \r \h </w:instrText>
      </w:r>
      <w:r>
        <w:fldChar w:fldCharType="separate"/>
      </w:r>
      <w:r>
        <w:t>8.1.2.3</w:t>
      </w:r>
      <w:r>
        <w:fldChar w:fldCharType="end"/>
      </w:r>
      <w:r>
        <w:t xml:space="preserve"> above.</w:t>
      </w:r>
    </w:p>
    <w:p w14:paraId="4599F3DC" w14:textId="77777777">
      <w:pPr>
        <w:pStyle w:val="Lista"/>
      </w:pPr>
      <w:r>
        <w:t xml:space="preserve">wrap each foreign segment in the element </w:t>
      </w:r>
      <w:r>
        <w:rPr>
          <w:rStyle w:val="Code"/>
        </w:rPr>
        <w:t>&lt;term&gt;</w:t>
      </w:r>
    </w:p>
    <w:p w14:paraId="3E2D10BE" w14:textId="77777777">
      <w:pPr>
        <w:pStyle w:val="Lista2"/>
      </w:pPr>
      <w:r>
        <w:t xml:space="preserve">adding </w:t>
      </w:r>
      <w:r>
        <w:rPr>
          <w:rStyle w:val="Codeattribute"/>
        </w:rPr>
        <w:t>@xml:lang</w:t>
      </w:r>
      <w:r>
        <w:t xml:space="preserve"> to this element to encode the language of the term</w:t>
      </w:r>
    </w:p>
    <w:p w14:paraId="61E83059" w14:textId="77777777">
      <w:pPr>
        <w:pStyle w:val="Lista"/>
      </w:pPr>
      <w:r>
        <w:t xml:space="preserve">wrap each gloss in the element </w:t>
      </w:r>
      <w:r>
        <w:rPr>
          <w:rStyle w:val="Code"/>
        </w:rPr>
        <w:t>&lt;gloss&gt;</w:t>
      </w:r>
    </w:p>
    <w:p w14:paraId="2393B2AE" w14:textId="77777777">
      <w:pPr>
        <w:pStyle w:val="Lista2"/>
      </w:pPr>
      <w:r>
        <w:t xml:space="preserve">do not use </w:t>
      </w:r>
      <w:r>
        <w:rPr>
          <w:rStyle w:val="Codeattribute"/>
        </w:rPr>
        <w:t>@xml:lang</w:t>
      </w:r>
      <w:r>
        <w:t xml:space="preserve"> on this element, since the gloss inherits the language encoded on the edition division</w:t>
      </w:r>
    </w:p>
    <w:p w14:paraId="743A89B6" w14:textId="77777777">
      <w:pPr>
        <w:pStyle w:val="Cmsor2"/>
      </w:pPr>
      <w:bookmarkStart w:id="721" w:name="_Ref231979678"/>
      <w:bookmarkStart w:id="722" w:name="_Toc243900362"/>
      <w:r>
        <w:t>Script</w:t>
      </w:r>
      <w:bookmarkEnd w:id="721"/>
      <w:bookmarkEnd w:id="722"/>
    </w:p>
    <w:p w14:paraId="04C1F66B" w14:textId="77777777">
      <w:r>
        <w:rPr>
          <w:lang w:eastAsia="en-US" w:bidi="ar-SA"/>
        </w:rPr>
        <w:t xml:space="preserve">This section is concerned with the script of the source document, i.e. its inventory of graphic signs (TG §2.1). Variations in writing style which do not involve a change of script are covered separately, including </w:t>
      </w:r>
      <w:r>
        <w:t>scribal hands (§</w:t>
      </w:r>
      <w:r>
        <w:fldChar w:fldCharType="begin"/>
      </w:r>
      <w:r>
        <w:instrText xml:space="preserve"> REF _Ref231978881 \r \h </w:instrText>
      </w:r>
      <w:r>
        <w:fldChar w:fldCharType="separate"/>
      </w:r>
      <w:r>
        <w:t>8.3</w:t>
      </w:r>
      <w:r>
        <w:fldChar w:fldCharType="end"/>
      </w:r>
      <w:r>
        <w:t>) and lettering style (§</w:t>
      </w:r>
      <w:r>
        <w:fldChar w:fldCharType="begin"/>
      </w:r>
      <w:r>
        <w:instrText xml:space="preserve"> REF _Ref231978934 \r \h </w:instrText>
      </w:r>
      <w:r>
        <w:fldChar w:fldCharType="separate"/>
      </w:r>
      <w:r>
        <w:t>8.4</w:t>
      </w:r>
      <w:r>
        <w:fldChar w:fldCharType="end"/>
      </w:r>
      <w:r>
        <w:t>).</w:t>
      </w:r>
    </w:p>
    <w:p w14:paraId="20171E8C" w14:textId="77777777">
      <w:pPr>
        <w:pStyle w:val="Cmsor3"/>
      </w:pPr>
      <w:bookmarkStart w:id="723" w:name="_Ref231978545"/>
      <w:bookmarkStart w:id="724" w:name="_Toc243900363"/>
      <w:r>
        <w:t xml:space="preserve">Encoding source script with </w:t>
      </w:r>
      <w:r>
        <w:rPr>
          <w:rStyle w:val="Codeattribute"/>
        </w:rPr>
        <w:t>@rendition</w:t>
      </w:r>
      <w:bookmarkEnd w:id="723"/>
      <w:bookmarkEnd w:id="724"/>
    </w:p>
    <w:p w14:paraId="31FB92C3" w14:textId="77777777">
      <w:pPr>
        <w:pStyle w:val="Lista"/>
      </w:pPr>
      <w:r>
        <w:t xml:space="preserve">the attribute </w:t>
      </w:r>
      <w:r>
        <w:rPr>
          <w:rStyle w:val="Codeattribute"/>
        </w:rPr>
        <w:t>@rendition</w:t>
      </w:r>
      <w:r>
        <w:t xml:space="preserve"> on a text-containing element serves for encoding the appearance of the content of that element in the source document</w:t>
      </w:r>
    </w:p>
    <w:p w14:paraId="1B3A1BA2" w14:textId="77777777">
      <w:pPr>
        <w:pStyle w:val="Lista2"/>
      </w:pPr>
      <w:r>
        <w:t>in DHARMA editions we use this attribute for encoding the script in which the source document or a part thereof was originally written</w:t>
      </w:r>
    </w:p>
    <w:p w14:paraId="1F42D2B2" w14:textId="77777777">
      <w:pPr>
        <w:pStyle w:val="Lista"/>
      </w:pPr>
      <w:r>
        <w:t xml:space="preserve">the value of this attribute, when used for this purpose, must always contain the prefix </w:t>
      </w:r>
      <w:r>
        <w:rPr>
          <w:rStyle w:val="Codevalue"/>
        </w:rPr>
        <w:t>class:</w:t>
      </w:r>
      <w:r>
        <w:t xml:space="preserve"> followed (without an intervening space) by the internal identifier of an item of our controlled vocabulary for script classification</w:t>
      </w:r>
      <w:r>
        <w:rPr>
          <w:rStyle w:val="Lbjegyzet-hivatkozs"/>
        </w:rPr>
        <w:footnoteReference w:id="35"/>
      </w:r>
    </w:p>
    <w:p w14:paraId="6199BD05" w14:textId="77777777">
      <w:pPr>
        <w:pStyle w:val="Lista2"/>
      </w:pPr>
      <w:r>
        <w:t>this vocabulary is hierarchical, allowing you to choose terms from very generic to very specific</w:t>
      </w:r>
    </w:p>
    <w:p w14:paraId="61F55828" w14:textId="77777777">
      <w:pPr>
        <w:pStyle w:val="Lista3"/>
      </w:pPr>
      <w:r>
        <w:t>choose the most specific label that you can apply with full confidence to the script class of your source</w:t>
      </w:r>
    </w:p>
    <w:p w14:paraId="1C43F397" w14:textId="77777777">
      <w:pPr>
        <w:pStyle w:val="Lista3"/>
      </w:pPr>
      <w:r>
        <w:t xml:space="preserve">when in doubt, choose a more generic (higher-level) label </w:t>
      </w:r>
    </w:p>
    <w:p w14:paraId="75E4A166" w14:textId="77777777">
      <w:pPr>
        <w:pStyle w:val="Lista"/>
      </w:pPr>
      <w:r>
        <w:lastRenderedPageBreak/>
        <w:t>for all scripts in the class “Brāhmī and derivatives” (but not for other scripts), add another item within the same attribute value, after the class prefix and identifier, with a space between them</w:t>
      </w:r>
    </w:p>
    <w:p w14:paraId="5F10B313" w14:textId="77777777">
      <w:pPr>
        <w:pStyle w:val="Lista2"/>
      </w:pPr>
      <w:r>
        <w:t xml:space="preserve">the second item consists of the prefix </w:t>
      </w:r>
      <w:r>
        <w:rPr>
          <w:rStyle w:val="Codevalue"/>
        </w:rPr>
        <w:t>maturity:</w:t>
      </w:r>
      <w:r>
        <w:t xml:space="preserve"> followed (without an intervening space) by the internal identifier of an item of our controlled vocabulary for script maturity</w:t>
      </w:r>
      <w:r>
        <w:rPr>
          <w:rStyle w:val="Lbjegyzet-hivatkozs"/>
        </w:rPr>
        <w:footnoteReference w:id="36"/>
      </w:r>
    </w:p>
    <w:p w14:paraId="1EB2C4D5" w14:textId="77777777">
      <w:pPr>
        <w:pStyle w:val="Lista3"/>
      </w:pPr>
      <w:r>
        <w:t>this is a one-tiered vocabulary of basic developmental stages, because anything more complicated would greatly increase uncertainty and inconsistency in the encoding</w:t>
      </w:r>
    </w:p>
    <w:p w14:paraId="4B35EC8E" w14:textId="77777777">
      <w:pPr>
        <w:pStyle w:val="Lista"/>
      </w:pPr>
      <w:r>
        <w:t xml:space="preserve">for example, if the script in question is mediaeval Grantha, you must record the codes for “Grantha” and “regional Brāhmī-derived script”, like this: </w:t>
      </w:r>
      <w:r>
        <w:rPr>
          <w:rStyle w:val="Codeattribute"/>
        </w:rPr>
        <w:t>@rendition</w:t>
      </w:r>
      <w:r>
        <w:rPr>
          <w:rStyle w:val="Codetext"/>
        </w:rPr>
        <w:t>=</w:t>
      </w:r>
      <w:r>
        <w:rPr>
          <w:rStyle w:val="Codevalue"/>
        </w:rPr>
        <w:t>"class:36768 maturity:83213"</w:t>
      </w:r>
    </w:p>
    <w:p w14:paraId="6EC0E0DE" w14:textId="77777777">
      <w:pPr>
        <w:pStyle w:val="Lista"/>
      </w:pPr>
      <w:r>
        <w:t xml:space="preserve">for multiscript inscriptions in a Brāhmī-derived script, all instances of the attribute </w:t>
      </w:r>
      <w:r>
        <w:rPr>
          <w:rStyle w:val="Codeattribute"/>
        </w:rPr>
        <w:t>@rendition</w:t>
      </w:r>
      <w:r>
        <w:t xml:space="preserve"> must specify both the </w:t>
      </w:r>
      <w:r>
        <w:rPr>
          <w:rStyle w:val="Codevalue"/>
        </w:rPr>
        <w:t>class:</w:t>
      </w:r>
      <w:r>
        <w:t xml:space="preserve"> and the </w:t>
      </w:r>
      <w:r>
        <w:rPr>
          <w:rStyle w:val="Codevalue"/>
        </w:rPr>
        <w:t>maturity:</w:t>
      </w:r>
      <w:r>
        <w:t xml:space="preserve"> even if only one of these changes (i.e. these part-values are not inherited separately)</w:t>
      </w:r>
    </w:p>
    <w:p w14:paraId="787FAA51" w14:textId="77777777">
      <w:pPr>
        <w:pStyle w:val="Cmsor3"/>
      </w:pPr>
      <w:bookmarkStart w:id="725" w:name="_jbf4mvmrfbn2" w:colFirst="0" w:colLast="0"/>
      <w:bookmarkStart w:id="726" w:name="_Ref231978625"/>
      <w:bookmarkStart w:id="727" w:name="_Toc243900364"/>
      <w:bookmarkStart w:id="728" w:name="_Ref43989139"/>
      <w:bookmarkStart w:id="729" w:name="_Ref43990481"/>
      <w:bookmarkStart w:id="730" w:name="_Ref225428243"/>
      <w:bookmarkStart w:id="731" w:name="_Ref43989327"/>
      <w:bookmarkEnd w:id="725"/>
      <w:r>
        <w:t>The script of the edition</w:t>
      </w:r>
      <w:bookmarkEnd w:id="726"/>
      <w:bookmarkEnd w:id="727"/>
    </w:p>
    <w:p w14:paraId="54B5E76D" w14:textId="77777777">
      <w:pPr>
        <w:pStyle w:val="Lista"/>
      </w:pPr>
      <w:r>
        <w:t>the Hand Description in the TEI header (§</w:t>
      </w:r>
      <w:r>
        <w:fldChar w:fldCharType="begin"/>
      </w:r>
      <w:r>
        <w:instrText xml:space="preserve"> REF _Ref43987455 \r \h </w:instrText>
      </w:r>
      <w:r>
        <w:fldChar w:fldCharType="separate"/>
      </w:r>
      <w:r>
        <w:t>15.2.1</w:t>
      </w:r>
      <w:r>
        <w:fldChar w:fldCharType="end"/>
      </w:r>
      <w:r>
        <w:t>) is the place for your human-readable description of the source script and your palaeographic observations</w:t>
      </w:r>
    </w:p>
    <w:p w14:paraId="617C2021" w14:textId="77777777">
      <w:pPr>
        <w:pStyle w:val="Lista"/>
      </w:pPr>
      <w:r>
        <w:t xml:space="preserve">in addition, the type of script in which your inscription is written must be encoded explicitly by adding </w:t>
      </w:r>
      <w:r>
        <w:rPr>
          <w:rStyle w:val="Codeattribute"/>
        </w:rPr>
        <w:t>@rendition</w:t>
      </w:r>
      <w:r>
        <w:t xml:space="preserve"> (as per §</w:t>
      </w:r>
      <w:r>
        <w:fldChar w:fldCharType="begin"/>
      </w:r>
      <w:r>
        <w:instrText xml:space="preserve"> REF _Ref231978545 \r \h </w:instrText>
      </w:r>
      <w:r>
        <w:fldChar w:fldCharType="separate"/>
      </w:r>
      <w:r>
        <w:t>8.2.1</w:t>
      </w:r>
      <w:r>
        <w:fldChar w:fldCharType="end"/>
      </w:r>
      <w:r>
        <w:t>) to the edition division</w:t>
      </w:r>
    </w:p>
    <w:p w14:paraId="71E98287"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&lt;div </w:t>
      </w:r>
      <w:r>
        <w:rPr>
          <w:rStyle w:val="Codeattribute"/>
        </w:rPr>
        <w:t>type</w:t>
      </w:r>
      <w:r>
        <w:rPr>
          <w:rStyle w:val="Codetext"/>
        </w:rPr>
        <w:t>=</w:t>
      </w:r>
      <w:r>
        <w:rPr>
          <w:rStyle w:val="Codevalue"/>
        </w:rPr>
        <w:t>"edition"</w:t>
      </w:r>
      <w:r>
        <w:rPr>
          <w:rStyle w:val="Code"/>
        </w:rPr>
        <w:t xml:space="preserve"> </w:t>
      </w:r>
      <w:r>
        <w:rPr>
          <w:rStyle w:val="Codeattribute"/>
        </w:rPr>
        <w:t>xml:lang</w:t>
      </w:r>
      <w:r>
        <w:rPr>
          <w:rStyle w:val="Codetext"/>
        </w:rPr>
        <w:t>=</w:t>
      </w:r>
      <w:r>
        <w:rPr>
          <w:rStyle w:val="Codevalue"/>
        </w:rPr>
        <w:t>"san-Latn"</w:t>
      </w:r>
      <w:r>
        <w:rPr>
          <w:rStyle w:val="Code"/>
        </w:rPr>
        <w:t xml:space="preserve"> </w:t>
      </w:r>
      <w:r>
        <w:rPr>
          <w:rStyle w:val="Codeattribute"/>
        </w:rPr>
        <w:t>rendition</w:t>
      </w:r>
      <w:r>
        <w:rPr>
          <w:rStyle w:val="Codetext"/>
        </w:rPr>
        <w:t>=</w:t>
      </w:r>
      <w:r>
        <w:rPr>
          <w:rStyle w:val="Codevalue"/>
        </w:rPr>
        <w:t>"class:83223 maturity:83211"</w:t>
      </w:r>
      <w:r>
        <w:rPr>
          <w:rStyle w:val="Code"/>
        </w:rPr>
        <w:t>&gt;</w:t>
      </w:r>
      <w:r>
        <w:t xml:space="preserve"> for an inscription in late northern Brāhmī</w:t>
      </w:r>
    </w:p>
    <w:p w14:paraId="26416E81" w14:textId="77777777">
      <w:pPr>
        <w:pStyle w:val="Lista3"/>
      </w:pPr>
      <w:r>
        <w:t>note that this example illustrates only the script encoding, which must be complemented by language encoding as per §</w:t>
      </w:r>
      <w:r>
        <w:fldChar w:fldCharType="begin"/>
      </w:r>
      <w:r>
        <w:instrText xml:space="preserve"> REF _Ref231978649 \r \h </w:instrText>
      </w:r>
      <w:r>
        <w:fldChar w:fldCharType="separate"/>
      </w:r>
      <w:r>
        <w:t>8.1.1</w:t>
      </w:r>
      <w:r>
        <w:fldChar w:fldCharType="end"/>
      </w:r>
    </w:p>
    <w:p w14:paraId="37390F46" w14:textId="77777777">
      <w:pPr>
        <w:pStyle w:val="Lista"/>
      </w:pPr>
      <w:r>
        <w:rPr>
          <w:rStyle w:val="Codeattribute"/>
        </w:rPr>
        <w:t>@rendition</w:t>
      </w:r>
      <w:r>
        <w:t xml:space="preserve"> must always be present on the edition division unless it contains textparts with the script of each textpart encoded separately as per §</w:t>
      </w:r>
      <w:r>
        <w:fldChar w:fldCharType="begin"/>
      </w:r>
      <w:r>
        <w:instrText xml:space="preserve"> REF _Ref231980805 \r \h </w:instrText>
      </w:r>
      <w:r>
        <w:fldChar w:fldCharType="separate"/>
      </w:r>
      <w:r>
        <w:t>8.2.3.1</w:t>
      </w:r>
      <w:r>
        <w:fldChar w:fldCharType="end"/>
      </w:r>
    </w:p>
    <w:p w14:paraId="230BC40D" w14:textId="77777777">
      <w:pPr>
        <w:pStyle w:val="Lista2"/>
      </w:pPr>
      <w:r>
        <w:t>all XML elements within the edition division are understood to inherit the script of the edition division, so parts of the edition only need script encoding when they are in a different script</w:t>
      </w:r>
    </w:p>
    <w:p w14:paraId="156CF57A" w14:textId="77777777">
      <w:pPr>
        <w:pStyle w:val="Cmsor3"/>
      </w:pPr>
      <w:bookmarkStart w:id="732" w:name="_Ref231974552"/>
      <w:bookmarkStart w:id="733" w:name="_Toc243900365"/>
      <w:r>
        <w:t>Multiscript inscriptions</w:t>
      </w:r>
      <w:bookmarkEnd w:id="732"/>
      <w:bookmarkEnd w:id="733"/>
    </w:p>
    <w:p w14:paraId="1011F921" w14:textId="77777777">
      <w:pPr>
        <w:pStyle w:val="Cmsor4"/>
      </w:pPr>
      <w:bookmarkStart w:id="734" w:name="_Ref231980805"/>
      <w:r>
        <w:t>Sections in different scripts</w:t>
      </w:r>
      <w:bookmarkEnd w:id="734"/>
    </w:p>
    <w:p w14:paraId="1C8F161F" w14:textId="77777777">
      <w:r>
        <w:t xml:space="preserve">When two </w:t>
      </w:r>
      <w:r>
        <w:rPr>
          <w:noProof/>
        </w:rPr>
        <w:t>(</w:t>
      </w:r>
      <w:r>
        <w:t>or more) major sections of an inscription are in two (or more) different scripts, choose one of the following options that you deem most appropriate to the case at hand.</w:t>
      </w:r>
    </w:p>
    <w:p w14:paraId="38506067" w14:textId="77777777">
      <w:pPr>
        <w:pStyle w:val="Lista"/>
      </w:pPr>
      <w:r>
        <w:t>if the inscription may be perceived as a single, coherent text with one or more script changes,</w:t>
      </w:r>
    </w:p>
    <w:p w14:paraId="7E8F31A5" w14:textId="77777777">
      <w:pPr>
        <w:pStyle w:val="Lista2"/>
      </w:pPr>
      <w:r>
        <w:t>if there are only two or a small number of sections written in different scripts, especially if the script changes are not coterminous with units of intrinsic structure, encode a hand shift and complement it with script encoding as per §</w:t>
      </w:r>
      <w:r>
        <w:fldChar w:fldCharType="begin"/>
      </w:r>
      <w:r>
        <w:instrText xml:space="preserve"> REF _Ref231980940 \r \h </w:instrText>
      </w:r>
      <w:r>
        <w:fldChar w:fldCharType="separate"/>
      </w:r>
      <w:r>
        <w:t>8.3</w:t>
      </w:r>
      <w:r>
        <w:fldChar w:fldCharType="end"/>
      </w:r>
    </w:p>
    <w:p w14:paraId="56708C2A" w14:textId="77777777">
      <w:pPr>
        <w:pStyle w:val="Lista2"/>
      </w:pPr>
      <w:r>
        <w:t>if script changes are more numerous, especially if they are coterminous with units of intrinsic structure, proceed as per §</w:t>
      </w:r>
      <w:r>
        <w:fldChar w:fldCharType="begin"/>
      </w:r>
      <w:r>
        <w:instrText xml:space="preserve"> REF _Ref231981056 \r \h </w:instrText>
      </w:r>
      <w:r>
        <w:fldChar w:fldCharType="separate"/>
      </w:r>
      <w:r>
        <w:t>8.2.3.2</w:t>
      </w:r>
      <w:r>
        <w:fldChar w:fldCharType="end"/>
      </w:r>
      <w:r>
        <w:t xml:space="preserve"> even if this requires tagging several adjacent text containers individually for script</w:t>
      </w:r>
    </w:p>
    <w:p w14:paraId="36BDFF99" w14:textId="77777777">
      <w:pPr>
        <w:pStyle w:val="Lista"/>
      </w:pPr>
      <w:r>
        <w:t xml:space="preserve">if one section cannot be perceived as an integral continuation of the other, because they are visually clearly distinct </w:t>
      </w:r>
      <w:r>
        <w:rPr>
          <w:i/>
          <w:iCs/>
        </w:rPr>
        <w:t>and</w:t>
      </w:r>
      <w:r>
        <w:t xml:space="preserve"> semantically unconnected with no straightforward order in which they should be read</w:t>
      </w:r>
    </w:p>
    <w:p w14:paraId="32037057" w14:textId="77777777">
      <w:pPr>
        <w:pStyle w:val="Lista2"/>
      </w:pPr>
      <w:r>
        <w:t>first, consider if it would be better to edit the inscription as two separate texts</w:t>
      </w:r>
    </w:p>
    <w:p w14:paraId="48F998B0" w14:textId="77777777">
      <w:pPr>
        <w:pStyle w:val="Lista2"/>
      </w:pPr>
      <w:r>
        <w:t>if that is not feasible, then</w:t>
      </w:r>
    </w:p>
    <w:p w14:paraId="2A638509" w14:textId="77777777">
      <w:pPr>
        <w:pStyle w:val="Lista3"/>
      </w:pPr>
      <w:r>
        <w:t xml:space="preserve">encode the sections as textpart divisions </w:t>
      </w:r>
      <w:r>
        <w:rPr>
          <w:noProof/>
        </w:rPr>
        <w:t>(</w:t>
      </w:r>
      <w:r>
        <w:t>§</w:t>
      </w:r>
      <w:r>
        <w:fldChar w:fldCharType="begin"/>
      </w:r>
      <w:r>
        <w:instrText xml:space="preserve"> REF _Ref225778181 \r \h </w:instrText>
      </w:r>
      <w:r>
        <w:fldChar w:fldCharType="separate"/>
      </w:r>
      <w:r>
        <w:t>4.2</w:t>
      </w:r>
      <w:r>
        <w:fldChar w:fldCharType="end"/>
      </w:r>
      <w:r>
        <w:t>)</w:t>
      </w:r>
    </w:p>
    <w:p w14:paraId="46F36FBA" w14:textId="77777777">
      <w:pPr>
        <w:pStyle w:val="Lista3"/>
      </w:pPr>
      <w:r>
        <w:t xml:space="preserve">add </w:t>
      </w:r>
      <w:r>
        <w:rPr>
          <w:rStyle w:val="Codeattribute"/>
        </w:rPr>
        <w:t>@rendition</w:t>
      </w:r>
      <w:r>
        <w:t xml:space="preserve"> to each corresponding </w:t>
      </w:r>
      <w:r>
        <w:rPr>
          <w:rStyle w:val="Code"/>
        </w:rPr>
        <w:t xml:space="preserve">&lt;div </w:t>
      </w:r>
      <w:r>
        <w:rPr>
          <w:rStyle w:val="Codeattribute"/>
        </w:rPr>
        <w:t>type</w:t>
      </w:r>
      <w:r>
        <w:rPr>
          <w:rStyle w:val="Code"/>
        </w:rPr>
        <w:t>=</w:t>
      </w:r>
      <w:r>
        <w:rPr>
          <w:rStyle w:val="Codevalue"/>
        </w:rPr>
        <w:t>"textpart"</w:t>
      </w:r>
      <w:r>
        <w:rPr>
          <w:rStyle w:val="Code"/>
        </w:rPr>
        <w:t>&gt;</w:t>
      </w:r>
      <w:r>
        <w:t xml:space="preserve"> element</w:t>
      </w:r>
    </w:p>
    <w:p w14:paraId="04121B06" w14:textId="77777777">
      <w:pPr>
        <w:pStyle w:val="Lista3"/>
      </w:pPr>
      <w:r>
        <w:t xml:space="preserve">in this case only, the edition division shall not carry the attribute </w:t>
      </w:r>
      <w:r>
        <w:rPr>
          <w:rStyle w:val="Codeattribute"/>
        </w:rPr>
        <w:t>@rendition</w:t>
      </w:r>
    </w:p>
    <w:p w14:paraId="45A37099" w14:textId="77777777">
      <w:pPr>
        <w:pStyle w:val="Lista4"/>
      </w:pPr>
      <w:r>
        <w:t>whereas if the textparts are in the same script, then script must still be encoded for the edition division, not separately for the textparts</w:t>
      </w:r>
    </w:p>
    <w:p w14:paraId="2A2378FF" w14:textId="77777777">
      <w:pPr>
        <w:pStyle w:val="Lista3"/>
      </w:pPr>
      <w:r>
        <w:t>do not create textpart divisions just because an inscription is in two scripts, only when the encoding of such divisions is warranted for other reasons discussed in §</w:t>
      </w:r>
      <w:r>
        <w:fldChar w:fldCharType="begin"/>
      </w:r>
      <w:r>
        <w:instrText xml:space="preserve"> REF _Ref224742342 \r \h </w:instrText>
      </w:r>
      <w:r>
        <w:fldChar w:fldCharType="separate"/>
      </w:r>
      <w:r>
        <w:t>4.2.1.4</w:t>
      </w:r>
      <w:r>
        <w:fldChar w:fldCharType="end"/>
      </w:r>
    </w:p>
    <w:p w14:paraId="2DE59931" w14:textId="77777777">
      <w:pPr>
        <w:pStyle w:val="Cmsor4"/>
      </w:pPr>
      <w:bookmarkStart w:id="735" w:name="_Ref231981056"/>
      <w:r>
        <w:lastRenderedPageBreak/>
        <w:t>Passages or stanzas in a secondary script</w:t>
      </w:r>
      <w:bookmarkEnd w:id="735"/>
    </w:p>
    <w:p w14:paraId="5C32BC60" w14:textId="77777777">
      <w:pPr>
        <w:rPr>
          <w:lang w:eastAsia="en-US" w:bidi="ar-SA"/>
        </w:rPr>
      </w:pPr>
      <w:r>
        <w:rPr>
          <w:lang w:eastAsia="en-US" w:bidi="ar-SA"/>
        </w:rPr>
        <w:t>When an inscription contains stanzas and/or prose passages written in a different script, and the script changes repeatedly or the sections in different scripts are not as conspicuously distinct as to require encoding as textpart divisions (§</w:t>
      </w:r>
      <w:r>
        <w:rPr>
          <w:lang w:eastAsia="en-US" w:bidi="ar-SA"/>
        </w:rPr>
        <w:fldChar w:fldCharType="begin"/>
      </w:r>
      <w:r>
        <w:rPr>
          <w:lang w:eastAsia="en-US" w:bidi="ar-SA"/>
        </w:rPr>
        <w:instrText xml:space="preserve"> REF _Ref231980805 \r \h </w:instrText>
      </w:r>
      <w:r>
        <w:rPr>
          <w:lang w:eastAsia="en-US" w:bidi="ar-SA"/>
        </w:rPr>
      </w:r>
      <w:r>
        <w:rPr>
          <w:lang w:eastAsia="en-US" w:bidi="ar-SA"/>
        </w:rPr>
        <w:fldChar w:fldCharType="separate"/>
      </w:r>
      <w:r>
        <w:rPr>
          <w:lang w:eastAsia="en-US" w:bidi="ar-SA"/>
        </w:rPr>
        <w:t>8.2.3.1</w:t>
      </w:r>
      <w:r>
        <w:rPr>
          <w:lang w:eastAsia="en-US" w:bidi="ar-SA"/>
        </w:rPr>
        <w:fldChar w:fldCharType="end"/>
      </w:r>
      <w:r>
        <w:rPr>
          <w:lang w:eastAsia="en-US" w:bidi="ar-SA"/>
        </w:rPr>
        <w:t>), proceed as follows.</w:t>
      </w:r>
    </w:p>
    <w:p w14:paraId="217184F8" w14:textId="77777777">
      <w:pPr>
        <w:pStyle w:val="Lista"/>
      </w:pPr>
      <w:r>
        <w:t xml:space="preserve">select a default (primary) script to encode as the </w:t>
      </w:r>
      <w:r>
        <w:rPr>
          <w:rStyle w:val="Codeattribute"/>
        </w:rPr>
        <w:t>@rendition</w:t>
      </w:r>
      <w:r>
        <w:t xml:space="preserve"> of the edition division</w:t>
      </w:r>
    </w:p>
    <w:p w14:paraId="1B06EC9F" w14:textId="77777777">
      <w:pPr>
        <w:pStyle w:val="Lista2"/>
      </w:pPr>
      <w:r>
        <w:t>the primary script should normally be the one that is used in the majority of the document</w:t>
      </w:r>
    </w:p>
    <w:p w14:paraId="73B05105" w14:textId="77777777">
      <w:pPr>
        <w:pStyle w:val="Lista2"/>
      </w:pPr>
      <w:r>
        <w:t>if two or more scripts are represented in more or less equal proportions, make an arbitrary choice</w:t>
      </w:r>
    </w:p>
    <w:p w14:paraId="4E213509" w14:textId="77777777">
      <w:pPr>
        <w:pStyle w:val="Lista"/>
      </w:pPr>
      <w:r>
        <w:t xml:space="preserve">apply </w:t>
      </w:r>
      <w:r>
        <w:rPr>
          <w:rStyle w:val="Codeattribute"/>
        </w:rPr>
        <w:t>@rendition</w:t>
      </w:r>
      <w:r>
        <w:t xml:space="preserve"> to each of the block-level elements (viz. </w:t>
      </w:r>
      <w:r>
        <w:rPr>
          <w:rStyle w:val="Code"/>
        </w:rPr>
        <w:t>&lt;p&gt;</w:t>
      </w:r>
      <w:r>
        <w:t xml:space="preserve">, </w:t>
      </w:r>
      <w:r>
        <w:rPr>
          <w:rStyle w:val="Code"/>
        </w:rPr>
        <w:t>&lt;lg&gt;</w:t>
      </w:r>
      <w:r>
        <w:t xml:space="preserve">, </w:t>
      </w:r>
      <w:r>
        <w:rPr>
          <w:rStyle w:val="Code"/>
        </w:rPr>
        <w:t>&lt;l&gt;</w:t>
      </w:r>
      <w:r>
        <w:t xml:space="preserve"> or </w:t>
      </w:r>
      <w:r>
        <w:rPr>
          <w:rStyle w:val="Code"/>
        </w:rPr>
        <w:t>&lt;ab&gt;</w:t>
      </w:r>
      <w:r>
        <w:t>) corresponding to text in a script other than the default one</w:t>
      </w:r>
    </w:p>
    <w:p w14:paraId="6AFC7CCC" w14:textId="77777777">
      <w:pPr>
        <w:pStyle w:val="Lista2"/>
      </w:pPr>
      <w:r>
        <w:t>containers with text in the primary script need not be tagged explicitly, since they inherit their script from the edition division</w:t>
      </w:r>
    </w:p>
    <w:p w14:paraId="734C98D7" w14:textId="77777777">
      <w:pPr>
        <w:pStyle w:val="Cmsor4"/>
      </w:pPr>
      <w:r>
        <w:t>Foliation marks in a secondary script</w:t>
      </w:r>
    </w:p>
    <w:p w14:paraId="5C905E53" w14:textId="77777777">
      <w:pPr>
        <w:pStyle w:val="Lista"/>
      </w:pPr>
      <w:r>
        <w:t xml:space="preserve">should the need arise, </w:t>
      </w:r>
      <w:r>
        <w:rPr>
          <w:rStyle w:val="Codeattribute"/>
        </w:rPr>
        <w:t>@rendition</w:t>
      </w:r>
      <w:r>
        <w:t xml:space="preserve"> may be added to </w:t>
      </w:r>
      <w:r>
        <w:rPr>
          <w:rStyle w:val="Code"/>
        </w:rPr>
        <w:t>&lt;fw&gt;</w:t>
      </w:r>
      <w:r>
        <w:t xml:space="preserve"> elements (§</w:t>
      </w:r>
      <w:r>
        <w:fldChar w:fldCharType="begin"/>
      </w:r>
      <w:r>
        <w:instrText xml:space="preserve"> REF _Ref43984607 \r \h </w:instrText>
      </w:r>
      <w:r>
        <w:fldChar w:fldCharType="separate"/>
      </w:r>
      <w:r>
        <w:t>4.7.2</w:t>
      </w:r>
      <w:r>
        <w:fldChar w:fldCharType="end"/>
      </w:r>
      <w:r>
        <w:t>) to encode a script different from that of the text’s primary script</w:t>
      </w:r>
    </w:p>
    <w:p w14:paraId="297F777C" w14:textId="77777777">
      <w:pPr>
        <w:pStyle w:val="Cmsor4"/>
      </w:pPr>
      <w:bookmarkStart w:id="736" w:name="_Ref232173895"/>
      <w:r>
        <w:t>Words or phrases in a secondary script</w:t>
      </w:r>
      <w:bookmarkEnd w:id="736"/>
    </w:p>
    <w:p w14:paraId="1A17A804" w14:textId="77777777">
      <w:r>
        <w:t>If an inscription largely written in a primary script contains isolated words or phrases (or any chunks of text smaller than a block-level container) in a secondary script, proceed as follows.</w:t>
      </w:r>
    </w:p>
    <w:p w14:paraId="18955E5F" w14:textId="77777777">
      <w:pPr>
        <w:pStyle w:val="Lista"/>
      </w:pPr>
      <w:r>
        <w:t>encode the primary script on the edition division</w:t>
      </w:r>
    </w:p>
    <w:p w14:paraId="35522FD7" w14:textId="77777777">
      <w:pPr>
        <w:pStyle w:val="Lista"/>
      </w:pPr>
      <w:r>
        <w:t xml:space="preserve">if changes in script are concomitant with changes in language, then you will already have the chunks written in a different language tagged as </w:t>
      </w:r>
      <w:r>
        <w:rPr>
          <w:rStyle w:val="Code"/>
        </w:rPr>
        <w:t>&lt;foreign&gt;</w:t>
      </w:r>
      <w:r>
        <w:t xml:space="preserve"> (§</w:t>
      </w:r>
      <w:r>
        <w:fldChar w:fldCharType="begin"/>
      </w:r>
      <w:r>
        <w:instrText xml:space="preserve"> REF _Ref231904363 \r \h </w:instrText>
      </w:r>
      <w:r>
        <w:fldChar w:fldCharType="separate"/>
      </w:r>
      <w:r>
        <w:t>8.1.2.3</w:t>
      </w:r>
      <w:r>
        <w:fldChar w:fldCharType="end"/>
      </w:r>
      <w:r>
        <w:t>)</w:t>
      </w:r>
    </w:p>
    <w:p w14:paraId="2D020FF7" w14:textId="77777777">
      <w:pPr>
        <w:pStyle w:val="Lista2"/>
      </w:pPr>
      <w:r>
        <w:t xml:space="preserve">add </w:t>
      </w:r>
      <w:r>
        <w:rPr>
          <w:rStyle w:val="Codeattribute"/>
        </w:rPr>
        <w:t>@rendition</w:t>
      </w:r>
      <w:r>
        <w:t xml:space="preserve"> to these elements to encode the script change</w:t>
      </w:r>
    </w:p>
    <w:p w14:paraId="432B4DCC" w14:textId="77777777">
      <w:pPr>
        <w:pStyle w:val="Lista"/>
      </w:pPr>
      <w:r>
        <w:t xml:space="preserve">if script variation does not co-occur with language variation, then create the phrase-level container </w:t>
      </w:r>
      <w:r>
        <w:rPr>
          <w:rStyle w:val="Code"/>
        </w:rPr>
        <w:t>&lt;seg&gt;</w:t>
      </w:r>
      <w:r>
        <w:t xml:space="preserve"> to wrap the chunk of text in a different script, and add </w:t>
      </w:r>
      <w:r>
        <w:rPr>
          <w:rStyle w:val="Codeattribute"/>
        </w:rPr>
        <w:t>@rendition</w:t>
      </w:r>
      <w:r>
        <w:t xml:space="preserve"> to this element</w:t>
      </w:r>
    </w:p>
    <w:p w14:paraId="6F54677E" w14:textId="77777777">
      <w:pPr>
        <w:pStyle w:val="Cmsor4"/>
      </w:pPr>
      <w:bookmarkStart w:id="737" w:name="_Ref233642045"/>
      <w:r>
        <w:t>Grantha script mixed with another script</w:t>
      </w:r>
      <w:bookmarkEnd w:id="737"/>
    </w:p>
    <w:p w14:paraId="14134B8E" w14:textId="77777777">
      <w:pPr>
        <w:pStyle w:val="Lista"/>
      </w:pPr>
      <w:r>
        <w:t>when encoding Grantha characters interspersed in Tamil or Vaṭṭeḻuttu script, note that only characters graphically distinct from the default script of the inscription should be marked up in this way</w:t>
      </w:r>
    </w:p>
    <w:p w14:paraId="434646F3" w14:textId="77777777">
      <w:pPr>
        <w:pStyle w:val="Lista"/>
      </w:pPr>
      <w:r>
        <w:t>for example,</w:t>
      </w:r>
    </w:p>
    <w:p w14:paraId="7A1CB33D" w14:textId="77777777">
      <w:pPr>
        <w:pStyle w:val="Lista2"/>
      </w:pPr>
      <w:r>
        <w:rPr>
          <w:rStyle w:val="ForeignTamilGrantha"/>
        </w:rPr>
        <w:t>𑌤𑍍𑌰𑌿𑌭𑍁</w:t>
      </w:r>
      <w:r>
        <w:rPr>
          <w:rStyle w:val="ForeignTamilGrantha"/>
          <w:rFonts w:hint="cs"/>
          <w:cs/>
        </w:rPr>
        <w:t>வ</w:t>
      </w:r>
      <w:r>
        <w:rPr>
          <w:rStyle w:val="ForeignTamilGrantha"/>
          <w:rFonts w:ascii="Nirmala UI" w:hAnsi="Nirmala UI" w:cs="Nirmala UI" w:hint="cs"/>
          <w:cs/>
        </w:rPr>
        <w:t>ன</w:t>
      </w:r>
      <w:r>
        <w:rPr>
          <w:cs/>
          <w:lang w:bidi="ta-IN"/>
        </w:rPr>
        <w:t xml:space="preserve"> </w:t>
      </w:r>
      <w:r>
        <w:rPr>
          <w:rStyle w:val="Code"/>
        </w:rPr>
        <w:t xml:space="preserve">&lt;seg </w:t>
      </w:r>
      <w:r>
        <w:rPr>
          <w:rStyle w:val="Codeattribute"/>
        </w:rPr>
        <w:t>rendition</w:t>
      </w:r>
      <w:r>
        <w:rPr>
          <w:rStyle w:val="Codetext"/>
        </w:rPr>
        <w:t>=</w:t>
      </w:r>
      <w:r>
        <w:rPr>
          <w:rStyle w:val="Codevalue"/>
        </w:rPr>
        <w:t>"class:36768 maturity:83213"</w:t>
      </w:r>
      <w:r>
        <w:rPr>
          <w:rStyle w:val="Code"/>
        </w:rPr>
        <w:t>&gt;</w:t>
      </w:r>
      <w:r>
        <w:rPr>
          <w:rStyle w:val="Codetext"/>
        </w:rPr>
        <w:t>tribhu</w:t>
      </w:r>
      <w:r>
        <w:rPr>
          <w:rStyle w:val="Code"/>
        </w:rPr>
        <w:t>&lt;/seg&gt;vaṉa</w:t>
      </w:r>
      <w:r>
        <w:t xml:space="preserve"> if the default script is Tamil</w:t>
      </w:r>
    </w:p>
    <w:p w14:paraId="3A1518A2" w14:textId="77777777">
      <w:pPr>
        <w:pStyle w:val="Lista3"/>
      </w:pPr>
      <w:r>
        <w:t xml:space="preserve">since </w:t>
      </w:r>
      <w:r>
        <w:rPr>
          <w:rStyle w:val="Foreign"/>
        </w:rPr>
        <w:t>va</w:t>
      </w:r>
      <w:r>
        <w:t xml:space="preserve"> has the same form in Tamil script and Grantha, it is considered to be in the default script</w:t>
      </w:r>
    </w:p>
    <w:p w14:paraId="565EC0DD" w14:textId="77777777">
      <w:pPr>
        <w:pStyle w:val="Lista2"/>
      </w:pPr>
      <w:r>
        <w:t xml:space="preserve">but if the default script is Vaṭṭeḻuttu, then the corresponding string would be encoded as </w:t>
      </w:r>
      <w:r>
        <w:rPr>
          <w:rStyle w:val="Code"/>
        </w:rPr>
        <w:t xml:space="preserve">&lt;seg </w:t>
      </w:r>
      <w:r>
        <w:rPr>
          <w:rStyle w:val="Codeattribute"/>
        </w:rPr>
        <w:t>rendition</w:t>
      </w:r>
      <w:r>
        <w:rPr>
          <w:rStyle w:val="Codetext"/>
        </w:rPr>
        <w:t>=</w:t>
      </w:r>
      <w:r>
        <w:rPr>
          <w:rStyle w:val="Codevalue"/>
        </w:rPr>
        <w:t>"class:36768 maturity:83213"</w:t>
      </w:r>
      <w:r>
        <w:rPr>
          <w:rStyle w:val="Code"/>
        </w:rPr>
        <w:t>&gt;</w:t>
      </w:r>
      <w:r>
        <w:rPr>
          <w:rStyle w:val="Codetext"/>
        </w:rPr>
        <w:t>tribhuva</w:t>
      </w:r>
      <w:r>
        <w:rPr>
          <w:rStyle w:val="Code"/>
        </w:rPr>
        <w:t>&lt;/seg&gt;ṉa</w:t>
      </w:r>
      <w:r>
        <w:t xml:space="preserve"> </w:t>
      </w:r>
    </w:p>
    <w:p w14:paraId="0C19B91A" w14:textId="77777777">
      <w:pPr>
        <w:pStyle w:val="Lista3"/>
      </w:pPr>
      <w:r>
        <w:t xml:space="preserve">since the </w:t>
      </w:r>
      <w:r>
        <w:rPr>
          <w:rStyle w:val="Foreign"/>
        </w:rPr>
        <w:t>va</w:t>
      </w:r>
      <w:r>
        <w:t xml:space="preserve"> seen here is not the form used in Vaṭṭeḻuttu, it has been classified as Grantha like the adjoining glyphs (although it could also be classified as Tamil)</w:t>
      </w:r>
    </w:p>
    <w:p w14:paraId="51DED39D" w14:textId="77777777">
      <w:pPr>
        <w:pStyle w:val="Lista"/>
      </w:pPr>
      <w:r>
        <w:t>see also §</w:t>
      </w:r>
      <w:r>
        <w:fldChar w:fldCharType="begin"/>
      </w:r>
      <w:r>
        <w:instrText xml:space="preserve"> REF _Ref233727983 \r \h </w:instrText>
      </w:r>
      <w:r>
        <w:fldChar w:fldCharType="separate"/>
      </w:r>
      <w:r>
        <w:t>14.2.3</w:t>
      </w:r>
      <w:r>
        <w:fldChar w:fldCharType="end"/>
      </w:r>
      <w:r>
        <w:t xml:space="preserve"> for tagging transliterated characters as Grantha outside the edition</w:t>
      </w:r>
    </w:p>
    <w:p w14:paraId="6C691E93" w14:textId="77777777">
      <w:pPr>
        <w:pStyle w:val="Cmsor2"/>
      </w:pPr>
      <w:bookmarkStart w:id="738" w:name="_Ref231978881"/>
      <w:bookmarkStart w:id="739" w:name="_Ref231980940"/>
      <w:bookmarkStart w:id="740" w:name="_Ref231985684"/>
      <w:bookmarkStart w:id="741" w:name="_Toc243900366"/>
      <w:bookmarkStart w:id="742" w:name="_Ref43987586"/>
      <w:r>
        <w:t>Scribal hands</w:t>
      </w:r>
      <w:bookmarkEnd w:id="738"/>
      <w:bookmarkEnd w:id="739"/>
      <w:bookmarkEnd w:id="740"/>
      <w:bookmarkEnd w:id="741"/>
    </w:p>
    <w:p w14:paraId="17C6E6DD" w14:textId="77777777">
      <w:r>
        <w:t>In epigraphic parlance, a “hand” means a particular combination of writing features, often indicative of one scribe taking over the work of another. For the purposes of our encoding, scribal hands are distinguished from the use of different scripts (§</w:t>
      </w:r>
      <w:r>
        <w:fldChar w:fldCharType="begin"/>
      </w:r>
      <w:r>
        <w:instrText xml:space="preserve"> REF _Ref231979678 \r \h </w:instrText>
      </w:r>
      <w:r>
        <w:fldChar w:fldCharType="separate"/>
      </w:r>
      <w:r>
        <w:t>8.2</w:t>
      </w:r>
      <w:r>
        <w:fldChar w:fldCharType="end"/>
      </w:r>
      <w:r>
        <w:t>) and from the use of different lettering styles (§</w:t>
      </w:r>
      <w:r>
        <w:fldChar w:fldCharType="begin"/>
      </w:r>
      <w:r>
        <w:instrText xml:space="preserve"> REF _Ref231978934 \r \h </w:instrText>
      </w:r>
      <w:r>
        <w:fldChar w:fldCharType="separate"/>
      </w:r>
      <w:r>
        <w:t>8.4</w:t>
      </w:r>
      <w:r>
        <w:fldChar w:fldCharType="end"/>
      </w:r>
      <w:r>
        <w:t>). If your inscription is written in several, clearly distinguishable hands (as opposed to different scripts as per §</w:t>
      </w:r>
      <w:r>
        <w:fldChar w:fldCharType="begin"/>
      </w:r>
      <w:r>
        <w:instrText xml:space="preserve"> REF _Ref231979678 \r \h </w:instrText>
      </w:r>
      <w:r>
        <w:fldChar w:fldCharType="separate"/>
      </w:r>
      <w:r>
        <w:t>8.2</w:t>
      </w:r>
      <w:r>
        <w:fldChar w:fldCharType="end"/>
      </w:r>
      <w:r>
        <w:t xml:space="preserve"> or different lettering styles as per §</w:t>
      </w:r>
      <w:r>
        <w:fldChar w:fldCharType="begin"/>
      </w:r>
      <w:r>
        <w:instrText xml:space="preserve"> REF _Ref231978934 \r \h </w:instrText>
      </w:r>
      <w:r>
        <w:fldChar w:fldCharType="separate"/>
      </w:r>
      <w:r>
        <w:t>8.4</w:t>
      </w:r>
      <w:r>
        <w:fldChar w:fldCharType="end"/>
      </w:r>
      <w:r>
        <w:t xml:space="preserve">), you must first provide separate descriptions of these hands in the TEI header and associate an </w:t>
      </w:r>
      <w:r>
        <w:rPr>
          <w:rStyle w:val="Codeattribute"/>
        </w:rPr>
        <w:t>@xml:id</w:t>
      </w:r>
      <w:r>
        <w:t xml:space="preserve"> with each hand as per §</w:t>
      </w:r>
      <w:r>
        <w:fldChar w:fldCharType="begin"/>
      </w:r>
      <w:r>
        <w:instrText xml:space="preserve"> REF _Ref231980025 \r \h </w:instrText>
      </w:r>
      <w:r>
        <w:fldChar w:fldCharType="separate"/>
      </w:r>
      <w:r>
        <w:t>15.2.1.2</w:t>
      </w:r>
      <w:r>
        <w:fldChar w:fldCharType="end"/>
      </w:r>
      <w:r>
        <w:t>, and then encode where each hand appears in your edition as follows.</w:t>
      </w:r>
    </w:p>
    <w:p w14:paraId="449370B2" w14:textId="77777777">
      <w:pPr>
        <w:pStyle w:val="Lista"/>
      </w:pPr>
      <w:r>
        <w:t xml:space="preserve">at each point where writing in a particular begins, including the beginning of the text in the first hand, create the empty element </w:t>
      </w:r>
      <w:r>
        <w:rPr>
          <w:rStyle w:val="Code"/>
        </w:rPr>
        <w:t>&lt;handShift/&gt;</w:t>
      </w:r>
    </w:p>
    <w:p w14:paraId="67573048" w14:textId="77777777">
      <w:pPr>
        <w:pStyle w:val="Lista2"/>
      </w:pPr>
      <w:r>
        <w:lastRenderedPageBreak/>
        <w:t xml:space="preserve">mandatorily with the attribute </w:t>
      </w:r>
      <w:r>
        <w:rPr>
          <w:rStyle w:val="Codeattribute"/>
        </w:rPr>
        <w:t>@new</w:t>
      </w:r>
      <w:r>
        <w:t>,</w:t>
      </w:r>
      <w:r>
        <w:rPr>
          <w:rStyle w:val="Lbjegyzet-hivatkozs"/>
        </w:rPr>
        <w:footnoteReference w:id="37"/>
      </w:r>
      <w:r>
        <w:t xml:space="preserve"> whose value shall be the XML identifier associated in the TEI header with the hand in question, prefixed with a # sign</w:t>
      </w:r>
    </w:p>
    <w:p w14:paraId="16E42F46"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&lt;handShift </w:t>
      </w:r>
      <w:r>
        <w:rPr>
          <w:rStyle w:val="Codeattribute"/>
        </w:rPr>
        <w:t>new</w:t>
      </w:r>
      <w:r>
        <w:rPr>
          <w:rStyle w:val="Code"/>
        </w:rPr>
        <w:t>=</w:t>
      </w:r>
      <w:r>
        <w:rPr>
          <w:rStyle w:val="Codevalue"/>
        </w:rPr>
        <w:t>"#hand1"</w:t>
      </w:r>
      <w:r>
        <w:rPr>
          <w:rStyle w:val="Code"/>
        </w:rPr>
        <w:t>/&gt;</w:t>
      </w:r>
    </w:p>
    <w:p w14:paraId="4AF6403C" w14:textId="77777777">
      <w:pPr>
        <w:pStyle w:val="Lista"/>
      </w:pPr>
      <w:r>
        <w:t xml:space="preserve">if the hand change also involves a script change (i.e. to a script inventory of a different class or different maturity), then add the attribute </w:t>
      </w:r>
      <w:r>
        <w:rPr>
          <w:rStyle w:val="Codeattribute"/>
        </w:rPr>
        <w:t>@rendition</w:t>
      </w:r>
      <w:r>
        <w:t xml:space="preserve"> (as per §</w:t>
      </w:r>
      <w:r>
        <w:fldChar w:fldCharType="begin"/>
      </w:r>
      <w:r>
        <w:instrText xml:space="preserve"> REF _Ref231978545 \r \h </w:instrText>
      </w:r>
      <w:r>
        <w:fldChar w:fldCharType="separate"/>
      </w:r>
      <w:r>
        <w:t>8.2.1</w:t>
      </w:r>
      <w:r>
        <w:fldChar w:fldCharType="end"/>
      </w:r>
      <w:r>
        <w:t xml:space="preserve">) to all instances of </w:t>
      </w:r>
      <w:r>
        <w:rPr>
          <w:rStyle w:val="Code"/>
        </w:rPr>
        <w:t>&lt;handShift/&gt;</w:t>
      </w:r>
    </w:p>
    <w:p w14:paraId="640B134A" w14:textId="77777777">
      <w:pPr>
        <w:pStyle w:val="Lista2"/>
      </w:pPr>
      <w:r>
        <w:t xml:space="preserve">when script is encoded on </w:t>
      </w:r>
      <w:r>
        <w:rPr>
          <w:rStyle w:val="Code"/>
        </w:rPr>
        <w:t>&lt;handShift/&gt;</w:t>
      </w:r>
      <w:r>
        <w:t xml:space="preserve"> elements, a default script must still be encoded on the edition division itself (§</w:t>
      </w:r>
      <w:r>
        <w:fldChar w:fldCharType="begin"/>
      </w:r>
      <w:r>
        <w:instrText xml:space="preserve"> REF _Ref231978625 \r \h </w:instrText>
      </w:r>
      <w:r>
        <w:fldChar w:fldCharType="separate"/>
      </w:r>
      <w:r>
        <w:t>8.2.2</w:t>
      </w:r>
      <w:r>
        <w:fldChar w:fldCharType="end"/>
      </w:r>
      <w:r>
        <w:t>)</w:t>
      </w:r>
    </w:p>
    <w:p w14:paraId="17EFE164" w14:textId="77777777">
      <w:pPr>
        <w:pStyle w:val="Cmsor2"/>
      </w:pPr>
      <w:bookmarkStart w:id="743" w:name="_Ref231978934"/>
      <w:bookmarkStart w:id="744" w:name="_Toc243900367"/>
      <w:r>
        <w:t>Lettering</w:t>
      </w:r>
      <w:bookmarkEnd w:id="742"/>
      <w:bookmarkEnd w:id="743"/>
      <w:bookmarkEnd w:id="744"/>
    </w:p>
    <w:p w14:paraId="68A67532" w14:textId="77777777">
      <w:r>
        <w:rPr>
          <w:lang w:eastAsia="en-US" w:bidi="ar-SA"/>
        </w:rPr>
        <w:t xml:space="preserve">This section is concerned with </w:t>
      </w:r>
      <w:r>
        <w:t>changes in lettering, i.e. the style in which the glyphs of a particular script are formed. A change in the lettering of a written document usually conveys a deliberate emphasis on a circumscribed section of the text, and is distinguished from the use of a different script (§</w:t>
      </w:r>
      <w:r>
        <w:fldChar w:fldCharType="begin"/>
      </w:r>
      <w:r>
        <w:instrText xml:space="preserve"> REF _Ref231979678 \r \h </w:instrText>
      </w:r>
      <w:r>
        <w:fldChar w:fldCharType="separate"/>
      </w:r>
      <w:r>
        <w:t>8.2</w:t>
      </w:r>
      <w:r>
        <w:fldChar w:fldCharType="end"/>
      </w:r>
      <w:r>
        <w:t>) where the basic shapes of glyphs are selected from a different inventory of graphic signs rather than merely being executed differently, as well as from scribal hands (§</w:t>
      </w:r>
      <w:r>
        <w:fldChar w:fldCharType="begin"/>
      </w:r>
      <w:r>
        <w:instrText xml:space="preserve"> REF _Ref231985684 \r \h </w:instrText>
      </w:r>
      <w:r>
        <w:fldChar w:fldCharType="separate"/>
      </w:r>
      <w:r>
        <w:t>8.3</w:t>
      </w:r>
      <w:r>
        <w:fldChar w:fldCharType="end"/>
      </w:r>
      <w:r>
        <w:t>) which mean the individual writing styles of different persons.</w:t>
      </w:r>
    </w:p>
    <w:p w14:paraId="54EADE06" w14:textId="77777777">
      <w:pPr>
        <w:pStyle w:val="Lista"/>
      </w:pPr>
      <w:r>
        <w:t xml:space="preserve">in DHARMA editions, special lettering may be optionally encoded using the attribute </w:t>
      </w:r>
      <w:r>
        <w:rPr>
          <w:rStyle w:val="Codeattribute"/>
        </w:rPr>
        <w:t>@rend</w:t>
      </w:r>
      <w:r>
        <w:t xml:space="preserve"> with one of the following values</w:t>
      </w:r>
    </w:p>
    <w:p w14:paraId="5154645F" w14:textId="77777777">
      <w:pPr>
        <w:pStyle w:val="Lista2"/>
      </w:pPr>
      <w:r>
        <w:rPr>
          <w:rStyle w:val="Codevalue"/>
        </w:rPr>
        <w:t>"ornate"</w:t>
      </w:r>
    </w:p>
    <w:p w14:paraId="2D9B6256" w14:textId="77777777">
      <w:pPr>
        <w:pStyle w:val="Lista2"/>
      </w:pPr>
      <w:r>
        <w:rPr>
          <w:rStyle w:val="Codevalue"/>
        </w:rPr>
        <w:t>"large"</w:t>
      </w:r>
    </w:p>
    <w:p w14:paraId="3D183E35" w14:textId="77777777">
      <w:pPr>
        <w:pStyle w:val="Lista2"/>
      </w:pPr>
      <w:r>
        <w:rPr>
          <w:rStyle w:val="Codevalue"/>
        </w:rPr>
        <w:t>"small"</w:t>
      </w:r>
    </w:p>
    <w:p w14:paraId="66173D3C" w14:textId="77777777">
      <w:pPr>
        <w:pStyle w:val="Lista2"/>
      </w:pPr>
      <w:r>
        <w:rPr>
          <w:rStyle w:val="Codevalue"/>
        </w:rPr>
        <w:t>"tall"</w:t>
      </w:r>
    </w:p>
    <w:p w14:paraId="249519AA" w14:textId="77777777">
      <w:pPr>
        <w:pStyle w:val="Lista2"/>
      </w:pPr>
      <w:r>
        <w:rPr>
          <w:rStyle w:val="Codevalue"/>
        </w:rPr>
        <w:t>"wide"</w:t>
      </w:r>
    </w:p>
    <w:p w14:paraId="070653B2" w14:textId="77777777">
      <w:pPr>
        <w:pStyle w:val="Lista2"/>
      </w:pPr>
      <w:r>
        <w:rPr>
          <w:rStyle w:val="Codevalue"/>
        </w:rPr>
        <w:t>"expanded"</w:t>
      </w:r>
      <w:r>
        <w:t xml:space="preserve"> </w:t>
      </w:r>
      <w:r>
        <w:rPr>
          <w:noProof/>
        </w:rPr>
        <w:t>(</w:t>
      </w:r>
      <w:r>
        <w:t>to encode widely spaced characters)</w:t>
      </w:r>
    </w:p>
    <w:p w14:paraId="18C58B57" w14:textId="77777777">
      <w:pPr>
        <w:pStyle w:val="Lista2"/>
      </w:pPr>
      <w:r>
        <w:t xml:space="preserve">if more than one of the above is definitely relevant for a particular segment of text, more than one of the above tokens may be used in the value of </w:t>
      </w:r>
      <w:r>
        <w:rPr>
          <w:rStyle w:val="Codeattribute"/>
        </w:rPr>
        <w:t>@rend</w:t>
      </w:r>
      <w:r>
        <w:t>, in the order as listed above, and separated by spaces</w:t>
      </w:r>
    </w:p>
    <w:p w14:paraId="6D7F3A81" w14:textId="77777777">
      <w:pPr>
        <w:pStyle w:val="Lista"/>
      </w:pPr>
      <w:r>
        <w:t xml:space="preserve">when the chunk of text highlighted by different lettering is coterminous with an existing block-level container (viz. </w:t>
      </w:r>
      <w:r>
        <w:rPr>
          <w:rStyle w:val="Code"/>
        </w:rPr>
        <w:t>&lt;p&gt;</w:t>
      </w:r>
      <w:r>
        <w:t xml:space="preserve">, </w:t>
      </w:r>
      <w:r>
        <w:rPr>
          <w:rStyle w:val="Code"/>
        </w:rPr>
        <w:t>&lt;ab&gt;</w:t>
      </w:r>
      <w:r>
        <w:t xml:space="preserve">, </w:t>
      </w:r>
      <w:r>
        <w:rPr>
          <w:rStyle w:val="Code"/>
        </w:rPr>
        <w:t>&lt;lg&gt;</w:t>
      </w:r>
      <w:r>
        <w:t xml:space="preserve">, </w:t>
      </w:r>
      <w:r>
        <w:rPr>
          <w:rStyle w:val="Code"/>
        </w:rPr>
        <w:t>&lt;l&gt;</w:t>
      </w:r>
      <w:r>
        <w:t xml:space="preserve"> or </w:t>
      </w:r>
      <w:r>
        <w:rPr>
          <w:rStyle w:val="Code"/>
        </w:rPr>
        <w:t>&lt;fw&gt;</w:t>
      </w:r>
      <w:r>
        <w:t xml:space="preserve">), add </w:t>
      </w:r>
      <w:r>
        <w:rPr>
          <w:rStyle w:val="Codeattribute"/>
        </w:rPr>
        <w:t>@rend</w:t>
      </w:r>
      <w:r>
        <w:t xml:space="preserve"> to that container</w:t>
      </w:r>
    </w:p>
    <w:p w14:paraId="44F46604" w14:textId="77777777">
      <w:pPr>
        <w:pStyle w:val="Lista2"/>
      </w:pPr>
      <w:r>
        <w:t xml:space="preserve">e.g. </w:t>
      </w:r>
      <w:r>
        <w:rPr>
          <w:rStyle w:val="Code"/>
        </w:rPr>
        <w:t xml:space="preserve">&lt;ab </w:t>
      </w:r>
      <w:r>
        <w:rPr>
          <w:rStyle w:val="Codeattribute"/>
        </w:rPr>
        <w:t>rend</w:t>
      </w:r>
      <w:r>
        <w:rPr>
          <w:rStyle w:val="Code"/>
        </w:rPr>
        <w:t>=</w:t>
      </w:r>
      <w:r>
        <w:rPr>
          <w:rStyle w:val="Codevalue"/>
        </w:rPr>
        <w:t>"ornate"</w:t>
      </w:r>
      <w:r>
        <w:rPr>
          <w:rStyle w:val="Code"/>
        </w:rPr>
        <w:t>&gt;</w:t>
      </w:r>
      <w:r>
        <w:rPr>
          <w:rStyle w:val="Codetext"/>
        </w:rPr>
        <w:t>svahasto mama mahārājādhijrāja-śrīharṣasya</w:t>
      </w:r>
      <w:r>
        <w:rPr>
          <w:rStyle w:val="Code"/>
        </w:rPr>
        <w:t>&lt;/ab&gt;</w:t>
      </w:r>
    </w:p>
    <w:p w14:paraId="6EFA8ABB" w14:textId="77777777">
      <w:pPr>
        <w:pStyle w:val="Lista"/>
      </w:pPr>
      <w:r>
        <w:t xml:space="preserve">otherwise, create the element </w:t>
      </w:r>
      <w:r>
        <w:rPr>
          <w:rStyle w:val="Code"/>
        </w:rPr>
        <w:t>&lt;hi&gt;</w:t>
      </w:r>
      <w:r>
        <w:t xml:space="preserve"> (for “highlight” to wrap the chunk of text and add </w:t>
      </w:r>
      <w:r>
        <w:rPr>
          <w:rStyle w:val="Codeattribute"/>
        </w:rPr>
        <w:t>@rend</w:t>
      </w:r>
      <w:r>
        <w:t xml:space="preserve"> to this element</w:t>
      </w:r>
    </w:p>
    <w:p w14:paraId="1CA91BA0" w14:textId="77777777">
      <w:pPr>
        <w:pStyle w:val="Cmsor2"/>
      </w:pPr>
      <w:bookmarkStart w:id="745" w:name="_Toc243900368"/>
      <w:bookmarkEnd w:id="728"/>
      <w:bookmarkEnd w:id="729"/>
      <w:bookmarkEnd w:id="730"/>
      <w:r>
        <w:t>Line layout</w:t>
      </w:r>
      <w:bookmarkEnd w:id="745"/>
    </w:p>
    <w:p w14:paraId="1E958DFD" w14:textId="77777777">
      <w:r>
        <w:t>As pointed out in §</w:t>
      </w:r>
      <w:r>
        <w:fldChar w:fldCharType="begin"/>
      </w:r>
      <w:r>
        <w:instrText xml:space="preserve"> REF _Ref224720139 \r \h </w:instrText>
      </w:r>
      <w:r>
        <w:fldChar w:fldCharType="separate"/>
      </w:r>
      <w:r>
        <w:t>4.5</w:t>
      </w:r>
      <w:r>
        <w:fldChar w:fldCharType="end"/>
      </w:r>
      <w:r>
        <w:t xml:space="preserve">, the concept of an epigraphic line implies no presumptions regarding the position, directionality, orientation and shape of lines. When deemed expedient, the alignment of lines and the directionality and orientation of glyphs within a line may be encoded optionally as introduced below. The attributes encoding these layout features shall be added to line beginnings in DHARMA practice, and never to any other elements. Attributes encoded on “virtual containers” such as </w:t>
      </w:r>
      <w:r>
        <w:rPr>
          <w:rStyle w:val="Code"/>
        </w:rPr>
        <w:t>&lt;lb/&gt;</w:t>
      </w:r>
      <w:r>
        <w:t xml:space="preserve"> elements are understood by convention to apply to the text from such an element up to the next element of the same kind. </w:t>
      </w:r>
    </w:p>
    <w:p w14:paraId="6A74D39C" w14:textId="77777777">
      <w:pPr>
        <w:pStyle w:val="Cmsor3"/>
      </w:pPr>
      <w:bookmarkStart w:id="746" w:name="_lj3p4hxrzblk" w:colFirst="0" w:colLast="0"/>
      <w:bookmarkStart w:id="747" w:name="_c0467s7j2myi" w:colFirst="0" w:colLast="0"/>
      <w:bookmarkStart w:id="748" w:name="_Ref43987598"/>
      <w:bookmarkStart w:id="749" w:name="_Toc243900369"/>
      <w:bookmarkEnd w:id="746"/>
      <w:bookmarkEnd w:id="747"/>
      <w:r>
        <w:t>Alignment</w:t>
      </w:r>
      <w:bookmarkEnd w:id="748"/>
      <w:bookmarkEnd w:id="749"/>
    </w:p>
    <w:p w14:paraId="1EE70A6D" w14:textId="77777777">
      <w:r>
        <w:t xml:space="preserve">We assume by default that the lines of an inscription are aligned to the left and more or less justified to the right margin. Large-scale deviations from this pattern shall not be encoded in the markup but rather discussed in your description of the layout. Individual lines aligned differently than the majority of the lines in an inscription may be optionally encoded by adding the attribute </w:t>
      </w:r>
      <w:r>
        <w:rPr>
          <w:rStyle w:val="Codeattribute"/>
        </w:rPr>
        <w:t>@style</w:t>
      </w:r>
      <w:r>
        <w:t xml:space="preserve"> to the corresponding </w:t>
      </w:r>
      <w:r>
        <w:rPr>
          <w:rStyle w:val="Code"/>
        </w:rPr>
        <w:t>&lt;lb/&gt;</w:t>
      </w:r>
      <w:r>
        <w:t xml:space="preserve"> element.</w:t>
      </w:r>
    </w:p>
    <w:p w14:paraId="2087A9A7" w14:textId="77777777">
      <w:pPr>
        <w:pStyle w:val="Lista"/>
      </w:pPr>
      <w:r>
        <w:lastRenderedPageBreak/>
        <w:t>the permitted values of</w:t>
      </w:r>
      <w:r>
        <w:rPr>
          <w:b/>
          <w:bCs/>
        </w:rPr>
        <w:t xml:space="preserve"> </w:t>
      </w:r>
      <w:r>
        <w:rPr>
          <w:rStyle w:val="Codeattribute"/>
        </w:rPr>
        <w:t>@style</w:t>
      </w:r>
      <w:r>
        <w:t xml:space="preserve"> for encoding alignment are as follows (to be used exactly as shown here, including spacing, hyphenation and US spelling)</w:t>
      </w:r>
    </w:p>
    <w:p w14:paraId="0F842C09" w14:textId="77777777">
      <w:pPr>
        <w:pStyle w:val="Lista2"/>
      </w:pPr>
      <w:r>
        <w:rPr>
          <w:rStyle w:val="Codevalue"/>
        </w:rPr>
        <w:t>"text-align: right"</w:t>
      </w:r>
      <w:r>
        <w:t xml:space="preserve"> for right-aligned text</w:t>
      </w:r>
    </w:p>
    <w:p w14:paraId="5C9A09DE" w14:textId="77777777">
      <w:pPr>
        <w:pStyle w:val="Lista2"/>
      </w:pPr>
      <w:r>
        <w:rPr>
          <w:rStyle w:val="Codevalue"/>
        </w:rPr>
        <w:t>"text-align: center"</w:t>
      </w:r>
      <w:r>
        <w:t xml:space="preserve"> for centre-aligned text</w:t>
      </w:r>
    </w:p>
    <w:p w14:paraId="1C79771F" w14:textId="77777777">
      <w:pPr>
        <w:pStyle w:val="Lista2"/>
      </w:pPr>
      <w:r>
        <w:rPr>
          <w:rStyle w:val="Codevalue"/>
        </w:rPr>
        <w:t>"text-align: left"</w:t>
      </w:r>
      <w:r>
        <w:t xml:space="preserve"> for left-aligned text</w:t>
      </w:r>
    </w:p>
    <w:p w14:paraId="7ADBA232" w14:textId="77777777">
      <w:pPr>
        <w:pStyle w:val="Lista3"/>
      </w:pPr>
      <w:r>
        <w:t>to be used only if the majority of the lines are aligned differently and this is mentioned in your layout description</w:t>
      </w:r>
    </w:p>
    <w:p w14:paraId="56EA525F" w14:textId="77777777">
      <w:pPr>
        <w:pStyle w:val="Lista2"/>
      </w:pPr>
      <w:r>
        <w:rPr>
          <w:rStyle w:val="Codevalue"/>
        </w:rPr>
        <w:t>"text-align: justify"</w:t>
      </w:r>
      <w:r>
        <w:t xml:space="preserve"> for text conspicuously justified to both margins</w:t>
      </w:r>
    </w:p>
    <w:p w14:paraId="65351D4B" w14:textId="12629C86">
      <w:pPr>
        <w:pStyle w:val="Lista3"/>
      </w:pPr>
      <w:r>
        <w:t xml:space="preserve">to be used only if the content of a line would fit in a much narrower space and the creator of the inscription deliberately made it flush with both the left and right margin by increasing inter-word or inter-character spaces in a relatively regular manner </w:t>
      </w:r>
      <w:r>
        <w:rPr>
          <w:noProof/>
        </w:rPr>
        <w:t>(</w:t>
      </w:r>
      <w:r>
        <w:t>i.e. increased spaces are present between all or most separable words of the line, or between all or most characters as applicable)</w:t>
      </w:r>
    </w:p>
    <w:tbl>
      <w:tblPr>
        <w:tblStyle w:val="CodeSampleTable"/>
        <w:tblW w:w="5000" w:type="pct"/>
        <w:tblLook w:val="04A0" w:firstRow="1" w:lastRow="0" w:firstColumn="1" w:lastColumn="0" w:noHBand="0" w:noVBand="1"/>
      </w:tblPr>
      <w:tblGrid>
        <w:gridCol w:w="9628"/>
      </w:tblGrid>
      <w:tr w14:paraId="5B0307D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1B1BF41" w14:textId="77777777">
            <w:pPr>
              <w:pStyle w:val="Kpalrs"/>
            </w:pPr>
            <w:bookmarkStart w:id="750" w:name="_Ref225762134"/>
            <w:r>
              <w:t xml:space="preserve">Exhibit </w:t>
            </w:r>
            <w:fldSimple w:instr=" STYLEREF 2 \s ">
              <w:r>
                <w:rPr>
                  <w:noProof/>
                </w:rPr>
                <w:t>8.5</w:t>
              </w:r>
            </w:fldSimple>
            <w:r>
              <w:t>.</w:t>
            </w:r>
            <w:fldSimple w:instr=" SEQ Exhibit \* ALPHABETIC \s 2 ">
              <w:r>
                <w:rPr>
                  <w:noProof/>
                </w:rPr>
                <w:t>A</w:t>
              </w:r>
            </w:fldSimple>
            <w:bookmarkEnd w:id="750"/>
            <w:r>
              <w:t>: encoding line alignment</w:t>
            </w:r>
          </w:p>
        </w:tc>
      </w:tr>
      <w:tr w14:paraId="39DAE062" w14:textId="77777777">
        <w:tc>
          <w:tcPr>
            <w:tcW w:w="5000" w:type="pct"/>
            <w:vAlign w:val="center"/>
          </w:tcPr>
          <w:p w14:paraId="1E518EAA" w14:textId="77777777">
            <w:pPr>
              <w:pStyle w:val="Image"/>
              <w:widowControl/>
              <w:rPr>
                <w:rStyle w:val="Code"/>
              </w:rPr>
            </w:pPr>
            <w:r>
              <w:drawing>
                <wp:inline distT="0" distB="0" distL="0" distR="0" wp14:anchorId="536C36C7" wp14:editId="797E47A8">
                  <wp:extent cx="5397500" cy="2593340"/>
                  <wp:effectExtent l="0" t="0" r="0" b="0"/>
                  <wp:docPr id="2711707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7500" cy="2593340"/>
                          </a:xfrm>
                          <a:prstGeom prst="rect">
                            <a:avLst/>
                          </a:prstGeom>
                          <a:noFill/>
                          <a:ln>
                            <a:noFill/>
                          </a:ln>
                        </pic:spPr>
                      </pic:pic>
                    </a:graphicData>
                  </a:graphic>
                </wp:inline>
              </w:drawing>
            </w:r>
          </w:p>
        </w:tc>
      </w:tr>
      <w:tr w14:paraId="18621939" w14:textId="77777777">
        <w:tc>
          <w:tcPr>
            <w:tcW w:w="5000" w:type="pct"/>
          </w:tcPr>
          <w:p w14:paraId="1CDED42A" w14:textId="77777777">
            <w:pPr>
              <w:pStyle w:val="CodeParagraph"/>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style</w:t>
            </w:r>
            <w:r>
              <w:rPr>
                <w:rStyle w:val="Code"/>
              </w:rPr>
              <w:t>=</w:t>
            </w:r>
            <w:r>
              <w:rPr>
                <w:rStyle w:val="Codevalue"/>
              </w:rPr>
              <w:t>"text-align: center"</w:t>
            </w:r>
            <w:r>
              <w:rPr>
                <w:rStyle w:val="Code"/>
              </w:rPr>
              <w:t>/&gt;&lt;ab&gt;</w:t>
            </w:r>
            <w:r>
              <w:rPr>
                <w:rStyle w:val="Codetext"/>
              </w:rPr>
              <w:t>J. R. R. Tolkien: The Hobbit</w:t>
            </w:r>
            <w:r>
              <w:rPr>
                <w:rStyle w:val="Code"/>
              </w:rPr>
              <w:t>&lt;/ab&gt;</w:t>
            </w:r>
            <w:r>
              <w:rPr>
                <w:rStyle w:val="Codetext"/>
              </w:rPr>
              <w:br/>
            </w:r>
            <w:r>
              <w:rPr>
                <w:rStyle w:val="Code"/>
              </w:rPr>
              <w:t xml:space="preserve">&lt;lb </w:t>
            </w:r>
            <w:r>
              <w:rPr>
                <w:rStyle w:val="Codeattribute"/>
              </w:rPr>
              <w:t>n</w:t>
            </w:r>
            <w:r>
              <w:rPr>
                <w:rStyle w:val="Code"/>
              </w:rPr>
              <w:t>=</w:t>
            </w:r>
            <w:r>
              <w:rPr>
                <w:rStyle w:val="Codevalue"/>
              </w:rPr>
              <w:t>"2"</w:t>
            </w:r>
            <w:r>
              <w:rPr>
                <w:rStyle w:val="Code"/>
              </w:rPr>
              <w:t>/&gt;&lt;p&gt;</w:t>
            </w:r>
            <w:r>
              <w:rPr>
                <w:rStyle w:val="Codetext"/>
              </w:rPr>
              <w:t>In a hole in the ground...</w:t>
            </w:r>
            <w:r>
              <w:rPr>
                <w:rStyle w:val="Codetext"/>
              </w:rPr>
              <w:br/>
            </w:r>
            <w:r>
              <w:rPr>
                <w:rStyle w:val="Code"/>
              </w:rPr>
              <w:t>...</w:t>
            </w:r>
          </w:p>
          <w:p w14:paraId="2B7E0A74" w14:textId="77777777">
            <w:pPr>
              <w:pStyle w:val="CodeParagraph"/>
              <w:rPr>
                <w:rStyle w:val="Code"/>
              </w:rPr>
            </w:pPr>
            <w:r>
              <w:rPr>
                <w:rStyle w:val="Code"/>
              </w:rPr>
              <w:t xml:space="preserve">&lt;lb </w:t>
            </w:r>
            <w:r>
              <w:rPr>
                <w:rStyle w:val="Codeattribute"/>
              </w:rPr>
              <w:t>n</w:t>
            </w:r>
            <w:r>
              <w:rPr>
                <w:rStyle w:val="Code"/>
              </w:rPr>
              <w:t>=</w:t>
            </w:r>
            <w:r>
              <w:rPr>
                <w:rStyle w:val="Codevalue"/>
              </w:rPr>
              <w:t>"6"</w:t>
            </w:r>
            <w:r>
              <w:rPr>
                <w:rStyle w:val="Code"/>
              </w:rPr>
              <w:t>/&gt;</w:t>
            </w:r>
            <w:r>
              <w:rPr>
                <w:rStyle w:val="Codetext"/>
              </w:rPr>
              <w:t>hobbit-hole, and that means comfort.</w:t>
            </w:r>
            <w:r>
              <w:rPr>
                <w:rStyle w:val="Code"/>
              </w:rPr>
              <w:t>&lt;/p&gt;</w:t>
            </w:r>
          </w:p>
          <w:p w14:paraId="1D63CAA7" w14:textId="77777777">
            <w:pPr>
              <w:pStyle w:val="CodeParagraph"/>
            </w:pPr>
            <w:r>
              <w:rPr>
                <w:rStyle w:val="Code"/>
              </w:rPr>
              <w:t xml:space="preserve">&lt;lb </w:t>
            </w:r>
            <w:r>
              <w:rPr>
                <w:rStyle w:val="Codeattribute"/>
              </w:rPr>
              <w:t>n</w:t>
            </w:r>
            <w:r>
              <w:rPr>
                <w:rStyle w:val="Code"/>
              </w:rPr>
              <w:t>=</w:t>
            </w:r>
            <w:r>
              <w:rPr>
                <w:rStyle w:val="Codevalue"/>
              </w:rPr>
              <w:t>"7"</w:t>
            </w:r>
            <w:r>
              <w:rPr>
                <w:rStyle w:val="Code"/>
              </w:rPr>
              <w:t xml:space="preserve"> </w:t>
            </w:r>
            <w:r>
              <w:rPr>
                <w:rStyle w:val="Codeattribute"/>
              </w:rPr>
              <w:t>style</w:t>
            </w:r>
            <w:r>
              <w:rPr>
                <w:rStyle w:val="Code"/>
              </w:rPr>
              <w:t>=</w:t>
            </w:r>
            <w:r>
              <w:rPr>
                <w:rStyle w:val="Codevalue"/>
              </w:rPr>
              <w:t>"text-align: right"</w:t>
            </w:r>
            <w:r>
              <w:rPr>
                <w:rStyle w:val="Code"/>
              </w:rPr>
              <w:t>/&gt;&lt;ab&gt;</w:t>
            </w:r>
            <w:r>
              <w:rPr>
                <w:rStyle w:val="Codetext"/>
              </w:rPr>
              <w:t>23 December 2024</w:t>
            </w:r>
            <w:r>
              <w:rPr>
                <w:rStyle w:val="Code"/>
              </w:rPr>
              <w:t>&lt;/ab&gt;</w:t>
            </w:r>
          </w:p>
        </w:tc>
      </w:tr>
    </w:tbl>
    <w:p w14:paraId="066E6E29" w14:textId="77777777">
      <w:pPr>
        <w:pStyle w:val="Cmsor3"/>
        <w:pageBreakBefore/>
        <w:spacing w:before="360"/>
      </w:pPr>
      <w:bookmarkStart w:id="751" w:name="_gjt7ggwzx2z5" w:colFirst="0" w:colLast="0"/>
      <w:bookmarkStart w:id="752" w:name="_Ref43984782"/>
      <w:bookmarkStart w:id="753" w:name="_Toc243900370"/>
      <w:bookmarkEnd w:id="751"/>
      <w:r>
        <w:lastRenderedPageBreak/>
        <w:t>Directionality and orientation</w:t>
      </w:r>
      <w:bookmarkEnd w:id="752"/>
      <w:bookmarkEnd w:id="753"/>
    </w:p>
    <w:p w14:paraId="5584D530" w14:textId="77777777">
      <w:r>
        <w:t xml:space="preserve">The default writing mode for our inscriptions is horizontal top-to-bottom, which means that lines run horizontally </w:t>
      </w:r>
      <w:r>
        <w:rPr>
          <w:noProof/>
        </w:rPr>
        <w:t>(</w:t>
      </w:r>
      <w:r>
        <w:t xml:space="preserve">and left to right in the scripts we work with), while successive lines are placed one below the other. Some inscriptions may be written throughout in a different writing mode </w:t>
      </w:r>
      <w:r>
        <w:rPr>
          <w:noProof/>
        </w:rPr>
        <w:t>(</w:t>
      </w:r>
      <w:r>
        <w:t xml:space="preserve">e.g. vertically, with lines proceeding left to right; or horizontally, with lines proceeding left to right, but in a bottom to top order); if this is the case, it should be recorded in your annotation. Lines oriented differently than the majority of the lines in an inscription may be optionally encoded by adding the attribute </w:t>
      </w:r>
      <w:r>
        <w:rPr>
          <w:rStyle w:val="Codeattribute"/>
        </w:rPr>
        <w:t>@rend</w:t>
      </w:r>
      <w:r>
        <w:t xml:space="preserve"> to the corresponding </w:t>
      </w:r>
      <w:r>
        <w:rPr>
          <w:rStyle w:val="Code"/>
        </w:rPr>
        <w:t>&lt;lb/&gt;</w:t>
      </w:r>
      <w:r>
        <w:t xml:space="preserve"> element.</w:t>
      </w:r>
      <w:r>
        <w:rPr>
          <w:rStyle w:val="Lbjegyzet-hivatkozs"/>
        </w:rPr>
        <w:footnoteReference w:id="38"/>
      </w:r>
    </w:p>
    <w:p w14:paraId="63F3786A" w14:textId="77777777">
      <w:pPr>
        <w:pStyle w:val="Lista"/>
        <w:keepNext/>
      </w:pPr>
      <w:r>
        <w:t>the permitted values of</w:t>
      </w:r>
      <w:r>
        <w:rPr>
          <w:b/>
          <w:bCs/>
        </w:rPr>
        <w:t xml:space="preserve"> </w:t>
      </w:r>
      <w:r>
        <w:rPr>
          <w:rStyle w:val="Codeattribute"/>
        </w:rPr>
        <w:t>@rend</w:t>
      </w:r>
      <w:r>
        <w:t xml:space="preserve"> for encoding the combinations of directionality and orientation illustrated in </w:t>
      </w:r>
      <w:r>
        <w:fldChar w:fldCharType="begin"/>
      </w:r>
      <w:r>
        <w:instrText xml:space="preserve"> REF _Ref232000441 \h </w:instrText>
      </w:r>
      <w:r>
        <w:fldChar w:fldCharType="separate"/>
      </w:r>
      <w:r>
        <w:t xml:space="preserve">Exhibit </w:t>
      </w:r>
      <w:r>
        <w:rPr>
          <w:noProof/>
        </w:rPr>
        <w:t>8.5</w:t>
      </w:r>
      <w:r>
        <w:t>.</w:t>
      </w:r>
      <w:r>
        <w:rPr>
          <w:noProof/>
        </w:rPr>
        <w:t>B</w:t>
      </w:r>
      <w:r>
        <w:fldChar w:fldCharType="end"/>
      </w:r>
      <w:r>
        <w:t>, are as follows:</w:t>
      </w:r>
    </w:p>
    <w:tbl>
      <w:tblPr>
        <w:tblStyle w:val="CodeSampleTable"/>
        <w:tblpPr w:leftFromText="181" w:rightFromText="181" w:vertAnchor="text" w:tblpXSpec="right" w:tblpY="1"/>
        <w:tblOverlap w:val="never"/>
        <w:tblW w:w="1984" w:type="pct"/>
        <w:tblLook w:val="04A0" w:firstRow="1" w:lastRow="0" w:firstColumn="1" w:lastColumn="0" w:noHBand="0" w:noVBand="1"/>
      </w:tblPr>
      <w:tblGrid>
        <w:gridCol w:w="3820"/>
      </w:tblGrid>
      <w:tr w14:paraId="7B6CFDE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E5F5C84" w14:textId="77777777">
            <w:pPr>
              <w:pStyle w:val="Kpalrs"/>
            </w:pPr>
            <w:bookmarkStart w:id="754" w:name="_Ref232000441"/>
            <w:r>
              <w:t xml:space="preserve">Exhibit </w:t>
            </w:r>
            <w:fldSimple w:instr=" STYLEREF 2 \s ">
              <w:r>
                <w:rPr>
                  <w:noProof/>
                </w:rPr>
                <w:t>8.5</w:t>
              </w:r>
            </w:fldSimple>
            <w:r>
              <w:t>.</w:t>
            </w:r>
            <w:fldSimple w:instr=" SEQ Exhibit \* ALPHABETIC \s 2 ">
              <w:r>
                <w:rPr>
                  <w:noProof/>
                </w:rPr>
                <w:t>B</w:t>
              </w:r>
            </w:fldSimple>
            <w:bookmarkEnd w:id="754"/>
            <w:r>
              <w:t>: line directionality and orientation</w:t>
            </w:r>
          </w:p>
        </w:tc>
      </w:tr>
      <w:tr w14:paraId="30C88F97" w14:textId="77777777">
        <w:tc>
          <w:tcPr>
            <w:tcW w:w="5000" w:type="pct"/>
            <w:vAlign w:val="center"/>
          </w:tcPr>
          <w:p w14:paraId="1F5591D6" w14:textId="77777777">
            <w:pPr>
              <w:pStyle w:val="Image"/>
              <w:widowControl/>
              <w:rPr>
                <w:rStyle w:val="Code"/>
              </w:rPr>
            </w:pPr>
            <w:r>
              <w:drawing>
                <wp:inline distT="0" distB="0" distL="0" distR="0" wp14:anchorId="7C8FF04A" wp14:editId="39023541">
                  <wp:extent cx="2340610" cy="3241040"/>
                  <wp:effectExtent l="0" t="0" r="2540" b="0"/>
                  <wp:docPr id="56706050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340610" cy="3241040"/>
                          </a:xfrm>
                          <a:prstGeom prst="rect">
                            <a:avLst/>
                          </a:prstGeom>
                          <a:noFill/>
                          <a:ln>
                            <a:noFill/>
                          </a:ln>
                        </pic:spPr>
                      </pic:pic>
                    </a:graphicData>
                  </a:graphic>
                </wp:inline>
              </w:drawing>
            </w:r>
          </w:p>
        </w:tc>
      </w:tr>
    </w:tbl>
    <w:p w14:paraId="19396D53" w14:textId="77777777">
      <w:pPr>
        <w:pStyle w:val="Lista2"/>
      </w:pPr>
      <w:r>
        <w:t xml:space="preserve"> A. </w:t>
      </w:r>
      <w:r>
        <w:rPr>
          <w:rStyle w:val="Codevalue"/>
        </w:rPr>
        <w:t>"bt-rotated"</w:t>
      </w:r>
      <w:r>
        <w:t xml:space="preserve"> – bottom to top, with the tops of characters facing left</w:t>
      </w:r>
    </w:p>
    <w:p w14:paraId="4B23B7FB" w14:textId="77777777">
      <w:pPr>
        <w:pStyle w:val="Lista2"/>
      </w:pPr>
      <w:r>
        <w:t xml:space="preserve">B. </w:t>
      </w:r>
      <w:r>
        <w:rPr>
          <w:rStyle w:val="Codevalue"/>
        </w:rPr>
        <w:t>"tb-rotated"</w:t>
      </w:r>
      <w:r>
        <w:t xml:space="preserve"> – top to bottom, with the tops of characters facing right</w:t>
      </w:r>
    </w:p>
    <w:p w14:paraId="3456062E" w14:textId="77777777">
      <w:pPr>
        <w:pStyle w:val="Lista2"/>
      </w:pPr>
      <w:r>
        <w:t xml:space="preserve">C. </w:t>
      </w:r>
      <w:r>
        <w:rPr>
          <w:rStyle w:val="Codevalue"/>
        </w:rPr>
        <w:t>"bt-upright"</w:t>
      </w:r>
      <w:r>
        <w:t xml:space="preserve"> – bottom to top, with the tops of characters facing upward</w:t>
      </w:r>
    </w:p>
    <w:p w14:paraId="6337DF10" w14:textId="77777777">
      <w:pPr>
        <w:pStyle w:val="Lista2"/>
      </w:pPr>
      <w:r>
        <w:t xml:space="preserve">D. </w:t>
      </w:r>
      <w:r>
        <w:rPr>
          <w:rStyle w:val="Codevalue"/>
        </w:rPr>
        <w:t>"tb-upright"</w:t>
      </w:r>
      <w:r>
        <w:t xml:space="preserve"> – top to bottom, with the tops of characters facing upward</w:t>
      </w:r>
    </w:p>
    <w:p w14:paraId="7175462C" w14:textId="77777777">
      <w:pPr>
        <w:pStyle w:val="Lista2"/>
      </w:pPr>
      <w:r>
        <w:t xml:space="preserve">E. </w:t>
      </w:r>
      <w:r>
        <w:rPr>
          <w:rStyle w:val="Codevalue"/>
        </w:rPr>
        <w:t>"rl-upright"</w:t>
      </w:r>
      <w:r>
        <w:t xml:space="preserve"> – right to left, with characters in their regular orientation</w:t>
      </w:r>
    </w:p>
    <w:p w14:paraId="3B11EC43" w14:textId="77777777">
      <w:pPr>
        <w:pStyle w:val="Lista2"/>
      </w:pPr>
      <w:r>
        <w:t xml:space="preserve">F. </w:t>
      </w:r>
      <w:r>
        <w:rPr>
          <w:rStyle w:val="Codevalue"/>
        </w:rPr>
        <w:t>"rl-flipped"</w:t>
      </w:r>
      <w:r>
        <w:t xml:space="preserve"> – right to left, with characters mirrored around their vertical axis as in true boustrophedon</w:t>
      </w:r>
    </w:p>
    <w:p w14:paraId="39A19DEF" w14:textId="77777777">
      <w:pPr>
        <w:pStyle w:val="Lista2"/>
      </w:pPr>
      <w:r>
        <w:t xml:space="preserve">G. </w:t>
      </w:r>
      <w:r>
        <w:rPr>
          <w:rStyle w:val="Codevalue"/>
        </w:rPr>
        <w:t>"rl-rotated"</w:t>
      </w:r>
      <w:r>
        <w:t xml:space="preserve"> – right to left, with the tops of characters facing downward</w:t>
      </w:r>
    </w:p>
    <w:p w14:paraId="650EDE45" w14:textId="3CEF0B26">
      <w:pPr>
        <w:pStyle w:val="Lista2"/>
      </w:pPr>
      <w:r>
        <w:t>should you encounter any other combination of directionality and orientation</w:t>
      </w:r>
      <w:r>
        <w:rPr>
          <w:noProof/>
        </w:rPr>
        <w:t>, leave it without encoding and describe it in your annotation</w:t>
      </w:r>
    </w:p>
    <w:p w14:paraId="0671E66B" w14:textId="77777777"/>
    <w:p w14:paraId="5AA1592E" w14:textId="77777777">
      <w:pPr>
        <w:pStyle w:val="Cmsor1"/>
      </w:pPr>
      <w:bookmarkStart w:id="755" w:name="_Ref232002354"/>
      <w:bookmarkStart w:id="756" w:name="_Toc243900371"/>
      <w:r>
        <w:lastRenderedPageBreak/>
        <w:t>Interpretive and analytical markup</w:t>
      </w:r>
      <w:bookmarkEnd w:id="755"/>
      <w:bookmarkEnd w:id="756"/>
    </w:p>
    <w:p w14:paraId="7AE73065" w14:textId="77777777">
      <w:r>
        <w:t>One of the great strengths of TEI is that it allows tagging specific chunks of the text (as interpreted by the editor) with information that can then be used for the analysis of semantic content, linguistic structures, narrative elements or other features. However, a documentary edition encoded in EpiDoc tends to contain a great amount of highly granular code, and attempting to combine this encoding with interpretive/analytical markup will in most cases result in a proliferation of overlapping hierarchies (§</w:t>
      </w:r>
      <w:r>
        <w:fldChar w:fldCharType="begin"/>
      </w:r>
      <w:r>
        <w:instrText xml:space="preserve"> REF _Ref224893456 \r \h </w:instrText>
      </w:r>
      <w:r>
        <w:fldChar w:fldCharType="separate"/>
      </w:r>
      <w:r>
        <w:t>2.2.4</w:t>
      </w:r>
      <w:r>
        <w:fldChar w:fldCharType="end"/>
      </w:r>
      <w:r>
        <w:t>). Therefore, in DHARMA editions we habitually encode only a minimum of interpretive information, namely that pertaining to numbers (§</w:t>
      </w:r>
      <w:r>
        <w:fldChar w:fldCharType="begin"/>
      </w:r>
      <w:r>
        <w:instrText xml:space="preserve"> REF _Ref231894384 \r \h </w:instrText>
      </w:r>
      <w:r>
        <w:fldChar w:fldCharType="separate"/>
      </w:r>
      <w:r>
        <w:t>9.1</w:t>
      </w:r>
      <w:r>
        <w:fldChar w:fldCharType="end"/>
      </w:r>
      <w:r>
        <w:t>) and, optionally, to abbreviations (§</w:t>
      </w:r>
      <w:r>
        <w:fldChar w:fldCharType="begin"/>
      </w:r>
      <w:r>
        <w:instrText xml:space="preserve"> REF _Ref232002201 \r \h </w:instrText>
      </w:r>
      <w:r>
        <w:fldChar w:fldCharType="separate"/>
      </w:r>
      <w:r>
        <w:t>9.2</w:t>
      </w:r>
      <w:r>
        <w:fldChar w:fldCharType="end"/>
      </w:r>
      <w:r>
        <w:t>). A number of other encoding methods useful for analytical purposes (§</w:t>
      </w:r>
      <w:r>
        <w:fldChar w:fldCharType="begin"/>
      </w:r>
      <w:r>
        <w:instrText xml:space="preserve"> REF _Ref232173896 \r \h </w:instrText>
      </w:r>
      <w:r>
        <w:fldChar w:fldCharType="separate"/>
      </w:r>
      <w:r>
        <w:t>14.7.3</w:t>
      </w:r>
      <w:r>
        <w:fldChar w:fldCharType="end"/>
      </w:r>
      <w:r>
        <w:t>) are permitted in the DHARMA schema and may be used in the editions as well as in other divisions of our XML documents, but their use is not encouraged in our editions and not provided for in these guidelines.</w:t>
      </w:r>
    </w:p>
    <w:p w14:paraId="1238881B" w14:textId="77777777">
      <w:pPr>
        <w:pStyle w:val="Cmsor2"/>
      </w:pPr>
      <w:bookmarkStart w:id="757" w:name="_vj2ep179y4tp" w:colFirst="0" w:colLast="0"/>
      <w:bookmarkStart w:id="758" w:name="_alr4dlls2gjb" w:colFirst="0" w:colLast="0"/>
      <w:bookmarkStart w:id="759" w:name="_Ref43980607"/>
      <w:bookmarkStart w:id="760" w:name="_Ref231894384"/>
      <w:bookmarkStart w:id="761" w:name="_Toc243900372"/>
      <w:bookmarkEnd w:id="757"/>
      <w:bookmarkEnd w:id="758"/>
      <w:r>
        <w:t>Number</w:t>
      </w:r>
      <w:bookmarkEnd w:id="759"/>
      <w:r>
        <w:t>s</w:t>
      </w:r>
      <w:bookmarkEnd w:id="760"/>
      <w:bookmarkEnd w:id="761"/>
    </w:p>
    <w:p w14:paraId="1DCA3F90" w14:textId="77777777">
      <w:pPr>
        <w:rPr>
          <w:lang w:eastAsia="en-US" w:bidi="ar-SA"/>
        </w:rPr>
      </w:pPr>
      <w:r>
        <w:rPr>
          <w:lang w:eastAsia="en-US" w:bidi="ar-SA"/>
        </w:rPr>
        <w:t xml:space="preserve">TEI provides dedicated markup for the semantic tagging of numbers found in source documents. In addition to making it explicit that a certain chunk of text signifies a number, this allows us to record the value of the number for straightforward machine interpretability. </w:t>
      </w:r>
      <w:r>
        <w:t>The following subsections detail the use of this encoding in DHARMA editions.</w:t>
      </w:r>
    </w:p>
    <w:p w14:paraId="72F54349" w14:textId="77777777">
      <w:pPr>
        <w:pStyle w:val="Cmsor3"/>
      </w:pPr>
      <w:bookmarkStart w:id="762" w:name="_u6q2l31rs9n0" w:colFirst="0" w:colLast="0"/>
      <w:bookmarkStart w:id="763" w:name="_Toc243900373"/>
      <w:bookmarkEnd w:id="762"/>
      <w:r>
        <w:t>Encoding numbers</w:t>
      </w:r>
      <w:bookmarkEnd w:id="763"/>
    </w:p>
    <w:p w14:paraId="46234EC4" w14:textId="77777777">
      <w:pPr>
        <w:pStyle w:val="Lista"/>
      </w:pPr>
      <w:r>
        <w:t xml:space="preserve">the element for the semantic tagging of numbers is </w:t>
      </w:r>
      <w:r>
        <w:rPr>
          <w:rStyle w:val="Code"/>
        </w:rPr>
        <w:t>&lt;num&gt;</w:t>
      </w:r>
      <w:r>
        <w:t xml:space="preserve"> (for “number”)</w:t>
      </w:r>
    </w:p>
    <w:p w14:paraId="539189CC" w14:textId="77777777">
      <w:pPr>
        <w:pStyle w:val="Lista"/>
      </w:pPr>
      <w:r>
        <w:t xml:space="preserve">in DHARMA practice, </w:t>
      </w:r>
      <w:r>
        <w:rPr>
          <w:rStyle w:val="Code"/>
        </w:rPr>
        <w:t>&lt;num&gt;</w:t>
      </w:r>
      <w:r>
        <w:t xml:space="preserve"> is used with the following attributes</w:t>
      </w:r>
    </w:p>
    <w:p w14:paraId="116033B9" w14:textId="77777777">
      <w:pPr>
        <w:pStyle w:val="Lista2"/>
      </w:pPr>
      <w:r>
        <w:t xml:space="preserve">in most cases, </w:t>
      </w:r>
      <w:r>
        <w:rPr>
          <w:rStyle w:val="Codeattribute"/>
        </w:rPr>
        <w:t>@value</w:t>
      </w:r>
      <w:r>
        <w:t xml:space="preserve"> as per §</w:t>
      </w:r>
      <w:r>
        <w:fldChar w:fldCharType="begin"/>
      </w:r>
      <w:r>
        <w:instrText xml:space="preserve"> REF _Ref231895976 \r \h </w:instrText>
      </w:r>
      <w:r>
        <w:fldChar w:fldCharType="separate"/>
      </w:r>
      <w:r>
        <w:t>9.1.1.1</w:t>
      </w:r>
      <w:r>
        <w:fldChar w:fldCharType="end"/>
      </w:r>
    </w:p>
    <w:p w14:paraId="32AD072A" w14:textId="77777777">
      <w:pPr>
        <w:pStyle w:val="Lista2"/>
      </w:pPr>
      <w:r>
        <w:t xml:space="preserve">as applicable, </w:t>
      </w:r>
      <w:r>
        <w:rPr>
          <w:rStyle w:val="Codeattribute"/>
        </w:rPr>
        <w:t>@cert</w:t>
      </w:r>
      <w:r>
        <w:t xml:space="preserve"> as per §</w:t>
      </w:r>
      <w:r>
        <w:fldChar w:fldCharType="begin"/>
      </w:r>
      <w:r>
        <w:instrText xml:space="preserve"> REF _Ref231892505 \r \h </w:instrText>
      </w:r>
      <w:r>
        <w:fldChar w:fldCharType="separate"/>
      </w:r>
      <w:r>
        <w:t>9.1.3</w:t>
      </w:r>
      <w:r>
        <w:fldChar w:fldCharType="end"/>
      </w:r>
    </w:p>
    <w:p w14:paraId="32F8B09F" w14:textId="77777777">
      <w:pPr>
        <w:pStyle w:val="Lista2"/>
      </w:pPr>
      <w:r>
        <w:t xml:space="preserve">as applicable, </w:t>
      </w:r>
      <w:r>
        <w:rPr>
          <w:rStyle w:val="Codeattribute"/>
        </w:rPr>
        <w:t>@atLeast</w:t>
      </w:r>
      <w:r>
        <w:t xml:space="preserve"> and </w:t>
      </w:r>
      <w:r>
        <w:rPr>
          <w:rStyle w:val="Codeattribute"/>
        </w:rPr>
        <w:t>@atMost</w:t>
      </w:r>
      <w:r>
        <w:t xml:space="preserve"> as per §</w:t>
      </w:r>
      <w:r>
        <w:fldChar w:fldCharType="begin"/>
      </w:r>
      <w:r>
        <w:instrText xml:space="preserve"> REF _Ref231892505 \r \h </w:instrText>
      </w:r>
      <w:r>
        <w:fldChar w:fldCharType="separate"/>
      </w:r>
      <w:r>
        <w:t>9.1.3</w:t>
      </w:r>
      <w:r>
        <w:fldChar w:fldCharType="end"/>
      </w:r>
    </w:p>
    <w:p w14:paraId="099C9FDA" w14:textId="77777777">
      <w:pPr>
        <w:pStyle w:val="Lista"/>
      </w:pPr>
      <w:r>
        <w:t>this element is used as a single container for wrapping all the characters of the source that together signify a single number, not for individual numeral signs (unless they signify a number on their own)</w:t>
      </w:r>
    </w:p>
    <w:p w14:paraId="58AD2ABC" w14:textId="77777777">
      <w:pPr>
        <w:pStyle w:val="Cmsor4"/>
      </w:pPr>
      <w:bookmarkStart w:id="764" w:name="_Ref231895976"/>
      <w:r>
        <w:t>The value of numbers</w:t>
      </w:r>
      <w:bookmarkEnd w:id="764"/>
    </w:p>
    <w:p w14:paraId="064D6583" w14:textId="77777777">
      <w:pPr>
        <w:pStyle w:val="Lista"/>
      </w:pPr>
      <w:r>
        <w:t xml:space="preserve">the element </w:t>
      </w:r>
      <w:r>
        <w:rPr>
          <w:rStyle w:val="Code"/>
        </w:rPr>
        <w:t>&lt;num&gt;</w:t>
      </w:r>
      <w:r>
        <w:t xml:space="preserve"> must, as a rule, have the attribute </w:t>
      </w:r>
      <w:r>
        <w:rPr>
          <w:rStyle w:val="Codeattribute"/>
        </w:rPr>
        <w:t>@value</w:t>
      </w:r>
      <w:r>
        <w:t>, recording in a machine-readable form the final value of the entire number within the element</w:t>
      </w:r>
    </w:p>
    <w:p w14:paraId="623C05B0" w14:textId="77777777">
      <w:pPr>
        <w:pStyle w:val="Lista"/>
      </w:pPr>
      <w:r>
        <w:t xml:space="preserve">fractions shall be represented in this attribute as decimal fractions, never dropping the 0 before fractions smaller than 1 and always using a decimal point, not a different decimal marker, e.g. </w:t>
      </w:r>
      <w:r>
        <w:rPr>
          <w:rStyle w:val="Code"/>
        </w:rPr>
        <w:t xml:space="preserve">&lt;num </w:t>
      </w:r>
      <w:r>
        <w:rPr>
          <w:rStyle w:val="Codeattribute"/>
        </w:rPr>
        <w:t>value</w:t>
      </w:r>
      <w:r>
        <w:rPr>
          <w:rStyle w:val="Code"/>
        </w:rPr>
        <w:t>=</w:t>
      </w:r>
      <w:r>
        <w:rPr>
          <w:rStyle w:val="Codevalue"/>
        </w:rPr>
        <w:t>"0.5"</w:t>
      </w:r>
      <w:r>
        <w:rPr>
          <w:rStyle w:val="Code"/>
        </w:rPr>
        <w:t>&gt;</w:t>
      </w:r>
    </w:p>
    <w:p w14:paraId="33B32C7F" w14:textId="77777777">
      <w:pPr>
        <w:pStyle w:val="Lista2"/>
      </w:pPr>
      <w:r>
        <w:t xml:space="preserve">round the value to three digits after the decimal point for any fractions that would require a longer (or infinite) sequence of digits, e.g. encode ⅓  as </w:t>
      </w:r>
      <w:r>
        <w:rPr>
          <w:rStyle w:val="Code"/>
        </w:rPr>
        <w:t xml:space="preserve">&lt;num </w:t>
      </w:r>
      <w:r>
        <w:rPr>
          <w:rStyle w:val="Codeattribute"/>
        </w:rPr>
        <w:t>value</w:t>
      </w:r>
      <w:r>
        <w:rPr>
          <w:rStyle w:val="Code"/>
        </w:rPr>
        <w:t>=</w:t>
      </w:r>
      <w:r>
        <w:rPr>
          <w:rStyle w:val="Codevalue"/>
        </w:rPr>
        <w:t>"0.333"</w:t>
      </w:r>
      <w:r>
        <w:rPr>
          <w:rStyle w:val="Code"/>
        </w:rPr>
        <w:t>&gt;</w:t>
      </w:r>
      <w:r>
        <w:t xml:space="preserve"> and one sixteenth as </w:t>
      </w:r>
      <w:r>
        <w:rPr>
          <w:rStyle w:val="Code"/>
        </w:rPr>
        <w:t xml:space="preserve">&lt;num </w:t>
      </w:r>
      <w:r>
        <w:rPr>
          <w:rStyle w:val="Codeattribute"/>
        </w:rPr>
        <w:t>value</w:t>
      </w:r>
      <w:r>
        <w:rPr>
          <w:rStyle w:val="Code"/>
        </w:rPr>
        <w:t>=</w:t>
      </w:r>
      <w:r>
        <w:rPr>
          <w:rStyle w:val="Codevalue"/>
        </w:rPr>
        <w:t>"0.063"</w:t>
      </w:r>
      <w:r>
        <w:rPr>
          <w:rStyle w:val="Code"/>
        </w:rPr>
        <w:t>&gt;</w:t>
      </w:r>
    </w:p>
    <w:p w14:paraId="7BBECBC4" w14:textId="77777777">
      <w:pPr>
        <w:pStyle w:val="Cmsor3"/>
      </w:pPr>
      <w:bookmarkStart w:id="765" w:name="_Toc243900374"/>
      <w:r>
        <w:t>When and how to encode numbers</w:t>
      </w:r>
      <w:bookmarkEnd w:id="765"/>
    </w:p>
    <w:p w14:paraId="619C10EB" w14:textId="77777777">
      <w:pPr>
        <w:pStyle w:val="Cmsor4"/>
      </w:pPr>
      <w:r>
        <w:t>Numbers expressed by numeral signs</w:t>
      </w:r>
    </w:p>
    <w:p w14:paraId="3B41E4CF" w14:textId="77777777">
      <w:pPr>
        <w:pStyle w:val="Lista"/>
      </w:pPr>
      <w:r>
        <w:t xml:space="preserve">semantic encoding with </w:t>
      </w:r>
      <w:r>
        <w:rPr>
          <w:rStyle w:val="Code"/>
        </w:rPr>
        <w:t>&lt;num&gt;</w:t>
      </w:r>
      <w:r>
        <w:t xml:space="preserve"> is mandatory for all numbers recorded in numeral signs</w:t>
      </w:r>
    </w:p>
    <w:p w14:paraId="69F3A014" w14:textId="77777777">
      <w:pPr>
        <w:pStyle w:val="Lista2"/>
      </w:pPr>
      <w:r>
        <w:t>this includes both decimal place-value notation and other numeral notation systems</w:t>
      </w:r>
    </w:p>
    <w:p w14:paraId="42511906" w14:textId="77777777">
      <w:pPr>
        <w:pStyle w:val="Lista2"/>
      </w:pPr>
      <w:r>
        <w:t>note, however, that semantic encoding is not applicable when a glyph that normally represents a number is employed in a different function, as discussed in §</w:t>
      </w:r>
      <w:r>
        <w:fldChar w:fldCharType="begin"/>
      </w:r>
      <w:r>
        <w:instrText xml:space="preserve"> REF _Ref226033797 \r \h </w:instrText>
      </w:r>
      <w:r>
        <w:fldChar w:fldCharType="separate"/>
      </w:r>
      <w:r>
        <w:t>5.2.3</w:t>
      </w:r>
      <w:r>
        <w:fldChar w:fldCharType="end"/>
      </w:r>
    </w:p>
    <w:p w14:paraId="3C39DB63" w14:textId="77777777">
      <w:pPr>
        <w:pStyle w:val="Lista"/>
      </w:pPr>
      <w:r>
        <w:t xml:space="preserve">encoding with </w:t>
      </w:r>
      <w:r>
        <w:rPr>
          <w:rStyle w:val="Code"/>
        </w:rPr>
        <w:t>&lt;num&gt;</w:t>
      </w:r>
      <w:r>
        <w:t xml:space="preserve"> does not replace the </w:t>
      </w:r>
      <w:r>
        <w:rPr>
          <w:rStyle w:val="Code"/>
        </w:rPr>
        <w:t>&lt;g&gt;</w:t>
      </w:r>
      <w:r>
        <w:t xml:space="preserve"> element for numeral signs transliterated by something other than a single Unicode character (§</w:t>
      </w:r>
      <w:r>
        <w:fldChar w:fldCharType="begin"/>
      </w:r>
      <w:r>
        <w:instrText xml:space="preserve"> REF _Ref182551676 \r \h </w:instrText>
      </w:r>
      <w:r>
        <w:fldChar w:fldCharType="separate"/>
      </w:r>
      <w:r>
        <w:t>5.3.5</w:t>
      </w:r>
      <w:r>
        <w:fldChar w:fldCharType="end"/>
      </w:r>
      <w:r>
        <w:t>)</w:t>
      </w:r>
    </w:p>
    <w:p w14:paraId="12A24780" w14:textId="77777777">
      <w:pPr>
        <w:pStyle w:val="Lista2"/>
      </w:pPr>
      <w:r>
        <w:t xml:space="preserve">when </w:t>
      </w:r>
      <w:r>
        <w:rPr>
          <w:rStyle w:val="Code"/>
        </w:rPr>
        <w:t>&lt;g&gt;</w:t>
      </w:r>
      <w:r>
        <w:t xml:space="preserve"> is present, </w:t>
      </w:r>
      <w:r>
        <w:rPr>
          <w:rStyle w:val="Code"/>
        </w:rPr>
        <w:t>&lt;num&gt;</w:t>
      </w:r>
      <w:r>
        <w:t xml:space="preserve"> must contain </w:t>
      </w:r>
      <w:r>
        <w:rPr>
          <w:rStyle w:val="Code"/>
        </w:rPr>
        <w:t>&lt;g&gt;</w:t>
      </w:r>
      <w:r>
        <w:t>, not the other way round</w:t>
      </w:r>
    </w:p>
    <w:p w14:paraId="769DA781" w14:textId="77777777">
      <w:pPr>
        <w:pStyle w:val="Lista"/>
      </w:pPr>
      <w:r>
        <w:t xml:space="preserve">a single </w:t>
      </w:r>
      <w:r>
        <w:rPr>
          <w:rStyle w:val="Code"/>
        </w:rPr>
        <w:t>&lt;num&gt;</w:t>
      </w:r>
      <w:r>
        <w:t xml:space="preserve"> element wraps all of the numeral signs that together express a single number</w:t>
      </w:r>
    </w:p>
    <w:p w14:paraId="192FEDF0" w14:textId="77777777">
      <w:pPr>
        <w:pStyle w:val="Lista"/>
      </w:pPr>
      <w:r>
        <w:lastRenderedPageBreak/>
        <w:t>examples of encoded numbers</w:t>
      </w:r>
    </w:p>
    <w:p w14:paraId="5EC7BD38" w14:textId="77777777">
      <w:pPr>
        <w:pStyle w:val="Lista2"/>
      </w:pPr>
      <w:r>
        <w:t>“three” denoted by a numeral glyph</w:t>
      </w:r>
    </w:p>
    <w:p w14:paraId="2FB2ED8E" w14:textId="77777777">
      <w:pPr>
        <w:pStyle w:val="Lista3"/>
      </w:pP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p>
    <w:p w14:paraId="7E501CC0" w14:textId="77777777">
      <w:pPr>
        <w:pStyle w:val="Lista2"/>
      </w:pPr>
      <w:r>
        <w:t xml:space="preserve">“three” denoted by three vertical bars </w:t>
      </w:r>
    </w:p>
    <w:p w14:paraId="626BEC7B" w14:textId="77777777">
      <w:pPr>
        <w:pStyle w:val="Lista3"/>
      </w:pPr>
      <w:r>
        <w:rPr>
          <w:rStyle w:val="Code"/>
        </w:rPr>
        <w:t xml:space="preserve">&lt;num </w:t>
      </w:r>
      <w:r>
        <w:rPr>
          <w:rStyle w:val="Codeattribute"/>
        </w:rPr>
        <w:t>value</w:t>
      </w:r>
      <w:r>
        <w:rPr>
          <w:rStyle w:val="Code"/>
        </w:rPr>
        <w:t>=</w:t>
      </w:r>
      <w:r>
        <w:rPr>
          <w:rStyle w:val="Codevalue"/>
        </w:rPr>
        <w:t>"3"</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III</w:t>
      </w:r>
      <w:r>
        <w:rPr>
          <w:rStyle w:val="Code"/>
        </w:rPr>
        <w:t>&lt;/g&gt;&lt;/num&gt;</w:t>
      </w:r>
    </w:p>
    <w:p w14:paraId="615C18E7" w14:textId="77777777">
      <w:pPr>
        <w:pStyle w:val="Lista2"/>
      </w:pPr>
      <w:r>
        <w:t>“one hundred and twenty-three” written in place value notation</w:t>
      </w:r>
    </w:p>
    <w:p w14:paraId="2534372D" w14:textId="77777777">
      <w:pPr>
        <w:pStyle w:val="Lista3"/>
      </w:pPr>
      <w:r>
        <w:rPr>
          <w:rStyle w:val="Code"/>
        </w:rPr>
        <w:t xml:space="preserve">&lt;num </w:t>
      </w:r>
      <w:r>
        <w:rPr>
          <w:rStyle w:val="Codeattribute"/>
        </w:rPr>
        <w:t>value</w:t>
      </w:r>
      <w:r>
        <w:rPr>
          <w:rStyle w:val="Code"/>
        </w:rPr>
        <w:t>=</w:t>
      </w:r>
      <w:r>
        <w:rPr>
          <w:rStyle w:val="Codevalue"/>
        </w:rPr>
        <w:t>"123"</w:t>
      </w:r>
      <w:r>
        <w:rPr>
          <w:rStyle w:val="Code"/>
        </w:rPr>
        <w:t>&gt;</w:t>
      </w:r>
      <w:r>
        <w:rPr>
          <w:rStyle w:val="Codetext"/>
        </w:rPr>
        <w:t>123</w:t>
      </w:r>
      <w:r>
        <w:rPr>
          <w:rStyle w:val="Code"/>
        </w:rPr>
        <w:t>&lt;/num&gt;</w:t>
      </w:r>
    </w:p>
    <w:p w14:paraId="5F358A58" w14:textId="77777777">
      <w:pPr>
        <w:pStyle w:val="Lista2"/>
      </w:pPr>
      <w:r>
        <w:t>“one hundred and twenty-three” written in additive notation as |100| + |20| + 3</w:t>
      </w:r>
    </w:p>
    <w:p w14:paraId="2409395F" w14:textId="77777777">
      <w:pPr>
        <w:pStyle w:val="Lista3"/>
      </w:pPr>
      <w:r>
        <w:rPr>
          <w:rStyle w:val="Code"/>
        </w:rPr>
        <w:t xml:space="preserve">&lt;num </w:t>
      </w:r>
      <w:r>
        <w:rPr>
          <w:rStyle w:val="Codeattribute"/>
        </w:rPr>
        <w:t>value</w:t>
      </w:r>
      <w:r>
        <w:rPr>
          <w:rStyle w:val="Code"/>
        </w:rPr>
        <w:t>=</w:t>
      </w:r>
      <w:r>
        <w:rPr>
          <w:rStyle w:val="Codevalue"/>
        </w:rPr>
        <w:t>"123"</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100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20</w:t>
      </w:r>
      <w:r>
        <w:rPr>
          <w:rStyle w:val="Code"/>
        </w:rPr>
        <w:t>&lt;/g&gt;</w:t>
      </w:r>
      <w:r>
        <w:rPr>
          <w:rStyle w:val="Codetext"/>
        </w:rPr>
        <w:t xml:space="preserve"> 3</w:t>
      </w:r>
      <w:r>
        <w:rPr>
          <w:rStyle w:val="Code"/>
        </w:rPr>
        <w:t>&lt;/num&gt;</w:t>
      </w:r>
    </w:p>
    <w:p w14:paraId="10EABE77" w14:textId="77777777">
      <w:pPr>
        <w:pStyle w:val="Lista2"/>
      </w:pPr>
      <w:r>
        <w:t xml:space="preserve">“eight thousand three hundred and ten” written in a combination of multiplicative and additive notation as |1000| × |8| + |100| × |3| + |10| (illustrated in </w:t>
      </w:r>
      <w:r>
        <w:fldChar w:fldCharType="begin"/>
      </w:r>
      <w:r>
        <w:instrText xml:space="preserve"> REF _Ref225952270 \h </w:instrText>
      </w:r>
      <w:r>
        <w:fldChar w:fldCharType="separate"/>
      </w:r>
      <w:r>
        <w:t xml:space="preserve">Exhibit </w:t>
      </w:r>
      <w:r>
        <w:rPr>
          <w:noProof/>
        </w:rPr>
        <w:t>5.2</w:t>
      </w:r>
      <w:r>
        <w:t>.</w:t>
      </w:r>
      <w:r>
        <w:rPr>
          <w:noProof/>
        </w:rPr>
        <w:t>B</w:t>
      </w:r>
      <w:r>
        <w:fldChar w:fldCharType="end"/>
      </w:r>
      <w:r>
        <w:t>)</w:t>
      </w:r>
    </w:p>
    <w:p w14:paraId="1899A39D" w14:textId="77777777">
      <w:pPr>
        <w:pStyle w:val="Lista3"/>
      </w:pPr>
      <w:r>
        <w:rPr>
          <w:rStyle w:val="Code"/>
        </w:rPr>
        <w:t xml:space="preserve">&lt;num </w:t>
      </w:r>
      <w:r>
        <w:rPr>
          <w:rStyle w:val="Codeattribute"/>
        </w:rPr>
        <w:t>value</w:t>
      </w:r>
      <w:r>
        <w:rPr>
          <w:rStyle w:val="Code"/>
        </w:rPr>
        <w:t>=</w:t>
      </w:r>
      <w:r>
        <w:rPr>
          <w:rStyle w:val="Codevalue"/>
        </w:rPr>
        <w:t>"8310"</w:t>
      </w:r>
      <w:r>
        <w:rPr>
          <w:rStyle w:val="Code"/>
        </w:rPr>
        <w:t xml:space="preserve">&gt;&lt;g </w:t>
      </w:r>
      <w:r>
        <w:rPr>
          <w:rStyle w:val="Codeattribute"/>
        </w:rPr>
        <w:t>type=</w:t>
      </w:r>
      <w:r>
        <w:rPr>
          <w:rStyle w:val="Codevalue"/>
        </w:rPr>
        <w:t>"numeral"</w:t>
      </w:r>
      <w:r>
        <w:rPr>
          <w:rStyle w:val="Code"/>
        </w:rPr>
        <w:t>&gt;</w:t>
      </w:r>
      <w:r>
        <w:rPr>
          <w:rStyle w:val="Codetext"/>
        </w:rPr>
        <w:t>1000</w:t>
      </w:r>
      <w:r>
        <w:rPr>
          <w:rStyle w:val="Code"/>
        </w:rPr>
        <w:t>&lt;/g&gt;</w:t>
      </w:r>
      <w:r>
        <w:rPr>
          <w:rStyle w:val="Codetext"/>
        </w:rPr>
        <w:t xml:space="preserve"> 8 </w:t>
      </w:r>
      <w:r>
        <w:rPr>
          <w:rStyle w:val="Code"/>
        </w:rPr>
        <w:t xml:space="preserve">&lt;g </w:t>
      </w:r>
      <w:r>
        <w:rPr>
          <w:rStyle w:val="Codeattribute"/>
        </w:rPr>
        <w:t>type=</w:t>
      </w:r>
      <w:r>
        <w:rPr>
          <w:rStyle w:val="Codevalue"/>
        </w:rPr>
        <w:t>"numeral"</w:t>
      </w:r>
      <w:r>
        <w:rPr>
          <w:rStyle w:val="Code"/>
        </w:rPr>
        <w:t>&gt;</w:t>
      </w:r>
      <w:r>
        <w:rPr>
          <w:rStyle w:val="Codetext"/>
        </w:rPr>
        <w:t>100</w:t>
      </w:r>
      <w:r>
        <w:rPr>
          <w:rStyle w:val="Code"/>
        </w:rPr>
        <w:t>&lt;/g&gt;</w:t>
      </w:r>
      <w:r>
        <w:rPr>
          <w:rStyle w:val="Codetext"/>
        </w:rPr>
        <w:t xml:space="preserve"> 3 </w:t>
      </w:r>
      <w:r>
        <w:rPr>
          <w:rStyle w:val="Code"/>
        </w:rPr>
        <w:t xml:space="preserve">&lt;g </w:t>
      </w:r>
      <w:r>
        <w:rPr>
          <w:rStyle w:val="Codeattribute"/>
        </w:rPr>
        <w:t>type=</w:t>
      </w:r>
      <w:r>
        <w:rPr>
          <w:rStyle w:val="Codevalue"/>
        </w:rPr>
        <w:t>"numeral"</w:t>
      </w:r>
      <w:r>
        <w:rPr>
          <w:rStyle w:val="Code"/>
        </w:rPr>
        <w:t>&gt;</w:t>
      </w:r>
      <w:r>
        <w:rPr>
          <w:rStyle w:val="Codetext"/>
        </w:rPr>
        <w:t>10</w:t>
      </w:r>
      <w:r>
        <w:rPr>
          <w:rStyle w:val="Code"/>
        </w:rPr>
        <w:t>&lt;/g&gt;&lt;/num&gt;</w:t>
      </w:r>
    </w:p>
    <w:p w14:paraId="59268358" w14:textId="77777777">
      <w:pPr>
        <w:pStyle w:val="Lista2"/>
      </w:pPr>
      <w:r>
        <w:t>“ninety” written as the Khmer digit 80 and digit 10</w:t>
      </w:r>
    </w:p>
    <w:p w14:paraId="3589A17C" w14:textId="77777777">
      <w:pPr>
        <w:pStyle w:val="Lista3"/>
      </w:pPr>
      <w:r>
        <w:rPr>
          <w:rStyle w:val="Code"/>
        </w:rPr>
        <w:t xml:space="preserve">&lt;num </w:t>
      </w:r>
      <w:r>
        <w:rPr>
          <w:rStyle w:val="Codeattribute"/>
        </w:rPr>
        <w:t>value</w:t>
      </w:r>
      <w:r>
        <w:rPr>
          <w:rStyle w:val="Code"/>
        </w:rPr>
        <w:t>=</w:t>
      </w:r>
      <w:r>
        <w:rPr>
          <w:rStyle w:val="Codevalue"/>
        </w:rPr>
        <w:t>"90"</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80</w:t>
      </w:r>
      <w:r>
        <w:rPr>
          <w:rStyle w:val="Code"/>
        </w:rPr>
        <w:t>&lt;/g&gt;</w:t>
      </w:r>
      <w:r>
        <w:rPr>
          <w:rStyle w:val="Codetext"/>
        </w:rPr>
        <w:t xml:space="preserve">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10</w:t>
      </w:r>
      <w:r>
        <w:rPr>
          <w:rStyle w:val="Code"/>
        </w:rPr>
        <w:t>&lt;/g&gt;&lt;/num&gt;</w:t>
      </w:r>
    </w:p>
    <w:p w14:paraId="7C04D5B4" w14:textId="77777777">
      <w:pPr>
        <w:pStyle w:val="Lista2"/>
      </w:pPr>
      <w:r>
        <w:t>“one thousand” written with one sign for |1000|</w:t>
      </w:r>
    </w:p>
    <w:p w14:paraId="60875B6A" w14:textId="77777777">
      <w:pPr>
        <w:pStyle w:val="Lista3"/>
      </w:pPr>
      <w:r>
        <w:rPr>
          <w:rStyle w:val="Code"/>
        </w:rPr>
        <w:t xml:space="preserve">&lt;num </w:t>
      </w:r>
      <w:r>
        <w:rPr>
          <w:rStyle w:val="Codeattribute"/>
        </w:rPr>
        <w:t>value</w:t>
      </w:r>
      <w:r>
        <w:rPr>
          <w:rStyle w:val="Code"/>
        </w:rPr>
        <w:t>=</w:t>
      </w:r>
      <w:r>
        <w:rPr>
          <w:rStyle w:val="Codevalue"/>
        </w:rPr>
        <w:t>"1000"</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1000</w:t>
      </w:r>
      <w:r>
        <w:rPr>
          <w:rStyle w:val="Code"/>
        </w:rPr>
        <w:t>&lt;/g&gt;&lt;/num&gt;</w:t>
      </w:r>
    </w:p>
    <w:p w14:paraId="43CAE99E" w14:textId="77777777">
      <w:pPr>
        <w:pStyle w:val="Lista2"/>
      </w:pPr>
      <w:r>
        <w:t>“one half” written with a single fraction sign</w:t>
      </w:r>
    </w:p>
    <w:p w14:paraId="5A7132C1" w14:textId="77777777">
      <w:pPr>
        <w:pStyle w:val="Lista3"/>
      </w:pPr>
      <w:r>
        <w:rPr>
          <w:rStyle w:val="Code"/>
        </w:rPr>
        <w:t xml:space="preserve">&lt;num </w:t>
      </w:r>
      <w:r>
        <w:rPr>
          <w:rStyle w:val="Codeattribute"/>
        </w:rPr>
        <w:t>value</w:t>
      </w:r>
      <w:r>
        <w:rPr>
          <w:rStyle w:val="Code"/>
        </w:rPr>
        <w:t>=</w:t>
      </w:r>
      <w:r>
        <w:rPr>
          <w:rStyle w:val="Codevalue"/>
        </w:rPr>
        <w:t>"0.5"</w:t>
      </w:r>
      <w:r>
        <w:rPr>
          <w:rStyle w:val="Code"/>
        </w:rPr>
        <w:t>&gt;</w:t>
      </w:r>
      <w:r>
        <w:rPr>
          <w:rStyle w:val="Codetext"/>
        </w:rPr>
        <w:t>½</w:t>
      </w:r>
      <w:r>
        <w:rPr>
          <w:rStyle w:val="Code"/>
        </w:rPr>
        <w:t>&lt;/num&gt;</w:t>
      </w:r>
    </w:p>
    <w:p w14:paraId="43B50695" w14:textId="77777777">
      <w:pPr>
        <w:pStyle w:val="Lista2"/>
      </w:pPr>
      <w:r>
        <w:t>“one eighth” written with a single fraction sign</w:t>
      </w:r>
    </w:p>
    <w:p w14:paraId="12CA4E42" w14:textId="77777777">
      <w:pPr>
        <w:pStyle w:val="Lista3"/>
      </w:pPr>
      <w:r>
        <w:rPr>
          <w:rStyle w:val="Code"/>
        </w:rPr>
        <w:t xml:space="preserve">&lt;num </w:t>
      </w:r>
      <w:r>
        <w:rPr>
          <w:rStyle w:val="Codeattribute"/>
        </w:rPr>
        <w:t>value</w:t>
      </w:r>
      <w:r>
        <w:rPr>
          <w:rStyle w:val="Code"/>
        </w:rPr>
        <w:t>=</w:t>
      </w:r>
      <w:r>
        <w:rPr>
          <w:rStyle w:val="Codevalue"/>
        </w:rPr>
        <w:t>"0.125"</w:t>
      </w:r>
      <w:r>
        <w:rPr>
          <w:rStyle w:val="Code"/>
        </w:rPr>
        <w:t xml:space="preserve">&gt;&lt;g </w:t>
      </w:r>
      <w:r>
        <w:rPr>
          <w:rStyle w:val="Codeattribute"/>
        </w:rPr>
        <w:t>type</w:t>
      </w:r>
      <w:r>
        <w:rPr>
          <w:rStyle w:val="Code"/>
        </w:rPr>
        <w:t>=</w:t>
      </w:r>
      <w:r>
        <w:rPr>
          <w:rStyle w:val="Codevalue"/>
        </w:rPr>
        <w:t>"numeral"</w:t>
      </w:r>
      <w:r>
        <w:rPr>
          <w:rStyle w:val="Code"/>
        </w:rPr>
        <w:t>&gt;</w:t>
      </w:r>
      <w:r>
        <w:rPr>
          <w:rStyle w:val="Codetext"/>
        </w:rPr>
        <w:t>1/8</w:t>
      </w:r>
      <w:r>
        <w:rPr>
          <w:rStyle w:val="Code"/>
        </w:rPr>
        <w:t>&lt;/g&gt;&lt;/num&gt;</w:t>
      </w:r>
    </w:p>
    <w:p w14:paraId="7629026E" w14:textId="77777777">
      <w:pPr>
        <w:pStyle w:val="Lista2"/>
      </w:pPr>
      <w:r>
        <w:t>“three and one third” written as a digit 3 and one sign standing for “one third”</w:t>
      </w:r>
    </w:p>
    <w:p w14:paraId="1E4F289B" w14:textId="77777777">
      <w:pPr>
        <w:pStyle w:val="Lista3"/>
      </w:pPr>
      <w:r>
        <w:rPr>
          <w:rStyle w:val="Code"/>
        </w:rPr>
        <w:t xml:space="preserve">&lt;num </w:t>
      </w:r>
      <w:r>
        <w:rPr>
          <w:rStyle w:val="Codeattribute"/>
        </w:rPr>
        <w:t>value</w:t>
      </w:r>
      <w:r>
        <w:rPr>
          <w:rStyle w:val="Code"/>
        </w:rPr>
        <w:t>=</w:t>
      </w:r>
      <w:r>
        <w:rPr>
          <w:rStyle w:val="Codevalue"/>
        </w:rPr>
        <w:t>"3.333"</w:t>
      </w:r>
      <w:r>
        <w:rPr>
          <w:rStyle w:val="Code"/>
        </w:rPr>
        <w:t>&gt;</w:t>
      </w:r>
      <w:r>
        <w:rPr>
          <w:rStyle w:val="Codetext"/>
        </w:rPr>
        <w:t>3 ⅓</w:t>
      </w:r>
      <w:r>
        <w:rPr>
          <w:rStyle w:val="Code"/>
        </w:rPr>
        <w:t>&lt;/num&gt;</w:t>
      </w:r>
    </w:p>
    <w:p w14:paraId="5DD5727C" w14:textId="77777777">
      <w:pPr>
        <w:pStyle w:val="Lista2"/>
        <w:rPr>
          <w:rFonts w:ascii="Gentium Plus" w:hAnsi="Gentium Plus" w:cs="Arial Unicode MS"/>
        </w:rPr>
      </w:pPr>
      <w:r>
        <w:t>“three and one eighth” written as a digit 3 and one sign standing for “one eighth”</w:t>
      </w:r>
    </w:p>
    <w:p w14:paraId="6095F761" w14:textId="77777777">
      <w:pPr>
        <w:pStyle w:val="Lista3"/>
        <w:rPr>
          <w:rStyle w:val="Code"/>
          <w:rFonts w:ascii="Gentium Plus" w:hAnsi="Gentium Plus" w:cs="Arial Unicode MS"/>
          <w:noProof w:val="0"/>
          <w:color w:val="auto"/>
          <w:shd w:val="clear" w:color="auto" w:fill="auto"/>
        </w:rPr>
      </w:pPr>
      <w:r>
        <w:rPr>
          <w:rStyle w:val="Code"/>
        </w:rPr>
        <w:t xml:space="preserve">&lt;num </w:t>
      </w:r>
      <w:r>
        <w:rPr>
          <w:rStyle w:val="Codeattribute"/>
        </w:rPr>
        <w:t>value</w:t>
      </w:r>
      <w:r>
        <w:rPr>
          <w:rStyle w:val="Code"/>
        </w:rPr>
        <w:t>=</w:t>
      </w:r>
      <w:r>
        <w:rPr>
          <w:rStyle w:val="Codevalue"/>
        </w:rPr>
        <w:t>"3.125"</w:t>
      </w:r>
      <w:r>
        <w:rPr>
          <w:rStyle w:val="Code"/>
        </w:rPr>
        <w:t>&gt;</w:t>
      </w:r>
      <w:r>
        <w:rPr>
          <w:rStyle w:val="Codetext"/>
        </w:rPr>
        <w:t xml:space="preserve">3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1/8</w:t>
      </w:r>
      <w:r>
        <w:rPr>
          <w:rStyle w:val="Code"/>
        </w:rPr>
        <w:t>&lt;/g&gt;&lt;/num&gt;</w:t>
      </w:r>
    </w:p>
    <w:p w14:paraId="5EEAC79A" w14:textId="275567DE">
      <w:pPr>
        <w:pStyle w:val="Lista2"/>
      </w:pPr>
      <w:r>
        <w:t xml:space="preserve">see also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24841C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F8528F" w14:textId="77777777">
            <w:pPr>
              <w:pStyle w:val="Kpalrs"/>
            </w:pPr>
            <w:bookmarkStart w:id="766" w:name="_du4pk4npc5nc" w:colFirst="0" w:colLast="0"/>
            <w:bookmarkStart w:id="767" w:name="_Ref182560821"/>
            <w:bookmarkEnd w:id="766"/>
            <w:r>
              <w:t xml:space="preserve">Exhibit </w:t>
            </w:r>
            <w:fldSimple w:instr=" STYLEREF 2 \s ">
              <w:r>
                <w:rPr>
                  <w:noProof/>
                </w:rPr>
                <w:t>9.1</w:t>
              </w:r>
            </w:fldSimple>
            <w:r>
              <w:t>.</w:t>
            </w:r>
            <w:fldSimple w:instr=" SEQ Exhibit \* ALPHABETIC \s 2 ">
              <w:r>
                <w:rPr>
                  <w:noProof/>
                </w:rPr>
                <w:t>A</w:t>
              </w:r>
            </w:fldSimple>
            <w:bookmarkEnd w:id="767"/>
            <w:r>
              <w:t>: numerals in a date with full encoding</w:t>
            </w:r>
          </w:p>
        </w:tc>
      </w:tr>
      <w:tr w14:paraId="1A9FE506" w14:textId="77777777">
        <w:tc>
          <w:tcPr>
            <w:tcW w:w="5000" w:type="pct"/>
            <w:vAlign w:val="center"/>
          </w:tcPr>
          <w:p w14:paraId="7B3AD23A" w14:textId="77777777">
            <w:pPr>
              <w:pStyle w:val="Image"/>
              <w:rPr>
                <w:rStyle w:val="Code"/>
              </w:rPr>
            </w:pPr>
            <w:r>
              <w:drawing>
                <wp:inline distT="0" distB="0" distL="0" distR="0" wp14:anchorId="24C1C785" wp14:editId="3910090A">
                  <wp:extent cx="6114415" cy="1194435"/>
                  <wp:effectExtent l="0" t="0" r="635" b="5715"/>
                  <wp:docPr id="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14415" cy="1194435"/>
                          </a:xfrm>
                          <a:prstGeom prst="rect">
                            <a:avLst/>
                          </a:prstGeom>
                          <a:noFill/>
                          <a:ln>
                            <a:noFill/>
                          </a:ln>
                        </pic:spPr>
                      </pic:pic>
                    </a:graphicData>
                  </a:graphic>
                </wp:inline>
              </w:drawing>
            </w:r>
          </w:p>
        </w:tc>
      </w:tr>
      <w:tr w14:paraId="41826B0D" w14:textId="77777777">
        <w:tc>
          <w:tcPr>
            <w:tcW w:w="5000" w:type="pct"/>
          </w:tcPr>
          <w:p w14:paraId="0321C4AA" w14:textId="77777777">
            <w:pPr>
              <w:pStyle w:val="CodeParagraph"/>
              <w:keepNext/>
              <w:rPr>
                <w:rStyle w:val="Code"/>
              </w:rPr>
            </w:pPr>
            <w:r>
              <w:rPr>
                <w:rStyle w:val="Code"/>
              </w:rPr>
              <w:t>&lt;abbr&gt;</w:t>
            </w:r>
            <w:r>
              <w:rPr>
                <w:rStyle w:val="Codetext"/>
              </w:rPr>
              <w:t>saṁ</w:t>
            </w:r>
            <w:r>
              <w:rPr>
                <w:rStyle w:val="Code"/>
              </w:rPr>
              <w:t xml:space="preserve">&lt;/abbr&gt; &lt;num </w:t>
            </w:r>
            <w:r>
              <w:rPr>
                <w:rStyle w:val="Codeattribute"/>
              </w:rPr>
              <w:t>value=</w:t>
            </w:r>
            <w:r>
              <w:rPr>
                <w:rStyle w:val="Codevalue"/>
              </w:rPr>
              <w:t>"18"</w:t>
            </w:r>
            <w:r>
              <w:rPr>
                <w:rStyle w:val="Code"/>
              </w:rPr>
              <w:t xml:space="preserve">&gt;&lt;g </w:t>
            </w:r>
            <w:r>
              <w:rPr>
                <w:rStyle w:val="Codeattribute"/>
              </w:rPr>
              <w:t>type=</w:t>
            </w:r>
            <w:r>
              <w:rPr>
                <w:rStyle w:val="Codevalue"/>
              </w:rPr>
              <w:t>"numeral"</w:t>
            </w:r>
            <w:r>
              <w:rPr>
                <w:rStyle w:val="Code"/>
              </w:rPr>
              <w:t>&gt;</w:t>
            </w:r>
            <w:r>
              <w:rPr>
                <w:rStyle w:val="Codetext"/>
              </w:rPr>
              <w:t>10</w:t>
            </w:r>
            <w:r>
              <w:rPr>
                <w:rStyle w:val="Code"/>
              </w:rPr>
              <w:t>&lt;/g&gt;</w:t>
            </w:r>
            <w:r>
              <w:rPr>
                <w:rStyle w:val="Codetext"/>
              </w:rPr>
              <w:t xml:space="preserve"> 8</w:t>
            </w:r>
            <w:r>
              <w:rPr>
                <w:rStyle w:val="Code"/>
              </w:rPr>
              <w:t>&lt;/num&gt; &lt;abbr&gt;</w:t>
            </w:r>
            <w:r>
              <w:rPr>
                <w:rStyle w:val="Codetext"/>
              </w:rPr>
              <w:t>he</w:t>
            </w:r>
            <w:r>
              <w:rPr>
                <w:rStyle w:val="Code"/>
              </w:rPr>
              <w:t xml:space="preserve">&lt;/abbr&gt; &lt;num </w:t>
            </w:r>
            <w:r>
              <w:rPr>
                <w:rStyle w:val="Codeattribute"/>
              </w:rPr>
              <w:t>value=</w:t>
            </w:r>
            <w:r>
              <w:rPr>
                <w:rStyle w:val="Codevalue"/>
              </w:rPr>
              <w:t>"8"</w:t>
            </w:r>
            <w:r>
              <w:rPr>
                <w:rStyle w:val="Code"/>
              </w:rPr>
              <w:t>&gt;</w:t>
            </w:r>
            <w:r>
              <w:rPr>
                <w:rStyle w:val="Codetext"/>
              </w:rPr>
              <w:t>8</w:t>
            </w:r>
            <w:r>
              <w:rPr>
                <w:rStyle w:val="Code"/>
              </w:rPr>
              <w:t>&lt;/num&gt; &lt;abbr&gt;</w:t>
            </w:r>
            <w:r>
              <w:rPr>
                <w:rStyle w:val="Codetext"/>
              </w:rPr>
              <w:t>di</w:t>
            </w:r>
            <w:r>
              <w:rPr>
                <w:rStyle w:val="Code"/>
              </w:rPr>
              <w:t xml:space="preserve">&lt;/abbr&gt; &lt;num </w:t>
            </w:r>
            <w:r>
              <w:rPr>
                <w:rStyle w:val="Codeattribute"/>
              </w:rPr>
              <w:t>value=</w:t>
            </w:r>
            <w:r>
              <w:rPr>
                <w:rStyle w:val="Codevalue"/>
              </w:rPr>
              <w:t>"15"</w:t>
            </w:r>
            <w:r>
              <w:rPr>
                <w:rStyle w:val="Code"/>
              </w:rPr>
              <w:t xml:space="preserve">&gt;&lt;g </w:t>
            </w:r>
            <w:r>
              <w:rPr>
                <w:rStyle w:val="Codeattribute"/>
              </w:rPr>
              <w:t>type=</w:t>
            </w:r>
            <w:r>
              <w:rPr>
                <w:rStyle w:val="Codevalue"/>
              </w:rPr>
              <w:t>"numeral"</w:t>
            </w:r>
            <w:r>
              <w:rPr>
                <w:rStyle w:val="Code"/>
              </w:rPr>
              <w:t>&gt;</w:t>
            </w:r>
            <w:r>
              <w:rPr>
                <w:rStyle w:val="Codetext"/>
              </w:rPr>
              <w:t>10</w:t>
            </w:r>
            <w:r>
              <w:rPr>
                <w:rStyle w:val="Code"/>
              </w:rPr>
              <w:t xml:space="preserve">&lt;/g&gt; </w:t>
            </w:r>
            <w:r>
              <w:rPr>
                <w:rStyle w:val="Codetext"/>
              </w:rPr>
              <w:t>5</w:t>
            </w:r>
            <w:r>
              <w:rPr>
                <w:rStyle w:val="Code"/>
              </w:rPr>
              <w:t>&lt;/num&gt;</w:t>
            </w:r>
          </w:p>
        </w:tc>
      </w:tr>
      <w:tr w14:paraId="1618748C" w14:textId="77777777">
        <w:tc>
          <w:tcPr>
            <w:tcW w:w="5000" w:type="pct"/>
          </w:tcPr>
          <w:p w14:paraId="43519B88" w14:textId="77777777">
            <w:pPr>
              <w:pStyle w:val="TableNote"/>
            </w:pPr>
            <w:r>
              <w:t xml:space="preserve">the date is </w:t>
            </w:r>
            <w:r>
              <w:rPr>
                <w:rStyle w:val="Foreign"/>
              </w:rPr>
              <w:t>saṁ 18 he 8 di 15</w:t>
            </w:r>
            <w:r>
              <w:t>, meaning the 15</w:t>
            </w:r>
            <w:r>
              <w:rPr>
                <w:vertAlign w:val="superscript"/>
              </w:rPr>
              <w:t>th</w:t>
            </w:r>
            <w:r>
              <w:t xml:space="preserve"> day </w:t>
            </w:r>
            <w:r>
              <w:rPr>
                <w:noProof/>
              </w:rPr>
              <w:t>(</w:t>
            </w:r>
            <w:r>
              <w:rPr>
                <w:rStyle w:val="Foreign"/>
              </w:rPr>
              <w:t>divasa</w:t>
            </w:r>
            <w:r>
              <w:t>) of the 8</w:t>
            </w:r>
            <w:r>
              <w:rPr>
                <w:vertAlign w:val="superscript"/>
              </w:rPr>
              <w:t>th</w:t>
            </w:r>
            <w:r>
              <w:t xml:space="preserve"> fortnight of the cold season </w:t>
            </w:r>
            <w:r>
              <w:rPr>
                <w:noProof/>
              </w:rPr>
              <w:t>(</w:t>
            </w:r>
            <w:r>
              <w:rPr>
                <w:rStyle w:val="Foreign"/>
              </w:rPr>
              <w:t>hemanta</w:t>
            </w:r>
            <w:r>
              <w:t xml:space="preserve">) in the year </w:t>
            </w:r>
            <w:r>
              <w:rPr>
                <w:noProof/>
              </w:rPr>
              <w:t>(</w:t>
            </w:r>
            <w:r>
              <w:rPr>
                <w:rStyle w:val="Foreign"/>
              </w:rPr>
              <w:t>saṁvat</w:t>
            </w:r>
            <w:r>
              <w:t>) 18</w:t>
            </w:r>
          </w:p>
          <w:p w14:paraId="2CC877AA" w14:textId="77777777">
            <w:pPr>
              <w:pStyle w:val="TableNote"/>
            </w:pPr>
            <w:r>
              <w:t xml:space="preserve">the glyphs representing the numeral 10 are wrapped in </w:t>
            </w:r>
            <w:r>
              <w:rPr>
                <w:rStyle w:val="Code"/>
              </w:rPr>
              <w:t>&lt;g&gt;</w:t>
            </w:r>
            <w:r>
              <w:t xml:space="preserve"> and are separated by a space from the adjacent text as well as from the adjacent numeric characters representing decimal digits</w:t>
            </w:r>
          </w:p>
          <w:p w14:paraId="21A384A2" w14:textId="77777777">
            <w:pPr>
              <w:pStyle w:val="TableNote"/>
            </w:pPr>
            <w:r>
              <w:t xml:space="preserve">for encoding the value of a number with </w:t>
            </w:r>
            <w:r>
              <w:rPr>
                <w:rStyle w:val="Code"/>
              </w:rPr>
              <w:t>&lt;num&gt;</w:t>
            </w:r>
            <w:r>
              <w:t>, see §</w:t>
            </w:r>
            <w:r>
              <w:fldChar w:fldCharType="begin"/>
            </w:r>
            <w:r>
              <w:instrText xml:space="preserve"> REF _Ref43980607 \r \h </w:instrText>
            </w:r>
            <w:r>
              <w:fldChar w:fldCharType="separate"/>
            </w:r>
            <w:r>
              <w:t>9.1</w:t>
            </w:r>
            <w:r>
              <w:fldChar w:fldCharType="end"/>
            </w:r>
          </w:p>
          <w:p w14:paraId="19240675" w14:textId="77777777">
            <w:pPr>
              <w:pStyle w:val="TableNote"/>
            </w:pPr>
            <w:r>
              <w:t>for the encoding of abbreviations, see §</w:t>
            </w:r>
            <w:r>
              <w:fldChar w:fldCharType="begin"/>
            </w:r>
            <w:r>
              <w:instrText xml:space="preserve"> REF _Ref43989327 \r \h </w:instrText>
            </w:r>
            <w:r>
              <w:fldChar w:fldCharType="separate"/>
            </w:r>
            <w:r>
              <w:t>8.2.2</w:t>
            </w:r>
            <w:r>
              <w:fldChar w:fldCharType="end"/>
            </w:r>
          </w:p>
        </w:tc>
      </w:tr>
    </w:tbl>
    <w:p w14:paraId="433BE19F" w14:textId="77777777">
      <w:pPr>
        <w:pStyle w:val="Cmsor4"/>
      </w:pPr>
      <w:bookmarkStart w:id="768" w:name="_Ref72139759"/>
      <w:r>
        <w:t>Numbers expressed in words</w:t>
      </w:r>
      <w:bookmarkEnd w:id="768"/>
    </w:p>
    <w:p w14:paraId="6B4B6487" w14:textId="77777777">
      <w:pPr>
        <w:pStyle w:val="Lista"/>
      </w:pPr>
      <w:r>
        <w:t xml:space="preserve">words expressing numbers may be optionally encoded with </w:t>
      </w:r>
      <w:r>
        <w:rPr>
          <w:rStyle w:val="Code"/>
        </w:rPr>
        <w:t>&lt;num&gt;</w:t>
      </w:r>
      <w:r>
        <w:t>, including</w:t>
      </w:r>
    </w:p>
    <w:p w14:paraId="465C9218" w14:textId="77777777">
      <w:pPr>
        <w:pStyle w:val="Lista2"/>
      </w:pPr>
      <w:r>
        <w:t xml:space="preserve">numbers spelled out in words such as </w:t>
      </w:r>
      <w:r>
        <w:rPr>
          <w:rStyle w:val="Foreign"/>
        </w:rPr>
        <w:t>ekaḥ</w:t>
      </w:r>
      <w:r>
        <w:t xml:space="preserve"> and </w:t>
      </w:r>
      <w:r>
        <w:rPr>
          <w:rStyle w:val="Foreign"/>
        </w:rPr>
        <w:t>aṣṭottaraśataṁ</w:t>
      </w:r>
    </w:p>
    <w:p w14:paraId="685D70B8" w14:textId="77777777">
      <w:pPr>
        <w:pStyle w:val="Lista2"/>
      </w:pPr>
      <w:r>
        <w:t xml:space="preserve">“coded” numbers </w:t>
      </w:r>
      <w:r>
        <w:rPr>
          <w:noProof/>
        </w:rPr>
        <w:t>(</w:t>
      </w:r>
      <w:r>
        <w:rPr>
          <w:rStyle w:val="Foreign"/>
        </w:rPr>
        <w:t>bhūtasaṁkhyā</w:t>
      </w:r>
      <w:r>
        <w:t xml:space="preserve">, </w:t>
      </w:r>
      <w:r>
        <w:rPr>
          <w:rStyle w:val="Foreign"/>
        </w:rPr>
        <w:t>candrasengkala</w:t>
      </w:r>
      <w:r>
        <w:rPr>
          <w:noProof/>
        </w:rPr>
        <w:t>/</w:t>
      </w:r>
      <w:r>
        <w:rPr>
          <w:rStyle w:val="Foreign"/>
        </w:rPr>
        <w:t>sengkalan</w:t>
      </w:r>
      <w:r>
        <w:t>) as used for example in chronograms</w:t>
      </w:r>
    </w:p>
    <w:p w14:paraId="63BA200D" w14:textId="77777777">
      <w:pPr>
        <w:pStyle w:val="Lista"/>
      </w:pPr>
      <w:r>
        <w:t xml:space="preserve">when a number is expressed in multiple words, preferably tag the entire phrase with </w:t>
      </w:r>
      <w:r>
        <w:rPr>
          <w:rStyle w:val="Code"/>
        </w:rPr>
        <w:t>&lt;num&gt;</w:t>
      </w:r>
      <w:r>
        <w:t xml:space="preserve"> and encode the total value as its </w:t>
      </w:r>
      <w:r>
        <w:rPr>
          <w:rStyle w:val="Codeattribute"/>
        </w:rPr>
        <w:t>@value</w:t>
      </w:r>
    </w:p>
    <w:p w14:paraId="766C916C" w14:textId="77777777">
      <w:pPr>
        <w:pStyle w:val="Lista2"/>
      </w:pPr>
      <w:r>
        <w:t xml:space="preserve">in such cases, words not in themselves expressing a number may be included within the scope of </w:t>
      </w:r>
      <w:r>
        <w:rPr>
          <w:rStyle w:val="Code"/>
        </w:rPr>
        <w:t>&lt;num&gt;</w:t>
      </w:r>
      <w:r>
        <w:t xml:space="preserve"> if they are intermingled with numeral words</w:t>
      </w:r>
    </w:p>
    <w:p w14:paraId="3E13E25B" w14:textId="77777777">
      <w:pPr>
        <w:pStyle w:val="Lista2"/>
      </w:pPr>
      <w:r>
        <w:lastRenderedPageBreak/>
        <w:t>note that numeral expressions extending across block-level elements (such as verse lines) cannot be tagged in this way without complicated encoding that we prefer to avoid</w:t>
      </w:r>
    </w:p>
    <w:p w14:paraId="1BDF9C4C" w14:textId="77777777">
      <w:pPr>
        <w:pStyle w:val="Lista"/>
      </w:pPr>
      <w:r>
        <w:t xml:space="preserve">adding </w:t>
      </w:r>
      <w:r>
        <w:rPr>
          <w:rStyle w:val="Code"/>
        </w:rPr>
        <w:t>&lt;num&gt;</w:t>
      </w:r>
      <w:r>
        <w:t xml:space="preserve"> is recommended for numbers expressed with a combination of words and numeral signs, e.g.</w:t>
      </w:r>
    </w:p>
    <w:p w14:paraId="6C7BBDEA" w14:textId="77777777">
      <w:pPr>
        <w:pStyle w:val="Lista2"/>
      </w:pPr>
      <w:r>
        <w:rPr>
          <w:rStyle w:val="Code"/>
        </w:rPr>
        <w:t xml:space="preserve">&lt;num </w:t>
      </w:r>
      <w:r>
        <w:rPr>
          <w:rStyle w:val="Codeattribute"/>
        </w:rPr>
        <w:t>value</w:t>
      </w:r>
      <w:r>
        <w:rPr>
          <w:rStyle w:val="Code"/>
        </w:rPr>
        <w:t>="</w:t>
      </w:r>
      <w:r>
        <w:rPr>
          <w:rStyle w:val="Codevalue"/>
        </w:rPr>
        <w:t>557</w:t>
      </w:r>
      <w:r>
        <w:rPr>
          <w:rStyle w:val="Code"/>
        </w:rPr>
        <w:t>"&gt;</w:t>
      </w:r>
      <w:r>
        <w:rPr>
          <w:rStyle w:val="Codetext"/>
        </w:rPr>
        <w:t xml:space="preserve">slik· </w:t>
      </w:r>
      <w:r>
        <w:rPr>
          <w:rStyle w:val="Code"/>
        </w:rPr>
        <w:t xml:space="preserve">&lt;g </w:t>
      </w:r>
      <w:r>
        <w:rPr>
          <w:rStyle w:val="Codeattribute"/>
        </w:rPr>
        <w:t>type</w:t>
      </w:r>
      <w:r>
        <w:rPr>
          <w:rStyle w:val="Code"/>
        </w:rPr>
        <w:t>="</w:t>
      </w:r>
      <w:r>
        <w:rPr>
          <w:rStyle w:val="Codevalue"/>
        </w:rPr>
        <w:t>numeral</w:t>
      </w:r>
      <w:r>
        <w:rPr>
          <w:rStyle w:val="Code"/>
        </w:rPr>
        <w:t>"&gt;</w:t>
      </w:r>
      <w:r>
        <w:rPr>
          <w:rStyle w:val="Codetext"/>
        </w:rPr>
        <w:t>I</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100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40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10</w:t>
      </w:r>
      <w:r>
        <w:rPr>
          <w:rStyle w:val="Code"/>
        </w:rPr>
        <w:t xml:space="preserve">&lt;/g&gt; &lt;g </w:t>
      </w:r>
      <w:r>
        <w:rPr>
          <w:rStyle w:val="Codeattribute"/>
        </w:rPr>
        <w:t>type</w:t>
      </w:r>
      <w:r>
        <w:rPr>
          <w:rStyle w:val="Code"/>
        </w:rPr>
        <w:t>="</w:t>
      </w:r>
      <w:r>
        <w:rPr>
          <w:rStyle w:val="Codevalue"/>
        </w:rPr>
        <w:t>numeral</w:t>
      </w:r>
      <w:r>
        <w:rPr>
          <w:rStyle w:val="Code"/>
        </w:rPr>
        <w:t>"&gt;</w:t>
      </w:r>
      <w:r>
        <w:rPr>
          <w:rStyle w:val="Codetext"/>
        </w:rPr>
        <w:t>7</w:t>
      </w:r>
      <w:r>
        <w:rPr>
          <w:rStyle w:val="Code"/>
        </w:rPr>
        <w:t>&lt;g&gt;&lt;/num&gt;</w:t>
      </w:r>
    </w:p>
    <w:p w14:paraId="62319D96" w14:textId="77777777">
      <w:pPr>
        <w:pStyle w:val="Lista2"/>
      </w:pPr>
      <w:r>
        <w:rPr>
          <w:rStyle w:val="Code"/>
        </w:rPr>
        <w:t xml:space="preserve">&lt;num </w:t>
      </w:r>
      <w:r>
        <w:rPr>
          <w:rStyle w:val="Codeattribute"/>
        </w:rPr>
        <w:t>value</w:t>
      </w:r>
      <w:r>
        <w:rPr>
          <w:rStyle w:val="Code"/>
        </w:rPr>
        <w:t>="</w:t>
      </w:r>
      <w:r>
        <w:rPr>
          <w:rStyle w:val="Codevalue"/>
        </w:rPr>
        <w:t>186</w:t>
      </w:r>
      <w:r>
        <w:rPr>
          <w:rStyle w:val="Code"/>
        </w:rPr>
        <w:t>"&gt;</w:t>
      </w:r>
      <w:r>
        <w:rPr>
          <w:rStyle w:val="Codetext"/>
        </w:rPr>
        <w:t>sā rutuḥ 86</w:t>
      </w:r>
      <w:r>
        <w:rPr>
          <w:rStyle w:val="Code"/>
        </w:rPr>
        <w:t>&lt;/num&gt;</w:t>
      </w:r>
    </w:p>
    <w:p w14:paraId="24776CC5" w14:textId="77777777">
      <w:pPr>
        <w:pStyle w:val="Cmsor3"/>
      </w:pPr>
      <w:bookmarkStart w:id="769" w:name="_Ref231892505"/>
      <w:bookmarkStart w:id="770" w:name="_Toc243900375"/>
      <w:r>
        <w:t>Difficulties in reading numbers</w:t>
      </w:r>
      <w:bookmarkEnd w:id="769"/>
      <w:bookmarkEnd w:id="770"/>
    </w:p>
    <w:p w14:paraId="14947CEA" w14:textId="77777777">
      <w:pPr>
        <w:pStyle w:val="Lista"/>
      </w:pPr>
      <w:r>
        <w:t xml:space="preserve">problems with reading numeral signs </w:t>
      </w:r>
      <w:r>
        <w:rPr>
          <w:noProof/>
        </w:rPr>
        <w:t>(</w:t>
      </w:r>
      <w:r>
        <w:t xml:space="preserve">e.g. lacunae, unclear and ambivalent readings) can and must be marked up in the same way as other legibility issues </w:t>
      </w:r>
      <w:r>
        <w:rPr>
          <w:noProof/>
        </w:rPr>
        <w:t>(</w:t>
      </w:r>
      <w:r>
        <w:t>§</w:t>
      </w:r>
      <w:r>
        <w:fldChar w:fldCharType="begin"/>
      </w:r>
      <w:r>
        <w:instrText xml:space="preserve"> REF _Ref231895504 \r \h </w:instrText>
      </w:r>
      <w:r>
        <w:fldChar w:fldCharType="separate"/>
      </w:r>
      <w:r>
        <w:t>6</w:t>
      </w:r>
      <w:r>
        <w:fldChar w:fldCharType="end"/>
      </w:r>
      <w:r>
        <w:t>)</w:t>
      </w:r>
    </w:p>
    <w:p w14:paraId="1F88CB17" w14:textId="77777777">
      <w:pPr>
        <w:pStyle w:val="Lista"/>
      </w:pPr>
      <w:r>
        <w:t>if a numeral sign is unclear or ambivalent, the applicable tags must be placed</w:t>
      </w:r>
    </w:p>
    <w:p w14:paraId="5DE40007" w14:textId="77777777">
      <w:pPr>
        <w:pStyle w:val="Lista2"/>
      </w:pPr>
      <w:r>
        <w:t xml:space="preserve">outside any </w:t>
      </w:r>
      <w:r>
        <w:rPr>
          <w:rStyle w:val="Code"/>
        </w:rPr>
        <w:t>&lt;g&gt;</w:t>
      </w:r>
      <w:r>
        <w:t xml:space="preserve"> elements applied to numeral characters</w:t>
      </w:r>
    </w:p>
    <w:p w14:paraId="0EE2021C" w14:textId="77777777">
      <w:pPr>
        <w:pStyle w:val="Lista2"/>
      </w:pPr>
      <w:r>
        <w:t xml:space="preserve">but inside the </w:t>
      </w:r>
      <w:r>
        <w:rPr>
          <w:rStyle w:val="Code"/>
        </w:rPr>
        <w:t>&lt;num&gt;</w:t>
      </w:r>
      <w:r>
        <w:t xml:space="preserve"> element that wraps numbers as a whole</w:t>
      </w:r>
    </w:p>
    <w:p w14:paraId="0F779F6D" w14:textId="77777777">
      <w:pPr>
        <w:pStyle w:val="Lista"/>
      </w:pPr>
      <w:r>
        <w:t xml:space="preserve">numbers whose reading is problematic will usually not have a definite value that you can encode in the </w:t>
      </w:r>
      <w:r>
        <w:rPr>
          <w:rStyle w:val="Code"/>
        </w:rPr>
        <w:t>&lt;num&gt;</w:t>
      </w:r>
      <w:r>
        <w:t xml:space="preserve"> element; to deal with this problem, choose one of the methods in the following subsections</w:t>
      </w:r>
    </w:p>
    <w:p w14:paraId="7B2BD55C" w14:textId="77777777">
      <w:pPr>
        <w:pStyle w:val="Lista2"/>
      </w:pPr>
      <w:r>
        <w:t>whichever method you use, possible values and their relative probabilities may be elaborated in your annotation</w:t>
      </w:r>
    </w:p>
    <w:p w14:paraId="5BA53689" w14:textId="77777777">
      <w:pPr>
        <w:pStyle w:val="Cmsor4"/>
      </w:pPr>
      <w:r>
        <w:t>Range of values</w:t>
      </w:r>
    </w:p>
    <w:p w14:paraId="6C2A1962" w14:textId="77777777">
      <w:r>
        <w:t>If you can establish a range that covers the possible values of a problematic numeral, encode as follows.</w:t>
      </w:r>
    </w:p>
    <w:p w14:paraId="261CA8DC" w14:textId="77777777">
      <w:pPr>
        <w:pStyle w:val="Lista"/>
      </w:pPr>
      <w:r>
        <w:t xml:space="preserve">instead of the attribute </w:t>
      </w:r>
      <w:r>
        <w:rPr>
          <w:rStyle w:val="Codeattribute"/>
        </w:rPr>
        <w:t>@value</w:t>
      </w:r>
      <w:r>
        <w:t xml:space="preserve">, use </w:t>
      </w:r>
      <w:r>
        <w:rPr>
          <w:rStyle w:val="Codeattribute"/>
        </w:rPr>
        <w:t>@atLeast</w:t>
      </w:r>
      <w:r>
        <w:t xml:space="preserve"> and </w:t>
      </w:r>
      <w:r>
        <w:rPr>
          <w:rStyle w:val="Codeattribute"/>
        </w:rPr>
        <w:t>@atMost</w:t>
      </w:r>
      <w:r>
        <w:t xml:space="preserve"> in the </w:t>
      </w:r>
      <w:r>
        <w:rPr>
          <w:rStyle w:val="Code"/>
        </w:rPr>
        <w:t>&lt;num&gt;</w:t>
      </w:r>
      <w:r>
        <w:t xml:space="preserve"> element to record the lowest and highest possible value of the number as a whole</w:t>
      </w:r>
    </w:p>
    <w:p w14:paraId="3486B4E6" w14:textId="77777777">
      <w:pPr>
        <w:pStyle w:val="Lista2"/>
      </w:pPr>
      <w:r>
        <w:t xml:space="preserve">e.g. for three digits in place value notation, where the first two digits are 1 and 0, and the last digit is illegible: </w:t>
      </w:r>
      <w:r>
        <w:rPr>
          <w:rStyle w:val="Code"/>
        </w:rPr>
        <w:t xml:space="preserve">&lt;num </w:t>
      </w:r>
      <w:r>
        <w:rPr>
          <w:rStyle w:val="Codeattribute"/>
        </w:rPr>
        <w:t>atLeast</w:t>
      </w:r>
      <w:r>
        <w:rPr>
          <w:rStyle w:val="Code"/>
        </w:rPr>
        <w:t>=</w:t>
      </w:r>
      <w:r>
        <w:rPr>
          <w:rStyle w:val="Codevalue"/>
        </w:rPr>
        <w:t>"101"</w:t>
      </w:r>
      <w:r>
        <w:rPr>
          <w:rStyle w:val="Code"/>
        </w:rPr>
        <w:t xml:space="preserve"> </w:t>
      </w:r>
      <w:r>
        <w:rPr>
          <w:rStyle w:val="Codeattribute"/>
        </w:rPr>
        <w:t>atMost</w:t>
      </w:r>
      <w:r>
        <w:rPr>
          <w:rStyle w:val="Code"/>
        </w:rPr>
        <w:t>=</w:t>
      </w:r>
      <w:r>
        <w:rPr>
          <w:rStyle w:val="Codevalue"/>
        </w:rPr>
        <w:t>"109"</w:t>
      </w:r>
      <w:r>
        <w:rPr>
          <w:rStyle w:val="Code"/>
        </w:rPr>
        <w:t>&gt;</w:t>
      </w:r>
      <w:r>
        <w:rPr>
          <w:rStyle w:val="Codetext"/>
        </w:rPr>
        <w:t>10</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2ED69F24" w14:textId="77777777">
      <w:pPr>
        <w:pStyle w:val="Lista"/>
      </w:pPr>
      <w:r>
        <w:t>because of its relative simplicity, this method is also recommended for situations where only some figures in a relatively limited range are possible</w:t>
      </w:r>
    </w:p>
    <w:p w14:paraId="7AA3FBC5" w14:textId="77777777">
      <w:pPr>
        <w:pStyle w:val="Lista2"/>
        <w:rPr>
          <w:rStyle w:val="Code"/>
          <w:rFonts w:ascii="Gentium" w:hAnsi="Gentium" w:cs="Tiro Devanagari Sanskrit"/>
          <w:noProof w:val="0"/>
          <w:color w:val="auto"/>
          <w:shd w:val="clear" w:color="auto" w:fill="auto"/>
        </w:rPr>
      </w:pPr>
      <w:r>
        <w:t xml:space="preserve">e.g. for an unclear numeral sign that may be 80 or 90 with equal likelihood: </w:t>
      </w:r>
      <w:r>
        <w:rPr>
          <w:rStyle w:val="Code"/>
        </w:rPr>
        <w:t xml:space="preserve">&lt;num </w:t>
      </w:r>
      <w:r>
        <w:rPr>
          <w:rStyle w:val="Codeattribute"/>
        </w:rPr>
        <w:t>atLeast</w:t>
      </w:r>
      <w:r>
        <w:rPr>
          <w:rStyle w:val="Code"/>
        </w:rPr>
        <w:t>=</w:t>
      </w:r>
      <w:r>
        <w:rPr>
          <w:rStyle w:val="Codevalue"/>
        </w:rPr>
        <w:t>"80"</w:t>
      </w:r>
      <w:r>
        <w:rPr>
          <w:rStyle w:val="Code"/>
        </w:rPr>
        <w:t xml:space="preserve"> </w:t>
      </w:r>
      <w:r>
        <w:rPr>
          <w:rStyle w:val="Codeattribute"/>
        </w:rPr>
        <w:t>atMost</w:t>
      </w:r>
      <w:r>
        <w:rPr>
          <w:rStyle w:val="Code"/>
        </w:rPr>
        <w:t>=</w:t>
      </w:r>
      <w:r>
        <w:rPr>
          <w:rStyle w:val="Codevalue"/>
        </w:rPr>
        <w:t>"90"</w:t>
      </w:r>
      <w:r>
        <w:rPr>
          <w:rStyle w:val="Code"/>
        </w:rPr>
        <w:t xml:space="preserve">&gt;&lt;choice&gt;&lt;unclear&gt;&lt;g </w:t>
      </w:r>
      <w:r>
        <w:rPr>
          <w:rStyle w:val="Codeattribute"/>
        </w:rPr>
        <w:t>type</w:t>
      </w:r>
      <w:r>
        <w:rPr>
          <w:rStyle w:val="Code"/>
        </w:rPr>
        <w:t>=</w:t>
      </w:r>
      <w:r>
        <w:rPr>
          <w:rStyle w:val="Codevalue"/>
        </w:rPr>
        <w:t>"numeral"</w:t>
      </w:r>
      <w:r>
        <w:rPr>
          <w:rStyle w:val="Code"/>
        </w:rPr>
        <w:t>&gt;</w:t>
      </w:r>
      <w:r>
        <w:rPr>
          <w:rStyle w:val="Codetext"/>
        </w:rPr>
        <w:t>80</w:t>
      </w:r>
      <w:r>
        <w:rPr>
          <w:rStyle w:val="Code"/>
        </w:rPr>
        <w:t xml:space="preserve">&lt;/g&gt;&lt;/unclear&gt;&lt;unclear&gt;&lt;g </w:t>
      </w:r>
      <w:r>
        <w:rPr>
          <w:rStyle w:val="Codeattribute"/>
        </w:rPr>
        <w:t>type</w:t>
      </w:r>
      <w:r>
        <w:rPr>
          <w:rStyle w:val="Code"/>
        </w:rPr>
        <w:t>=</w:t>
      </w:r>
      <w:r>
        <w:rPr>
          <w:rStyle w:val="Codevalue"/>
        </w:rPr>
        <w:t>"numeral"</w:t>
      </w:r>
      <w:r>
        <w:rPr>
          <w:rStyle w:val="Code"/>
        </w:rPr>
        <w:t>&gt;</w:t>
      </w:r>
      <w:r>
        <w:rPr>
          <w:rStyle w:val="Codetext"/>
        </w:rPr>
        <w:t>90</w:t>
      </w:r>
      <w:r>
        <w:rPr>
          <w:rStyle w:val="Code"/>
        </w:rPr>
        <w:t>&lt;/g&gt;&lt;/unclear&gt;&lt;/choice&gt;&lt;/num&gt;</w:t>
      </w:r>
    </w:p>
    <w:p w14:paraId="7FFEB0A5" w14:textId="77777777">
      <w:pPr>
        <w:pStyle w:val="Lista2"/>
      </w:pPr>
      <w:r>
        <w:t>the EpiDoc Guidelines</w:t>
      </w:r>
      <w:r>
        <w:rPr>
          <w:rStyle w:val="Lbjegyzet-hivatkozs"/>
        </w:rPr>
        <w:footnoteReference w:id="39"/>
      </w:r>
      <w:r>
        <w:t xml:space="preserve"> offer a further method for dealing with partly lost numerals whose gamut of possible values is not sequential, but we discourage the use of this method because we do not foresee that our project would benefit from the increased accuracy to an extent that would justify the complexity of the markup involved</w:t>
      </w:r>
    </w:p>
    <w:p w14:paraId="68CBA259" w14:textId="77777777">
      <w:pPr>
        <w:pStyle w:val="Cmsor4"/>
      </w:pPr>
      <w:r>
        <w:t>Tentative value</w:t>
      </w:r>
    </w:p>
    <w:p w14:paraId="67202CA3" w14:textId="77777777">
      <w:r>
        <w:t>If you can establish a single tentative value for a problematic numeral, encode as follows.</w:t>
      </w:r>
    </w:p>
    <w:p w14:paraId="585D502A" w14:textId="77777777">
      <w:pPr>
        <w:pStyle w:val="Lista"/>
      </w:pPr>
      <w:r>
        <w:t xml:space="preserve">use the tentative value in the attribute </w:t>
      </w:r>
      <w:r>
        <w:rPr>
          <w:rStyle w:val="Codeattribute"/>
        </w:rPr>
        <w:t>@value</w:t>
      </w:r>
      <w:r>
        <w:t xml:space="preserve"> and add the attribute </w:t>
      </w:r>
      <w:r>
        <w:rPr>
          <w:rStyle w:val="Codeattribute"/>
        </w:rPr>
        <w:t>@cert</w:t>
      </w:r>
      <w:r>
        <w:t xml:space="preserve"> with the value </w:t>
      </w:r>
      <w:r>
        <w:rPr>
          <w:rStyle w:val="Codevalue"/>
        </w:rPr>
        <w:t>"low"</w:t>
      </w:r>
      <w:r>
        <w:t xml:space="preserve"> to flag the value as uncertain</w:t>
      </w:r>
    </w:p>
    <w:p w14:paraId="0ED94B21" w14:textId="77777777">
      <w:pPr>
        <w:pStyle w:val="Lista2"/>
      </w:pPr>
      <w:r>
        <w:t xml:space="preserve">e.g. for three digits in place value notation, where the first two digits are 2 and 4, and the last digit seems to be 6: </w:t>
      </w:r>
      <w:r>
        <w:rPr>
          <w:rStyle w:val="Code"/>
        </w:rPr>
        <w:t xml:space="preserve">&lt;num </w:t>
      </w:r>
      <w:r>
        <w:rPr>
          <w:rStyle w:val="Codeattribute"/>
        </w:rPr>
        <w:t>value</w:t>
      </w:r>
      <w:r>
        <w:rPr>
          <w:rStyle w:val="Code"/>
        </w:rPr>
        <w:t>=</w:t>
      </w:r>
      <w:r>
        <w:rPr>
          <w:rStyle w:val="Codevalue"/>
        </w:rPr>
        <w:t>"246"</w:t>
      </w:r>
      <w:r>
        <w:rPr>
          <w:rStyle w:val="Code"/>
        </w:rPr>
        <w:t xml:space="preserve"> </w:t>
      </w:r>
      <w:r>
        <w:rPr>
          <w:rStyle w:val="Codeattribute"/>
        </w:rPr>
        <w:t>cert</w:t>
      </w:r>
      <w:r>
        <w:rPr>
          <w:rStyle w:val="Code"/>
        </w:rPr>
        <w:t>=</w:t>
      </w:r>
      <w:r>
        <w:rPr>
          <w:rStyle w:val="Codevalue"/>
        </w:rPr>
        <w:t>"low"</w:t>
      </w:r>
      <w:r>
        <w:rPr>
          <w:rStyle w:val="Code"/>
        </w:rPr>
        <w:t>&gt;</w:t>
      </w:r>
      <w:r>
        <w:rPr>
          <w:rStyle w:val="Codetext"/>
        </w:rPr>
        <w:t>24</w:t>
      </w:r>
      <w:r>
        <w:rPr>
          <w:rStyle w:val="Code"/>
        </w:rPr>
        <w:t>&lt;unclear&gt;</w:t>
      </w:r>
      <w:r>
        <w:rPr>
          <w:rStyle w:val="Codetext"/>
        </w:rPr>
        <w:t>6</w:t>
      </w:r>
      <w:r>
        <w:rPr>
          <w:rStyle w:val="Code"/>
        </w:rPr>
        <w:t>&lt;/unclear&gt;&lt;/num&gt;</w:t>
      </w:r>
    </w:p>
    <w:p w14:paraId="4123EBBB" w14:textId="77777777">
      <w:pPr>
        <w:pStyle w:val="Cmsor4"/>
      </w:pPr>
      <w:r>
        <w:t>Tentative range</w:t>
      </w:r>
    </w:p>
    <w:p w14:paraId="1A174E5C" w14:textId="77777777">
      <w:r>
        <w:t>The above methods may be combined to encode a range of tentative values.</w:t>
      </w:r>
    </w:p>
    <w:p w14:paraId="0B25E8B5" w14:textId="77777777">
      <w:pPr>
        <w:pStyle w:val="Lista"/>
      </w:pPr>
      <w:r>
        <w:t xml:space="preserve">e.g. for three digits in place value notation, where the first two digits are probably 1 and 0, and the last digit is illegible: </w:t>
      </w:r>
      <w:r>
        <w:rPr>
          <w:rStyle w:val="Code"/>
        </w:rPr>
        <w:t xml:space="preserve">&lt;num </w:t>
      </w:r>
      <w:r>
        <w:rPr>
          <w:rStyle w:val="Codeattribute"/>
        </w:rPr>
        <w:t>atLeast</w:t>
      </w:r>
      <w:r>
        <w:rPr>
          <w:rStyle w:val="Code"/>
        </w:rPr>
        <w:t>=</w:t>
      </w:r>
      <w:r>
        <w:rPr>
          <w:rStyle w:val="Codevalue"/>
        </w:rPr>
        <w:t>"101"</w:t>
      </w:r>
      <w:r>
        <w:rPr>
          <w:rStyle w:val="Code"/>
        </w:rPr>
        <w:t xml:space="preserve"> </w:t>
      </w:r>
      <w:r>
        <w:rPr>
          <w:rStyle w:val="Codeattribute"/>
        </w:rPr>
        <w:t>atMost</w:t>
      </w:r>
      <w:r>
        <w:rPr>
          <w:rStyle w:val="Code"/>
        </w:rPr>
        <w:t>=</w:t>
      </w:r>
      <w:r>
        <w:rPr>
          <w:rStyle w:val="Codevalue"/>
        </w:rPr>
        <w:t xml:space="preserve">"109" </w:t>
      </w:r>
      <w:r>
        <w:rPr>
          <w:rStyle w:val="Codeattribute"/>
        </w:rPr>
        <w:t>cert</w:t>
      </w:r>
      <w:r>
        <w:rPr>
          <w:rStyle w:val="Code"/>
        </w:rPr>
        <w:t>=</w:t>
      </w:r>
      <w:r>
        <w:rPr>
          <w:rStyle w:val="Codevalue"/>
        </w:rPr>
        <w:t>"low"</w:t>
      </w:r>
      <w:r>
        <w:rPr>
          <w:rStyle w:val="Code"/>
        </w:rPr>
        <w:t>&gt;&lt;unclear&gt;</w:t>
      </w:r>
      <w:r>
        <w:rPr>
          <w:rStyle w:val="Codetext"/>
        </w:rPr>
        <w:t>10</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485D0D98" w14:textId="77777777">
      <w:pPr>
        <w:pStyle w:val="Cmsor4"/>
      </w:pPr>
      <w:r>
        <w:lastRenderedPageBreak/>
        <w:t>Unknown value</w:t>
      </w:r>
    </w:p>
    <w:p w14:paraId="34DF4FA5" w14:textId="77777777">
      <w:r>
        <w:t xml:space="preserve">If none of the above seems adequate for a partially legible numeral, or if a numeral is wholly lost or illegible </w:t>
      </w:r>
      <w:r>
        <w:rPr>
          <w:noProof/>
        </w:rPr>
        <w:t>(</w:t>
      </w:r>
      <w:r>
        <w:t>yet you are certain it was a numeral), encode as follows.</w:t>
      </w:r>
    </w:p>
    <w:p w14:paraId="75FF3518" w14:textId="77777777">
      <w:pPr>
        <w:pStyle w:val="Lista"/>
      </w:pPr>
      <w:r>
        <w:t xml:space="preserve">use the </w:t>
      </w:r>
      <w:r>
        <w:rPr>
          <w:rStyle w:val="Code"/>
        </w:rPr>
        <w:t>&lt;num&gt;</w:t>
      </w:r>
      <w:r>
        <w:t xml:space="preserve"> element without </w:t>
      </w:r>
      <w:r>
        <w:rPr>
          <w:rStyle w:val="Codeattribute"/>
        </w:rPr>
        <w:t>@value</w:t>
      </w:r>
      <w:r>
        <w:t xml:space="preserve"> around the partial reading or the lacuna</w:t>
      </w:r>
    </w:p>
    <w:p w14:paraId="5AA4D6D9" w14:textId="77777777">
      <w:pPr>
        <w:pStyle w:val="Lista2"/>
      </w:pPr>
      <w:r>
        <w:t xml:space="preserve">e.g. for one lost/illegible numeral character: </w:t>
      </w:r>
      <w:r>
        <w:rPr>
          <w:rStyle w:val="Code"/>
        </w:rPr>
        <w:t xml:space="preserve">&lt;num&gt;&lt;gap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w:t>
      </w:r>
      <w:r>
        <w:rPr>
          <w:rStyle w:val="Code"/>
        </w:rPr>
        <w:t xml:space="preserve"> </w:t>
      </w:r>
      <w:r>
        <w:rPr>
          <w:rStyle w:val="Codeattribute"/>
        </w:rPr>
        <w:t>unit</w:t>
      </w:r>
      <w:r>
        <w:rPr>
          <w:rStyle w:val="Code"/>
        </w:rPr>
        <w:t>=</w:t>
      </w:r>
      <w:r>
        <w:rPr>
          <w:rStyle w:val="Codevalue"/>
        </w:rPr>
        <w:t>"character"</w:t>
      </w:r>
      <w:r>
        <w:rPr>
          <w:rStyle w:val="Code"/>
        </w:rPr>
        <w:t>/&gt;&lt;/num&gt;</w:t>
      </w:r>
    </w:p>
    <w:p w14:paraId="00D329DD" w14:textId="77777777">
      <w:pPr>
        <w:pStyle w:val="Cmsor3"/>
      </w:pPr>
      <w:bookmarkStart w:id="771" w:name="_h6ric5yl5k83" w:colFirst="0" w:colLast="0"/>
      <w:bookmarkStart w:id="772" w:name="_Toc243900376"/>
      <w:bookmarkEnd w:id="771"/>
      <w:r>
        <w:t>Editorial intervention and numerals</w:t>
      </w:r>
      <w:bookmarkEnd w:id="772"/>
    </w:p>
    <w:p w14:paraId="3FF9AD65" w14:textId="77777777">
      <w:pPr>
        <w:pStyle w:val="Lista"/>
      </w:pPr>
      <w:r>
        <w:t>occasionally, an editor may be able to restore a lost number, or even emend an incorrectly inscribed one, e.g. on the basis of the number being also written out in words</w:t>
      </w:r>
    </w:p>
    <w:p w14:paraId="687DD8AD" w14:textId="77777777">
      <w:pPr>
        <w:pStyle w:val="Lista"/>
      </w:pPr>
      <w:r>
        <w:t>tags for editorial restoration (§</w:t>
      </w:r>
      <w:r>
        <w:fldChar w:fldCharType="begin"/>
      </w:r>
      <w:r>
        <w:instrText xml:space="preserve"> REF _Ref228459751 \r \h </w:instrText>
      </w:r>
      <w:r>
        <w:fldChar w:fldCharType="separate"/>
      </w:r>
      <w:r>
        <w:t>6.4</w:t>
      </w:r>
      <w:r>
        <w:fldChar w:fldCharType="end"/>
      </w:r>
      <w:r>
        <w:t xml:space="preserve">) may be used inside or outside the </w:t>
      </w:r>
      <w:r>
        <w:rPr>
          <w:rStyle w:val="Code"/>
        </w:rPr>
        <w:t>&lt;num&gt;</w:t>
      </w:r>
      <w:r>
        <w:t xml:space="preserve"> element depending on the scope of the restoration, but they must never be inside any </w:t>
      </w:r>
      <w:r>
        <w:rPr>
          <w:rStyle w:val="Code"/>
        </w:rPr>
        <w:t>&lt;g&gt;</w:t>
      </w:r>
      <w:r>
        <w:t xml:space="preserve"> elements applied to numeral signs</w:t>
      </w:r>
    </w:p>
    <w:p w14:paraId="3EEE5A1C" w14:textId="77777777">
      <w:pPr>
        <w:pStyle w:val="Lista2"/>
      </w:pPr>
      <w:r>
        <w:t>a longer stretch of restored text may freely include both text and a numeral</w:t>
      </w:r>
    </w:p>
    <w:p w14:paraId="5903C846" w14:textId="77777777">
      <w:pPr>
        <w:pStyle w:val="Lista2"/>
      </w:pPr>
      <w:r>
        <w:t xml:space="preserve">the </w:t>
      </w:r>
      <w:r>
        <w:rPr>
          <w:rStyle w:val="Codeattribute"/>
        </w:rPr>
        <w:t>@value</w:t>
      </w:r>
      <w:r>
        <w:t xml:space="preserve"> attribute of the </w:t>
      </w:r>
      <w:r>
        <w:rPr>
          <w:rStyle w:val="Code"/>
        </w:rPr>
        <w:t>&lt;num&gt;</w:t>
      </w:r>
      <w:r>
        <w:t xml:space="preserve"> element should reflect only the restored value</w:t>
      </w:r>
    </w:p>
    <w:p w14:paraId="0127190C" w14:textId="77777777">
      <w:pPr>
        <w:pStyle w:val="Lista"/>
      </w:pPr>
      <w:r>
        <w:t>tags for editorial correction (§</w:t>
      </w:r>
      <w:r>
        <w:fldChar w:fldCharType="begin"/>
      </w:r>
      <w:r>
        <w:instrText xml:space="preserve"> REF _Ref229054270 \r \h </w:instrText>
      </w:r>
      <w:r>
        <w:fldChar w:fldCharType="separate"/>
      </w:r>
      <w:r>
        <w:t>7.2</w:t>
      </w:r>
      <w:r>
        <w:fldChar w:fldCharType="end"/>
      </w:r>
      <w:r>
        <w:t xml:space="preserve">) must be outside the </w:t>
      </w:r>
      <w:r>
        <w:rPr>
          <w:rStyle w:val="Code"/>
        </w:rPr>
        <w:t>&lt;num&gt;</w:t>
      </w:r>
      <w:r>
        <w:t xml:space="preserve"> elements, which must separately encode both the pre- and post-correction number</w:t>
      </w:r>
    </w:p>
    <w:p w14:paraId="53F89F40" w14:textId="77777777">
      <w:pPr>
        <w:pStyle w:val="Lista2"/>
        <w:rPr>
          <w:rStyle w:val="Code"/>
          <w:rFonts w:ascii="Gentium Plus" w:hAnsi="Gentium Plus" w:cs="Arial Unicode MS"/>
          <w:noProof w:val="0"/>
          <w:color w:val="auto"/>
          <w:shd w:val="clear" w:color="auto" w:fill="auto"/>
        </w:rPr>
      </w:pPr>
      <w:r>
        <w:t xml:space="preserve">e.g. </w:t>
      </w:r>
      <w:r>
        <w:rPr>
          <w:rStyle w:val="Code"/>
        </w:rPr>
        <w:t xml:space="preserve">&lt;choice&gt;&lt;sic&gt;&lt;num </w:t>
      </w:r>
      <w:r>
        <w:rPr>
          <w:rStyle w:val="Codeattribute"/>
        </w:rPr>
        <w:t>value</w:t>
      </w:r>
      <w:r>
        <w:rPr>
          <w:rStyle w:val="Code"/>
        </w:rPr>
        <w:t>=</w:t>
      </w:r>
      <w:r>
        <w:rPr>
          <w:rStyle w:val="Codevalue"/>
        </w:rPr>
        <w:t>"6"</w:t>
      </w:r>
      <w:r>
        <w:rPr>
          <w:rStyle w:val="Code"/>
        </w:rPr>
        <w:t>&gt;</w:t>
      </w:r>
      <w:r>
        <w:rPr>
          <w:rStyle w:val="Codetext"/>
        </w:rPr>
        <w:t>6</w:t>
      </w:r>
      <w:r>
        <w:rPr>
          <w:rStyle w:val="Code"/>
        </w:rPr>
        <w:t xml:space="preserve">&lt;/num&gt;&lt;/sic&gt;&lt;corr&gt;&lt;num </w:t>
      </w:r>
      <w:r>
        <w:rPr>
          <w:rStyle w:val="Codeattribute"/>
        </w:rPr>
        <w:t>value</w:t>
      </w:r>
      <w:r>
        <w:rPr>
          <w:rStyle w:val="Code"/>
        </w:rPr>
        <w:t>=</w:t>
      </w:r>
      <w:r>
        <w:rPr>
          <w:rStyle w:val="Codevalue"/>
        </w:rPr>
        <w:t>"7"</w:t>
      </w:r>
      <w:r>
        <w:rPr>
          <w:rStyle w:val="Code"/>
        </w:rPr>
        <w:t>&gt;</w:t>
      </w:r>
      <w:r>
        <w:rPr>
          <w:rStyle w:val="Codetext"/>
        </w:rPr>
        <w:t>7</w:t>
      </w:r>
      <w:r>
        <w:rPr>
          <w:rStyle w:val="Code"/>
        </w:rPr>
        <w:t>&lt;/num&gt;&lt;/corr&gt;&lt;/choice&gt;</w:t>
      </w:r>
    </w:p>
    <w:p w14:paraId="04023571" w14:textId="77777777">
      <w:pPr>
        <w:pStyle w:val="Lista2"/>
      </w:pPr>
      <w:r>
        <w:t>as a corollary of this, the entire number must be included in the correction markup even when editorial correction affects only one digit of a multi-digit numeral (regardless of whether the digits are in place value notation or not)</w:t>
      </w:r>
    </w:p>
    <w:p w14:paraId="63C8F129" w14:textId="77777777">
      <w:pPr>
        <w:pStyle w:val="Lista3"/>
      </w:pPr>
      <w:r>
        <w:t xml:space="preserve">e.g. </w:t>
      </w:r>
      <w:r>
        <w:rPr>
          <w:rStyle w:val="Code"/>
        </w:rPr>
        <w:t xml:space="preserve">&lt;choice&gt;&lt;sic&gt;&lt;num </w:t>
      </w:r>
      <w:r>
        <w:rPr>
          <w:rStyle w:val="Codeattribute"/>
        </w:rPr>
        <w:t>value</w:t>
      </w:r>
      <w:r>
        <w:rPr>
          <w:rStyle w:val="Code"/>
        </w:rPr>
        <w:t>=</w:t>
      </w:r>
      <w:r>
        <w:rPr>
          <w:rStyle w:val="Codevalue"/>
        </w:rPr>
        <w:t>"18"</w:t>
      </w:r>
      <w:r>
        <w:rPr>
          <w:rStyle w:val="Code"/>
        </w:rPr>
        <w:t>&gt;</w:t>
      </w:r>
      <w:r>
        <w:rPr>
          <w:rStyle w:val="Codetext"/>
        </w:rPr>
        <w:t>18</w:t>
      </w:r>
      <w:r>
        <w:rPr>
          <w:rStyle w:val="Code"/>
        </w:rPr>
        <w:t xml:space="preserve">&lt;/num&gt;&lt;/sic&gt;&lt;corr&gt;&lt;num </w:t>
      </w:r>
      <w:r>
        <w:rPr>
          <w:rStyle w:val="Codeattribute"/>
        </w:rPr>
        <w:t>value</w:t>
      </w:r>
      <w:r>
        <w:rPr>
          <w:rStyle w:val="Code"/>
        </w:rPr>
        <w:t>=</w:t>
      </w:r>
      <w:r>
        <w:rPr>
          <w:rStyle w:val="Codevalue"/>
        </w:rPr>
        <w:t>"28"</w:t>
      </w:r>
      <w:r>
        <w:rPr>
          <w:rStyle w:val="Code"/>
        </w:rPr>
        <w:t>&gt;</w:t>
      </w:r>
      <w:r>
        <w:rPr>
          <w:rStyle w:val="Codetext"/>
        </w:rPr>
        <w:t>28</w:t>
      </w:r>
      <w:r>
        <w:rPr>
          <w:rStyle w:val="Code"/>
        </w:rPr>
        <w:t>&lt;/num&gt;&lt;/corr&gt;&lt;/choice&gt;</w:t>
      </w:r>
    </w:p>
    <w:p w14:paraId="2ED8AC2E" w14:textId="77777777">
      <w:pPr>
        <w:pStyle w:val="Cmsor2"/>
      </w:pPr>
      <w:bookmarkStart w:id="773" w:name="_Ref232002201"/>
      <w:bookmarkStart w:id="774" w:name="_Toc243900377"/>
      <w:r>
        <w:t>Abbreviations</w:t>
      </w:r>
      <w:bookmarkEnd w:id="731"/>
      <w:bookmarkEnd w:id="773"/>
      <w:bookmarkEnd w:id="774"/>
    </w:p>
    <w:p w14:paraId="495224F8" w14:textId="77777777">
      <w:pPr>
        <w:rPr>
          <w:lang w:eastAsia="en-US" w:bidi="ar-SA"/>
        </w:rPr>
      </w:pPr>
      <w:r>
        <w:rPr>
          <w:lang w:eastAsia="en-US" w:bidi="ar-SA"/>
        </w:rPr>
        <w:t>Abbreviations, i.e. strings of phonographic graphemes representing part of a word or phrase but understood to signify the entire word or phrase, may be tagged as such in TEI as per §</w:t>
      </w:r>
      <w:r>
        <w:rPr>
          <w:lang w:eastAsia="en-US" w:bidi="ar-SA"/>
        </w:rPr>
        <w:fldChar w:fldCharType="begin"/>
      </w:r>
      <w:r>
        <w:rPr>
          <w:lang w:eastAsia="en-US" w:bidi="ar-SA"/>
        </w:rPr>
        <w:instrText xml:space="preserve"> REF _Ref231905103 \r \h </w:instrText>
      </w:r>
      <w:r>
        <w:rPr>
          <w:lang w:eastAsia="en-US" w:bidi="ar-SA"/>
        </w:rPr>
      </w:r>
      <w:r>
        <w:rPr>
          <w:lang w:eastAsia="en-US" w:bidi="ar-SA"/>
        </w:rPr>
        <w:fldChar w:fldCharType="separate"/>
      </w:r>
      <w:r>
        <w:rPr>
          <w:lang w:eastAsia="en-US" w:bidi="ar-SA"/>
        </w:rPr>
        <w:t>9.2.1</w:t>
      </w:r>
      <w:r>
        <w:rPr>
          <w:lang w:eastAsia="en-US" w:bidi="ar-SA"/>
        </w:rPr>
        <w:fldChar w:fldCharType="end"/>
      </w:r>
      <w:r>
        <w:rPr>
          <w:lang w:eastAsia="en-US" w:bidi="ar-SA"/>
        </w:rPr>
        <w:t>, which allows them to be interpretable by a computer. Markup is also available for expanding abbreviations, i.e. for resolving the abbreviation into (your editorial notion of) the full word or phrase it signifies, as per §</w:t>
      </w:r>
      <w:r>
        <w:rPr>
          <w:lang w:eastAsia="en-US" w:bidi="ar-SA"/>
        </w:rPr>
        <w:fldChar w:fldCharType="begin"/>
      </w:r>
      <w:r>
        <w:rPr>
          <w:lang w:eastAsia="en-US" w:bidi="ar-SA"/>
        </w:rPr>
        <w:instrText xml:space="preserve"> REF _Ref122445893 \r \h </w:instrText>
      </w:r>
      <w:r>
        <w:rPr>
          <w:lang w:eastAsia="en-US" w:bidi="ar-SA"/>
        </w:rPr>
      </w:r>
      <w:r>
        <w:rPr>
          <w:lang w:eastAsia="en-US" w:bidi="ar-SA"/>
        </w:rPr>
        <w:fldChar w:fldCharType="separate"/>
      </w:r>
      <w:r>
        <w:rPr>
          <w:lang w:eastAsia="en-US" w:bidi="ar-SA"/>
        </w:rPr>
        <w:t>9.2.2</w:t>
      </w:r>
      <w:r>
        <w:rPr>
          <w:lang w:eastAsia="en-US" w:bidi="ar-SA"/>
        </w:rPr>
        <w:fldChar w:fldCharType="end"/>
      </w:r>
      <w:r>
        <w:rPr>
          <w:lang w:eastAsia="en-US" w:bidi="ar-SA"/>
        </w:rPr>
        <w:t xml:space="preserve">. </w:t>
      </w:r>
    </w:p>
    <w:p w14:paraId="6F612A23" w14:textId="77777777">
      <w:pPr>
        <w:pStyle w:val="Cmsor3"/>
      </w:pPr>
      <w:bookmarkStart w:id="775" w:name="_Ref231905103"/>
      <w:bookmarkStart w:id="776" w:name="_Toc243900378"/>
      <w:r>
        <w:t>Tagging abbreviations</w:t>
      </w:r>
      <w:bookmarkEnd w:id="775"/>
      <w:bookmarkEnd w:id="776"/>
    </w:p>
    <w:p w14:paraId="7D9A7E11" w14:textId="77777777">
      <w:pPr>
        <w:rPr>
          <w:lang w:eastAsia="en-US" w:bidi="ar-SA"/>
        </w:rPr>
      </w:pPr>
      <w:r>
        <w:rPr>
          <w:lang w:eastAsia="en-US" w:bidi="ar-SA"/>
        </w:rPr>
        <w:t>Encoding abbreviations is not mandatory in DHARMA editions, but it is generally recommended that you tag all abbreviations in your editions.</w:t>
      </w:r>
    </w:p>
    <w:p w14:paraId="2AE34E09" w14:textId="77777777">
      <w:pPr>
        <w:pStyle w:val="Lista"/>
      </w:pPr>
      <w:r>
        <w:t xml:space="preserve">to tag an abbreviation, wrap it in the element </w:t>
      </w:r>
      <w:r>
        <w:rPr>
          <w:rStyle w:val="Code"/>
        </w:rPr>
        <w:t>&lt;abbr&gt;</w:t>
      </w:r>
      <w:r>
        <w:t xml:space="preserve"> without any attributes</w:t>
      </w:r>
    </w:p>
    <w:p w14:paraId="6D356C7C" w14:textId="77777777">
      <w:pPr>
        <w:pStyle w:val="Lista2"/>
        <w:rPr>
          <w:rStyle w:val="Foreign"/>
          <w:i w:val="0"/>
          <w:iCs w:val="0"/>
          <w:noProof w:val="0"/>
        </w:rPr>
      </w:pPr>
      <w:r>
        <w:t xml:space="preserve">e.g. </w:t>
      </w:r>
      <w:r>
        <w:rPr>
          <w:rStyle w:val="Code"/>
        </w:rPr>
        <w:t>&lt;abbr&gt;</w:t>
      </w:r>
      <w:r>
        <w:rPr>
          <w:rStyle w:val="Codetext"/>
        </w:rPr>
        <w:t>su</w:t>
      </w:r>
      <w:r>
        <w:rPr>
          <w:rStyle w:val="Code"/>
        </w:rPr>
        <w:t>&lt;/abbr&gt;</w:t>
      </w:r>
      <w:r>
        <w:t xml:space="preserve"> for the abbreviation of </w:t>
      </w:r>
      <w:r>
        <w:rPr>
          <w:rStyle w:val="Foreign"/>
        </w:rPr>
        <w:t>suvarṇa</w:t>
      </w:r>
    </w:p>
    <w:p w14:paraId="358FBA3F" w14:textId="77777777">
      <w:pPr>
        <w:pStyle w:val="Lista2"/>
      </w:pPr>
      <w:r>
        <w:t xml:space="preserve">see also </w:t>
      </w:r>
      <w:r>
        <w:fldChar w:fldCharType="begin"/>
      </w:r>
      <w:r>
        <w:instrText xml:space="preserve"> REF _Ref182560821 \h </w:instrText>
      </w:r>
      <w:r>
        <w:fldChar w:fldCharType="separate"/>
      </w:r>
      <w:r>
        <w:t xml:space="preserve">Exhibit </w:t>
      </w:r>
      <w:r>
        <w:rPr>
          <w:noProof/>
        </w:rPr>
        <w:t>9.1</w:t>
      </w:r>
      <w:r>
        <w:t>.</w:t>
      </w:r>
      <w:r>
        <w:rPr>
          <w:noProof/>
        </w:rPr>
        <w:t>A</w:t>
      </w:r>
      <w:r>
        <w:fldChar w:fldCharType="end"/>
      </w:r>
      <w:r>
        <w:t xml:space="preserve"> for a real-life illustration</w:t>
      </w:r>
    </w:p>
    <w:p w14:paraId="65E8DD9F" w14:textId="77777777">
      <w:pPr>
        <w:pStyle w:val="Lista"/>
      </w:pPr>
      <w:r>
        <w:t>abbreviations comprised of parts of words in compound and in phrases or sequences that regularly occur together shall be tagged as a single unit or as separate abbreviations at your discretion, e.g.</w:t>
      </w:r>
    </w:p>
    <w:p w14:paraId="318B1BB1" w14:textId="77777777">
      <w:pPr>
        <w:pStyle w:val="Lista2"/>
      </w:pPr>
      <w:r>
        <w:rPr>
          <w:rStyle w:val="Code"/>
        </w:rPr>
        <w:t>&lt;abbr&gt;</w:t>
      </w:r>
      <w:r>
        <w:rPr>
          <w:rStyle w:val="Codetext"/>
        </w:rPr>
        <w:t>badi</w:t>
      </w:r>
      <w:r>
        <w:rPr>
          <w:rStyle w:val="Code"/>
        </w:rPr>
        <w:t>&lt;/abbr&gt;</w:t>
      </w:r>
      <w:r>
        <w:t xml:space="preserve"> for the abbreviation of </w:t>
      </w:r>
      <w:r>
        <w:rPr>
          <w:rStyle w:val="Foreign"/>
        </w:rPr>
        <w:t>bahula-divase</w:t>
      </w:r>
    </w:p>
    <w:p w14:paraId="40B2239A" w14:textId="77777777">
      <w:pPr>
        <w:pStyle w:val="Lista2"/>
      </w:pPr>
      <w:r>
        <w:rPr>
          <w:rStyle w:val="Code"/>
        </w:rPr>
        <w:t>&lt;abbr&gt;</w:t>
      </w:r>
      <w:r>
        <w:rPr>
          <w:rStyle w:val="Codetext"/>
        </w:rPr>
        <w:t>grī pa</w:t>
      </w:r>
      <w:r>
        <w:rPr>
          <w:rStyle w:val="Code"/>
        </w:rPr>
        <w:t>&lt;/abbr&gt;</w:t>
      </w:r>
      <w:r>
        <w:t xml:space="preserve"> or </w:t>
      </w:r>
      <w:r>
        <w:rPr>
          <w:rStyle w:val="Code"/>
        </w:rPr>
        <w:t>&lt;abbr&gt;</w:t>
      </w:r>
      <w:r>
        <w:rPr>
          <w:rStyle w:val="Codetext"/>
        </w:rPr>
        <w:t>grī</w:t>
      </w:r>
      <w:r>
        <w:rPr>
          <w:rStyle w:val="Code"/>
        </w:rPr>
        <w:t>&lt;/abbr&gt; &lt;abbr&gt;</w:t>
      </w:r>
      <w:r>
        <w:rPr>
          <w:rStyle w:val="Codetext"/>
        </w:rPr>
        <w:t>pa</w:t>
      </w:r>
      <w:r>
        <w:rPr>
          <w:rStyle w:val="Code"/>
        </w:rPr>
        <w:t>&lt;/abbr&gt;</w:t>
      </w:r>
      <w:r>
        <w:t xml:space="preserve"> for the abbreviation of </w:t>
      </w:r>
      <w:r>
        <w:rPr>
          <w:rStyle w:val="Foreign"/>
        </w:rPr>
        <w:t>grīṣma pakṣa</w:t>
      </w:r>
      <w:r>
        <w:t xml:space="preserve"> </w:t>
      </w:r>
    </w:p>
    <w:p w14:paraId="0D0C9DAB" w14:textId="77777777">
      <w:pPr>
        <w:pStyle w:val="Cmsor3"/>
      </w:pPr>
      <w:bookmarkStart w:id="777" w:name="_Ref122445893"/>
      <w:bookmarkStart w:id="778" w:name="_Toc243900379"/>
      <w:r>
        <w:t>Expanding abbreviations</w:t>
      </w:r>
      <w:bookmarkEnd w:id="777"/>
      <w:bookmarkEnd w:id="778"/>
    </w:p>
    <w:p w14:paraId="380970FA" w14:textId="77777777">
      <w:r>
        <w:rPr>
          <w:lang w:eastAsia="en-US" w:bidi="ar-SA"/>
        </w:rPr>
        <w:t xml:space="preserve">Expanding abbreviations is optional but recommended especially in </w:t>
      </w:r>
      <w:r>
        <w:t>cases where a certain abbreviation may be resolved in more than one way, and you wish to indicate a particular resolution. It is generally preferable not to resolve common abbreviations (whose meaning can be found in published reference works), especially if they allow multiple resolutions with the same ultimate meaning (differing for instance only in the choice of case ending or lack thereof).</w:t>
      </w:r>
    </w:p>
    <w:p w14:paraId="5D400813" w14:textId="77777777">
      <w:pPr>
        <w:pStyle w:val="Lista"/>
      </w:pPr>
      <w:r>
        <w:lastRenderedPageBreak/>
        <w:t xml:space="preserve">resolved abbreviations must be wrapped in the element </w:t>
      </w:r>
      <w:r>
        <w:rPr>
          <w:rStyle w:val="Code"/>
        </w:rPr>
        <w:t>&lt;expan&gt;</w:t>
      </w:r>
      <w:r>
        <w:t>, containing one or more instances (as necessary) of the following elements, and nothing outside the following elements:</w:t>
      </w:r>
    </w:p>
    <w:p w14:paraId="7C82B842" w14:textId="77777777">
      <w:pPr>
        <w:pStyle w:val="Lista2"/>
      </w:pPr>
      <w:r>
        <w:rPr>
          <w:rStyle w:val="Code"/>
        </w:rPr>
        <w:t>&lt;abbr&gt;</w:t>
      </w:r>
      <w:r>
        <w:t xml:space="preserve"> wrapping only graphemes present in the original, i.e. those that belong to the abbreviation </w:t>
      </w:r>
    </w:p>
    <w:p w14:paraId="3DE3C9BE" w14:textId="77777777">
      <w:pPr>
        <w:pStyle w:val="Lista2"/>
      </w:pPr>
      <w:r>
        <w:rPr>
          <w:rStyle w:val="Code"/>
        </w:rPr>
        <w:t>&lt;ex&gt;</w:t>
      </w:r>
      <w:r>
        <w:t xml:space="preserve"> wrapping only graphemes supplied to resolve the abbreviation, i.e. those that belong to the editorial expansion</w:t>
      </w:r>
    </w:p>
    <w:p w14:paraId="66BF4AF9" w14:textId="77777777">
      <w:pPr>
        <w:pStyle w:val="Lista3"/>
      </w:pPr>
      <w:r>
        <w:t xml:space="preserve">when you are unsure of an expansion but still wish to show it in the edition, add </w:t>
      </w:r>
      <w:r>
        <w:rPr>
          <w:rStyle w:val="Codeattribute"/>
        </w:rPr>
        <w:t>@cert</w:t>
      </w:r>
      <w:r>
        <w:rPr>
          <w:rStyle w:val="Codetext"/>
        </w:rPr>
        <w:t>=</w:t>
      </w:r>
      <w:r>
        <w:rPr>
          <w:rStyle w:val="Codevalue"/>
        </w:rPr>
        <w:t>"low"</w:t>
      </w:r>
      <w:r>
        <w:t xml:space="preserve">  to the </w:t>
      </w:r>
      <w:r>
        <w:rPr>
          <w:rStyle w:val="Code"/>
        </w:rPr>
        <w:t>&lt;ex&gt;</w:t>
      </w:r>
      <w:r>
        <w:t xml:space="preserve"> element</w:t>
      </w:r>
    </w:p>
    <w:p w14:paraId="53AC2133" w14:textId="77777777">
      <w:pPr>
        <w:pStyle w:val="Lista2"/>
      </w:pPr>
      <w:r>
        <w:t xml:space="preserve">should the abbreviation contain any graphemes which must be suppressed to obtain the expanded form of the abbreviation, wrap these in </w:t>
      </w:r>
      <w:r>
        <w:rPr>
          <w:rStyle w:val="Code"/>
        </w:rPr>
        <w:t>&lt;am&gt;</w:t>
      </w:r>
      <w:r>
        <w:t xml:space="preserve"> (for “abbreviation mark”) within the </w:t>
      </w:r>
      <w:r>
        <w:rPr>
          <w:rStyle w:val="Code"/>
        </w:rPr>
        <w:t>&lt;abbr&gt;</w:t>
      </w:r>
      <w:r>
        <w:t xml:space="preserve"> element</w:t>
      </w:r>
    </w:p>
    <w:p w14:paraId="0D828D34" w14:textId="77777777">
      <w:pPr>
        <w:pStyle w:val="Lista3"/>
      </w:pPr>
      <w:r>
        <w:t>the original purpose of this encoding was to allow suppressing actual abbreviation marks (TG §4.3.2) in resolved abbreviations</w:t>
      </w:r>
    </w:p>
    <w:p w14:paraId="646FB80A" w14:textId="77777777">
      <w:pPr>
        <w:pStyle w:val="Lista3"/>
      </w:pPr>
      <w:r>
        <w:t xml:space="preserve">in EpiDoc usage it is also applied to phonographic graphemes added to an abbreviation to indicate a plural or another change of the abbreviated word, e.g. Latin </w:t>
      </w:r>
      <w:r>
        <w:rPr>
          <w:rStyle w:val="Foreign"/>
        </w:rPr>
        <w:t>augg</w:t>
      </w:r>
      <w:r>
        <w:t xml:space="preserve"> abbreviating </w:t>
      </w:r>
      <w:r>
        <w:rPr>
          <w:rStyle w:val="Foreign"/>
        </w:rPr>
        <w:t>augusti duo</w:t>
      </w:r>
      <w:r>
        <w:t xml:space="preserve"> or English </w:t>
      </w:r>
      <w:r>
        <w:rPr>
          <w:rStyle w:val="Foreign"/>
        </w:rPr>
        <w:t>pp</w:t>
      </w:r>
      <w:r>
        <w:t xml:space="preserve"> abbreviating </w:t>
      </w:r>
      <w:r>
        <w:rPr>
          <w:rStyle w:val="Foreign"/>
        </w:rPr>
        <w:t>pages</w:t>
      </w:r>
    </w:p>
    <w:p w14:paraId="2CF441A8" w14:textId="77777777">
      <w:pPr>
        <w:pStyle w:val="Lista3"/>
      </w:pPr>
      <w:r>
        <w:t>so far, we have not encountered either of these phenomena in documents edited for DHARMA, but modern Indic writing systems do employ an abbreviation sign (e.g. Devanagari |</w:t>
      </w:r>
      <w:r>
        <w:rPr>
          <w:rStyle w:val="ForeignDevanagariScript0"/>
          <w:rFonts w:hint="cs"/>
          <w:cs/>
        </w:rPr>
        <w:t>॰</w:t>
      </w:r>
      <w:r>
        <w:t>|) and extra letters might conceivably be used in Indic abbreviations too, so the encoding option is available</w:t>
      </w:r>
    </w:p>
    <w:p w14:paraId="3187A4B2" w14:textId="77777777">
      <w:pPr>
        <w:pStyle w:val="Lista"/>
      </w:pPr>
      <w:r>
        <w:t>when resolving abbreviations in Sanskrit or another language with complex inflexion, feel free to resolve to stems (dictionary forms) when a specific fully inflected form cannot be predicted</w:t>
      </w:r>
    </w:p>
    <w:p w14:paraId="3BC61243" w14:textId="77777777">
      <w:pPr>
        <w:pStyle w:val="Lista2"/>
      </w:pPr>
      <w:r>
        <w:t xml:space="preserve">e.g. the abbreviation </w:t>
      </w:r>
      <w:r>
        <w:rPr>
          <w:rStyle w:val="Foreign"/>
        </w:rPr>
        <w:t>grī pa</w:t>
      </w:r>
      <w:r>
        <w:t xml:space="preserve"> is best resolved to </w:t>
      </w:r>
      <w:r>
        <w:rPr>
          <w:rStyle w:val="Foreign"/>
        </w:rPr>
        <w:t>grīṣma pakṣa</w:t>
      </w:r>
      <w:r>
        <w:t xml:space="preserve">, because a multiplicity of inflected forms are plausible (e.g. </w:t>
      </w:r>
      <w:r>
        <w:rPr>
          <w:rStyle w:val="Foreign"/>
        </w:rPr>
        <w:t>grīṣma-pakṣaḥ</w:t>
      </w:r>
      <w:r>
        <w:t xml:space="preserve">, </w:t>
      </w:r>
      <w:r>
        <w:rPr>
          <w:rStyle w:val="Foreign"/>
        </w:rPr>
        <w:t>grīṣma-pakṣe</w:t>
      </w:r>
      <w:r>
        <w:t xml:space="preserve">, </w:t>
      </w:r>
      <w:r>
        <w:rPr>
          <w:rStyle w:val="Foreign"/>
        </w:rPr>
        <w:t>grīṣmasya pakṣe</w:t>
      </w:r>
      <w:r>
        <w:t>)</w:t>
      </w:r>
    </w:p>
    <w:p w14:paraId="38B766C3" w14:textId="77777777">
      <w:pPr>
        <w:pStyle w:val="Lista"/>
      </w:pPr>
      <w:r>
        <w:t>examples of resolved abbreviations</w:t>
      </w:r>
    </w:p>
    <w:p w14:paraId="6EEE192F" w14:textId="77777777">
      <w:pPr>
        <w:pStyle w:val="Lista2"/>
      </w:pPr>
      <w:r>
        <w:t>abbreviation of a word by its initial grapheme(s)</w:t>
      </w:r>
    </w:p>
    <w:p w14:paraId="3F4911D1" w14:textId="77777777">
      <w:pPr>
        <w:pStyle w:val="Lista3"/>
      </w:pPr>
      <w:r>
        <w:t xml:space="preserve">the string </w:t>
      </w:r>
      <w:r>
        <w:rPr>
          <w:rStyle w:val="Foreign"/>
        </w:rPr>
        <w:t>mā</w:t>
      </w:r>
      <w:r>
        <w:t xml:space="preserve"> as an abbreviation of </w:t>
      </w:r>
      <w:r>
        <w:rPr>
          <w:rStyle w:val="Foreign"/>
        </w:rPr>
        <w:t>māṣa</w:t>
      </w:r>
      <w:r>
        <w:t xml:space="preserve">: </w:t>
      </w:r>
      <w:r>
        <w:rPr>
          <w:rStyle w:val="Code"/>
        </w:rPr>
        <w:t>&lt;expan&gt;&lt;abbr&gt;</w:t>
      </w:r>
      <w:r>
        <w:rPr>
          <w:rStyle w:val="Codetext"/>
        </w:rPr>
        <w:t>mā</w:t>
      </w:r>
      <w:r>
        <w:rPr>
          <w:rStyle w:val="Code"/>
        </w:rPr>
        <w:t>&lt;/abbr&gt;&lt;ex&gt;</w:t>
      </w:r>
      <w:r>
        <w:rPr>
          <w:rStyle w:val="Codetext"/>
        </w:rPr>
        <w:t>ṣa</w:t>
      </w:r>
      <w:r>
        <w:rPr>
          <w:rStyle w:val="Code"/>
        </w:rPr>
        <w:t>&lt;/ex&gt;&lt;/expan&gt;</w:t>
      </w:r>
      <w:r>
        <w:t xml:space="preserve"> </w:t>
      </w:r>
    </w:p>
    <w:p w14:paraId="713D4E92" w14:textId="77777777">
      <w:pPr>
        <w:pStyle w:val="Lista2"/>
      </w:pPr>
      <w:r>
        <w:t>abbreviation of a word by its final grapheme(s)</w:t>
      </w:r>
    </w:p>
    <w:p w14:paraId="57FC3A76" w14:textId="77777777">
      <w:pPr>
        <w:pStyle w:val="Lista3"/>
      </w:pPr>
      <w:r>
        <w:t xml:space="preserve">the string </w:t>
      </w:r>
      <w:r>
        <w:rPr>
          <w:rStyle w:val="Foreign"/>
        </w:rPr>
        <w:t>k·</w:t>
      </w:r>
      <w:r>
        <w:t xml:space="preserve"> </w:t>
      </w:r>
      <w:r>
        <w:rPr>
          <w:rStyle w:val="Foreign"/>
        </w:rPr>
        <w:t>tandoṅ·</w:t>
      </w:r>
      <w:r>
        <w:t xml:space="preserve"> as an abbreviation of </w:t>
      </w:r>
      <w:r>
        <w:rPr>
          <w:rStyle w:val="Foreign"/>
        </w:rPr>
        <w:t>jāk·</w:t>
      </w:r>
      <w:r>
        <w:t xml:space="preserve"> </w:t>
      </w:r>
      <w:r>
        <w:rPr>
          <w:rStyle w:val="Foreign"/>
        </w:rPr>
        <w:t>tandoṅ·</w:t>
      </w:r>
      <w:r>
        <w:t xml:space="preserve">: </w:t>
      </w:r>
      <w:r>
        <w:rPr>
          <w:rStyle w:val="Code"/>
        </w:rPr>
        <w:t>&lt;expan&gt;&lt;ex&gt;</w:t>
      </w:r>
      <w:r>
        <w:rPr>
          <w:rStyle w:val="Codetext"/>
        </w:rPr>
        <w:t>jā</w:t>
      </w:r>
      <w:r>
        <w:rPr>
          <w:rStyle w:val="Code"/>
        </w:rPr>
        <w:t>&lt;/ex&gt;&lt;abbr&gt;</w:t>
      </w:r>
      <w:r>
        <w:rPr>
          <w:rStyle w:val="Codetext"/>
        </w:rPr>
        <w:t>k·</w:t>
      </w:r>
      <w:r>
        <w:rPr>
          <w:rStyle w:val="Code"/>
        </w:rPr>
        <w:t>&lt;/abbr&gt; &lt;/expan&gt;</w:t>
      </w:r>
      <w:r>
        <w:rPr>
          <w:rStyle w:val="Codetext"/>
        </w:rPr>
        <w:t xml:space="preserve"> tandoṅ</w:t>
      </w:r>
    </w:p>
    <w:p w14:paraId="025BB1CA" w14:textId="77777777">
      <w:pPr>
        <w:pStyle w:val="Lista2"/>
      </w:pPr>
      <w:r>
        <w:t>abbreviation of a word by its initial and final grapheme(s)</w:t>
      </w:r>
    </w:p>
    <w:p w14:paraId="12C03B99" w14:textId="77777777">
      <w:pPr>
        <w:pStyle w:val="Lista3"/>
      </w:pPr>
      <w:r>
        <w:t xml:space="preserve">the string </w:t>
      </w:r>
      <w:r>
        <w:rPr>
          <w:rStyle w:val="Foreign"/>
        </w:rPr>
        <w:t>Im</w:t>
      </w:r>
      <w:r>
        <w:t xml:space="preserve"> as an abbreviation of </w:t>
      </w:r>
      <w:r>
        <w:rPr>
          <w:rStyle w:val="Foreign"/>
        </w:rPr>
        <w:t>Iraṇṭum</w:t>
      </w:r>
      <w:r>
        <w:t xml:space="preserve">: </w:t>
      </w:r>
      <w:r>
        <w:rPr>
          <w:rStyle w:val="Code"/>
        </w:rPr>
        <w:t>&lt;expan&gt;&lt;abbr&gt;</w:t>
      </w:r>
      <w:r>
        <w:rPr>
          <w:rStyle w:val="Codetext"/>
        </w:rPr>
        <w:t>I</w:t>
      </w:r>
      <w:r>
        <w:rPr>
          <w:rStyle w:val="Code"/>
        </w:rPr>
        <w:t>&lt;/abbr&gt;&lt;ex&gt;</w:t>
      </w:r>
      <w:r>
        <w:rPr>
          <w:rStyle w:val="Codetext"/>
        </w:rPr>
        <w:t>raṇṭu</w:t>
      </w:r>
      <w:r>
        <w:rPr>
          <w:rStyle w:val="Code"/>
        </w:rPr>
        <w:t>&lt;/ex&gt;&lt;abbr&gt;</w:t>
      </w:r>
      <w:r>
        <w:rPr>
          <w:rStyle w:val="Codetext"/>
        </w:rPr>
        <w:t>m</w:t>
      </w:r>
      <w:r>
        <w:rPr>
          <w:rStyle w:val="Code"/>
        </w:rPr>
        <w:t>&lt;/abbr&gt;&lt;/expan&gt;</w:t>
      </w:r>
      <w:r>
        <w:t xml:space="preserve"> </w:t>
      </w:r>
    </w:p>
    <w:p w14:paraId="73BB0C50" w14:textId="77777777">
      <w:pPr>
        <w:pStyle w:val="Lista2"/>
      </w:pPr>
      <w:r>
        <w:t>abbreviation of a compound word by the initial grapheme(s) of its members</w:t>
      </w:r>
    </w:p>
    <w:p w14:paraId="69D43E97" w14:textId="77777777">
      <w:pPr>
        <w:pStyle w:val="Lista3"/>
      </w:pPr>
      <w:r>
        <w:t xml:space="preserve">the string </w:t>
      </w:r>
      <w:r>
        <w:rPr>
          <w:rStyle w:val="Foreign"/>
        </w:rPr>
        <w:t>kuvā</w:t>
      </w:r>
      <w:r>
        <w:t xml:space="preserve"> as an abbreviation of </w:t>
      </w:r>
      <w:r>
        <w:rPr>
          <w:rStyle w:val="Foreign"/>
        </w:rPr>
        <w:t>kulyavāpa</w:t>
      </w:r>
      <w:r>
        <w:t xml:space="preserve">: </w:t>
      </w:r>
      <w:r>
        <w:rPr>
          <w:rStyle w:val="Code"/>
        </w:rPr>
        <w:t>&lt;expan&gt;&lt;abbr&gt;</w:t>
      </w:r>
      <w:r>
        <w:rPr>
          <w:rStyle w:val="Codetext"/>
        </w:rPr>
        <w:t>ku</w:t>
      </w:r>
      <w:r>
        <w:rPr>
          <w:rStyle w:val="Code"/>
        </w:rPr>
        <w:t>&lt;/abbr&gt;&lt;ex&gt;</w:t>
      </w:r>
      <w:r>
        <w:rPr>
          <w:rStyle w:val="Codetext"/>
        </w:rPr>
        <w:t>lya</w:t>
      </w:r>
      <w:r>
        <w:rPr>
          <w:rStyle w:val="Code"/>
        </w:rPr>
        <w:t>&lt;/ex&gt;&lt;abbr&gt;</w:t>
      </w:r>
      <w:r>
        <w:rPr>
          <w:rStyle w:val="Codetext"/>
        </w:rPr>
        <w:t>vā</w:t>
      </w:r>
      <w:r>
        <w:rPr>
          <w:rStyle w:val="Code"/>
        </w:rPr>
        <w:t>&lt;/abbr&gt;&lt;ex&gt;</w:t>
      </w:r>
      <w:r>
        <w:rPr>
          <w:rStyle w:val="Codetext"/>
        </w:rPr>
        <w:t>pa</w:t>
      </w:r>
      <w:r>
        <w:rPr>
          <w:rStyle w:val="Code"/>
        </w:rPr>
        <w:t>&lt;/ex&gt;&lt;/expan&gt;</w:t>
      </w:r>
      <w:r>
        <w:t xml:space="preserve"> </w:t>
      </w:r>
    </w:p>
    <w:p w14:paraId="0E72057E" w14:textId="77777777">
      <w:pPr>
        <w:pStyle w:val="Cmsor1"/>
      </w:pPr>
      <w:bookmarkStart w:id="779" w:name="_y8d6jllfz1" w:colFirst="0" w:colLast="0"/>
      <w:bookmarkStart w:id="780" w:name="_2s6au4dtqyfr" w:colFirst="0" w:colLast="0"/>
      <w:bookmarkStart w:id="781" w:name="_msv3i980wz4v" w:colFirst="0" w:colLast="0"/>
      <w:bookmarkStart w:id="782" w:name="_if22uogatvm3" w:colFirst="0" w:colLast="0"/>
      <w:bookmarkStart w:id="783" w:name="_c4m58vl65n98" w:colFirst="0" w:colLast="0"/>
      <w:bookmarkStart w:id="784" w:name="_Ref43978773"/>
      <w:bookmarkStart w:id="785" w:name="_Toc243900380"/>
      <w:bookmarkEnd w:id="779"/>
      <w:bookmarkEnd w:id="780"/>
      <w:bookmarkEnd w:id="781"/>
      <w:bookmarkEnd w:id="782"/>
      <w:bookmarkEnd w:id="783"/>
      <w:r>
        <w:lastRenderedPageBreak/>
        <w:t>The critical apparatus</w:t>
      </w:r>
      <w:bookmarkEnd w:id="784"/>
      <w:bookmarkEnd w:id="785"/>
    </w:p>
    <w:p w14:paraId="4749760F" w14:textId="77777777">
      <w:r>
        <w:t xml:space="preserve">The primary purpose of a critical apparatus in our project’s documentary editions is to record substantive alternative readings, restorations and emendations by previous editors. Unless a specific sub-corpus or a particular text requires this, a complete record of minor differences </w:t>
      </w:r>
      <w:r>
        <w:rPr>
          <w:noProof/>
        </w:rPr>
        <w:t>(</w:t>
      </w:r>
      <w:r>
        <w:t>e.g. typing and printing errors, orthographic normalisation or whether a reading is shown as unclear or tentatively read/reconstructed) is not desirable. Your own editorial emendations (§</w:t>
      </w:r>
      <w:r>
        <w:fldChar w:fldCharType="begin"/>
      </w:r>
      <w:r>
        <w:instrText xml:space="preserve"> REF _Ref43978565 \r \h </w:instrText>
      </w:r>
      <w:r>
        <w:fldChar w:fldCharType="separate"/>
      </w:r>
      <w:r>
        <w:t>7</w:t>
      </w:r>
      <w:r>
        <w:fldChar w:fldCharType="end"/>
      </w:r>
      <w:r>
        <w:t>) and restorations (§</w:t>
      </w:r>
      <w:r>
        <w:fldChar w:fldCharType="begin"/>
      </w:r>
      <w:r>
        <w:instrText xml:space="preserve"> REF _Ref228459751 \r \h </w:instrText>
      </w:r>
      <w:r>
        <w:fldChar w:fldCharType="separate"/>
      </w:r>
      <w:r>
        <w:t>6.4</w:t>
      </w:r>
      <w:r>
        <w:fldChar w:fldCharType="end"/>
      </w:r>
      <w:r>
        <w:t>) must be encoded within the edition rather than being shown in the critical apparatus. However, apparatus notes can and should be used to add details or reasoning to such choices, and to record highly tentative proposals you are not confident enough to include in the edition itself.</w:t>
      </w:r>
    </w:p>
    <w:p w14:paraId="6842FBA2" w14:textId="77777777">
      <w:pPr>
        <w:pStyle w:val="Normlbehzs"/>
      </w:pPr>
      <w:r>
        <w:t>TEI and EpiDoc provide a variety of methods for encoding a critical apparatus for a scholarly edition. In DHARMA documentary editions we limit ourselves to an external apparatus criticus, meaning that the apparatus entries are encoded in a section separate from the edition, with each entry containing a reference to a locus of the text that is human-readable but not fully machine-actionable. For the sake of project-wide consistency and ease of processing, the external apparatus shall always be encoded as set out in this section.</w:t>
      </w:r>
    </w:p>
    <w:p w14:paraId="6CBC5C0D" w14:textId="77777777">
      <w:pPr>
        <w:pStyle w:val="Cmsor2"/>
      </w:pPr>
      <w:bookmarkStart w:id="786" w:name="_wvqmcsurv552" w:colFirst="0" w:colLast="0"/>
      <w:bookmarkStart w:id="787" w:name="_Toc243900381"/>
      <w:bookmarkEnd w:id="786"/>
      <w:r>
        <w:t>Encoding the critical apparatus</w:t>
      </w:r>
      <w:bookmarkEnd w:id="787"/>
    </w:p>
    <w:p w14:paraId="112455A3" w14:textId="77777777">
      <w:pPr>
        <w:pStyle w:val="Lista"/>
      </w:pPr>
      <w:r>
        <w:t xml:space="preserve">after your </w:t>
      </w:r>
      <w:r>
        <w:rPr>
          <w:rStyle w:val="Code"/>
        </w:rPr>
        <w:t xml:space="preserve">&lt;div </w:t>
      </w:r>
      <w:r>
        <w:rPr>
          <w:rStyle w:val="Codeattribute"/>
        </w:rPr>
        <w:t>type</w:t>
      </w:r>
      <w:r>
        <w:rPr>
          <w:rStyle w:val="Code"/>
        </w:rPr>
        <w:t>=</w:t>
      </w:r>
      <w:r>
        <w:rPr>
          <w:rStyle w:val="Codevalue"/>
        </w:rPr>
        <w:t>"edition"</w:t>
      </w:r>
      <w:r>
        <w:rPr>
          <w:rStyle w:val="Code"/>
        </w:rPr>
        <w:t>&gt;</w:t>
      </w:r>
      <w:r>
        <w:t xml:space="preserve"> element, your document must include a </w:t>
      </w:r>
      <w:r>
        <w:rPr>
          <w:rStyle w:val="Code"/>
        </w:rPr>
        <w:t xml:space="preserve">&lt;div </w:t>
      </w:r>
      <w:r>
        <w:rPr>
          <w:rStyle w:val="Codeattribute"/>
        </w:rPr>
        <w:t>type</w:t>
      </w:r>
      <w:r>
        <w:rPr>
          <w:rStyle w:val="Code"/>
        </w:rPr>
        <w:t>=</w:t>
      </w:r>
      <w:r>
        <w:rPr>
          <w:rStyle w:val="Codevalue"/>
        </w:rPr>
        <w:t>"apparatus"</w:t>
      </w:r>
      <w:r>
        <w:rPr>
          <w:rStyle w:val="Code"/>
        </w:rPr>
        <w:t>&gt;</w:t>
      </w:r>
      <w:r>
        <w:t>, without any attributes</w:t>
      </w:r>
    </w:p>
    <w:p w14:paraId="39F60BE2" w14:textId="77777777">
      <w:pPr>
        <w:pStyle w:val="Lista"/>
        <w:rPr>
          <w:rStyle w:val="Code"/>
          <w:rFonts w:ascii="Gentium" w:hAnsi="Gentium" w:cs="Tiro Devanagari Sanskrit"/>
          <w:noProof w:val="0"/>
          <w:color w:val="auto"/>
          <w:shd w:val="clear" w:color="auto" w:fill="auto"/>
        </w:rPr>
      </w:pPr>
      <w:r>
        <w:t xml:space="preserve">the direct child of this container must be the element  </w:t>
      </w:r>
      <w:r>
        <w:rPr>
          <w:rStyle w:val="Code"/>
        </w:rPr>
        <w:t>&lt;listApp&gt;</w:t>
      </w:r>
    </w:p>
    <w:p w14:paraId="2F32A363" w14:textId="77777777">
      <w:pPr>
        <w:pStyle w:val="Lista"/>
      </w:pPr>
      <w:r>
        <w:t>these skeleton containers are already present in our templates and will not need to be created by you</w:t>
      </w:r>
    </w:p>
    <w:p w14:paraId="44B2CEFA" w14:textId="77777777">
      <w:pPr>
        <w:pStyle w:val="Lista2"/>
      </w:pPr>
      <w:r>
        <w:t>but if your edition division includes boxlike partitions (§</w:t>
      </w:r>
      <w:r>
        <w:fldChar w:fldCharType="begin"/>
      </w:r>
      <w:r>
        <w:instrText xml:space="preserve"> REF _Ref225778181 \r \h </w:instrText>
      </w:r>
      <w:r>
        <w:fldChar w:fldCharType="separate"/>
      </w:r>
      <w:r>
        <w:t>4.2</w:t>
      </w:r>
      <w:r>
        <w:fldChar w:fldCharType="end"/>
      </w:r>
      <w:r>
        <w:t xml:space="preserve">), then all corresponding textpart divisions must be replicated within the </w:t>
      </w:r>
      <w:r>
        <w:rPr>
          <w:rStyle w:val="Code"/>
        </w:rPr>
        <w:t xml:space="preserve">&lt;div </w:t>
      </w:r>
      <w:r>
        <w:rPr>
          <w:rStyle w:val="Codeattribute"/>
        </w:rPr>
        <w:t>type</w:t>
      </w:r>
      <w:r>
        <w:rPr>
          <w:rStyle w:val="Code"/>
        </w:rPr>
        <w:t>=</w:t>
      </w:r>
      <w:r>
        <w:rPr>
          <w:rStyle w:val="Codevalue"/>
        </w:rPr>
        <w:t>"apparatus"</w:t>
      </w:r>
      <w:r>
        <w:rPr>
          <w:rStyle w:val="Code"/>
        </w:rPr>
        <w:t>&gt;</w:t>
      </w:r>
      <w:r>
        <w:t xml:space="preserve"> as described in §</w:t>
      </w:r>
      <w:r>
        <w:fldChar w:fldCharType="begin"/>
      </w:r>
      <w:r>
        <w:instrText xml:space="preserve"> REF _Ref43989464 \w \h  \* MERGEFORMAT </w:instrText>
      </w:r>
      <w:r>
        <w:fldChar w:fldCharType="separate"/>
      </w:r>
      <w:r>
        <w:t>10.1.1</w:t>
      </w:r>
      <w:r>
        <w:fldChar w:fldCharType="end"/>
      </w:r>
      <w:r>
        <w:t xml:space="preserve">, and </w:t>
      </w:r>
      <w:r>
        <w:rPr>
          <w:rStyle w:val="Code"/>
        </w:rPr>
        <w:t>&lt;listApp&gt;</w:t>
      </w:r>
      <w:r>
        <w:t xml:space="preserve"> must be created separately for each textpart division within the apparatus</w:t>
      </w:r>
    </w:p>
    <w:p w14:paraId="1ABB27A3" w14:textId="77777777">
      <w:pPr>
        <w:pStyle w:val="Lista"/>
      </w:pPr>
      <w:r>
        <w:t xml:space="preserve">within </w:t>
      </w:r>
      <w:r>
        <w:rPr>
          <w:rStyle w:val="Code"/>
        </w:rPr>
        <w:t>&lt;listApp&gt;</w:t>
      </w:r>
      <w:r>
        <w:t xml:space="preserve">, each apparatus entry must be individually wrapped in the element </w:t>
      </w:r>
      <w:r>
        <w:rPr>
          <w:rStyle w:val="Code"/>
        </w:rPr>
        <w:t>&lt;app&gt;</w:t>
      </w:r>
    </w:p>
    <w:p w14:paraId="18EC5163" w14:textId="77777777">
      <w:pPr>
        <w:pStyle w:val="Lista2"/>
      </w:pPr>
      <w:r>
        <w:t xml:space="preserve">with the mandatory attribute </w:t>
      </w:r>
      <w:r>
        <w:rPr>
          <w:rStyle w:val="Codeattribute"/>
        </w:rPr>
        <w:t>@loc</w:t>
      </w:r>
      <w:r>
        <w:t xml:space="preserve"> to indicate the location </w:t>
      </w:r>
      <w:r>
        <w:rPr>
          <w:noProof/>
        </w:rPr>
        <w:t>(</w:t>
      </w:r>
      <w:r>
        <w:t>epigraphic line) to which your entry pertains, as per §</w:t>
      </w:r>
      <w:r>
        <w:fldChar w:fldCharType="begin"/>
      </w:r>
      <w:r>
        <w:instrText xml:space="preserve"> REF _Ref43978538 \w \h  \* MERGEFORMAT </w:instrText>
      </w:r>
      <w:r>
        <w:fldChar w:fldCharType="separate"/>
      </w:r>
      <w:r>
        <w:t>10.1.1</w:t>
      </w:r>
      <w:r>
        <w:fldChar w:fldCharType="end"/>
      </w:r>
      <w:r>
        <w:t xml:space="preserve"> below</w:t>
      </w:r>
    </w:p>
    <w:p w14:paraId="3CFB0D25" w14:textId="77777777">
      <w:pPr>
        <w:pStyle w:val="Lista"/>
      </w:pPr>
      <w:r>
        <w:t xml:space="preserve">each </w:t>
      </w:r>
      <w:r>
        <w:rPr>
          <w:rStyle w:val="Code"/>
        </w:rPr>
        <w:t>&lt;app&gt;</w:t>
      </w:r>
      <w:r>
        <w:t xml:space="preserve"> element must contain </w:t>
      </w:r>
      <w:r>
        <w:rPr>
          <w:rStyle w:val="Code"/>
        </w:rPr>
        <w:t>&lt;lem&gt;</w:t>
      </w:r>
      <w:r>
        <w:t xml:space="preserve"> as its first child element, containing a lemma encoded as per §</w:t>
      </w:r>
      <w:r>
        <w:fldChar w:fldCharType="begin"/>
      </w:r>
      <w:r>
        <w:instrText xml:space="preserve"> REF _Ref61250887 \r \h </w:instrText>
      </w:r>
      <w:r>
        <w:fldChar w:fldCharType="separate"/>
      </w:r>
      <w:r>
        <w:t>10.3</w:t>
      </w:r>
      <w:r>
        <w:fldChar w:fldCharType="end"/>
      </w:r>
      <w:r>
        <w:t xml:space="preserve"> below</w:t>
      </w:r>
    </w:p>
    <w:p w14:paraId="0634178A" w14:textId="77777777">
      <w:pPr>
        <w:pStyle w:val="Lista"/>
      </w:pPr>
      <w:r>
        <w:t xml:space="preserve">in addition to and after </w:t>
      </w:r>
      <w:r>
        <w:rPr>
          <w:rStyle w:val="Code"/>
        </w:rPr>
        <w:t>&lt;lem&gt;</w:t>
      </w:r>
      <w:r>
        <w:t xml:space="preserve">, each </w:t>
      </w:r>
      <w:r>
        <w:rPr>
          <w:rStyle w:val="Code"/>
        </w:rPr>
        <w:t>&lt;app&gt;</w:t>
      </w:r>
      <w:r>
        <w:t xml:space="preserve"> element must normally contain at least one of the following</w:t>
      </w:r>
    </w:p>
    <w:p w14:paraId="1777CD78" w14:textId="77777777">
      <w:pPr>
        <w:pStyle w:val="Lista2"/>
      </w:pPr>
      <w:r>
        <w:t xml:space="preserve">one or more </w:t>
      </w:r>
      <w:r>
        <w:rPr>
          <w:rStyle w:val="Code"/>
        </w:rPr>
        <w:t>&lt;rdg&gt;</w:t>
      </w:r>
      <w:r>
        <w:t xml:space="preserve"> elements </w:t>
      </w:r>
      <w:r>
        <w:rPr>
          <w:noProof/>
        </w:rPr>
        <w:t>(</w:t>
      </w:r>
      <w:r>
        <w:t>one for each alternative reading/restoration/emendation), as per §</w:t>
      </w:r>
      <w:r>
        <w:fldChar w:fldCharType="begin"/>
      </w:r>
      <w:r>
        <w:instrText xml:space="preserve"> REF _Ref43989425 \w \h  \* MERGEFORMAT </w:instrText>
      </w:r>
      <w:r>
        <w:fldChar w:fldCharType="separate"/>
      </w:r>
      <w:r>
        <w:t>10.4</w:t>
      </w:r>
      <w:r>
        <w:fldChar w:fldCharType="end"/>
      </w:r>
      <w:r>
        <w:t xml:space="preserve"> below</w:t>
      </w:r>
    </w:p>
    <w:p w14:paraId="6A12413E" w14:textId="77777777">
      <w:pPr>
        <w:pStyle w:val="Lista2"/>
      </w:pPr>
      <w:r>
        <w:t xml:space="preserve">one or more </w:t>
      </w:r>
      <w:r>
        <w:rPr>
          <w:rStyle w:val="Code"/>
        </w:rPr>
        <w:t>&lt;note&gt;</w:t>
      </w:r>
      <w:r>
        <w:t xml:space="preserve"> elements containing a human-readable note in freeform text pertaining to that particular lemma, as per §</w:t>
      </w:r>
      <w:r>
        <w:fldChar w:fldCharType="begin"/>
      </w:r>
      <w:r>
        <w:instrText xml:space="preserve"> REF _Ref43988104 \w \h  \* MERGEFORMAT </w:instrText>
      </w:r>
      <w:r>
        <w:fldChar w:fldCharType="separate"/>
      </w:r>
      <w:r>
        <w:t>10.7</w:t>
      </w:r>
      <w:r>
        <w:fldChar w:fldCharType="end"/>
      </w:r>
      <w:r>
        <w:t xml:space="preserve"> below</w:t>
      </w:r>
    </w:p>
    <w:p w14:paraId="595DE0C2" w14:textId="77777777">
      <w:pPr>
        <w:pStyle w:val="Lista"/>
      </w:pPr>
      <w:r>
        <w:t>a lemma without either a reading or a note may be used to credit a previous editor for a reading as per §</w:t>
      </w:r>
      <w:r>
        <w:fldChar w:fldCharType="begin"/>
      </w:r>
      <w:r>
        <w:instrText xml:space="preserve"> REF _Ref232167741 \r \h </w:instrText>
      </w:r>
      <w:r>
        <w:fldChar w:fldCharType="separate"/>
      </w:r>
      <w:r>
        <w:t>10.3.3</w:t>
      </w:r>
      <w:r>
        <w:fldChar w:fldCharType="end"/>
      </w:r>
    </w:p>
    <w:p w14:paraId="4AD55815" w14:textId="03A102A1">
      <w:pPr>
        <w:pStyle w:val="Lista"/>
      </w:pPr>
      <w:r>
        <w:t xml:space="preserve">the framework of the apparatus is illustrated in </w:t>
      </w:r>
      <w:r>
        <w:fldChar w:fldCharType="begin"/>
      </w:r>
      <w:r>
        <w:instrText xml:space="preserve"> REF _Ref232153771 \h </w:instrText>
      </w:r>
      <w:r>
        <w:fldChar w:fldCharType="separate"/>
      </w:r>
      <w:r>
        <w:t xml:space="preserve">Exhibit </w:t>
      </w:r>
      <w:r>
        <w:rPr>
          <w:noProof/>
        </w:rPr>
        <w:t>10.1</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3A0C21B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5A0EF60" w14:textId="77777777">
            <w:pPr>
              <w:pStyle w:val="Kpalrs"/>
            </w:pPr>
            <w:bookmarkStart w:id="788" w:name="_Ref232153771"/>
            <w:r>
              <w:lastRenderedPageBreak/>
              <w:t xml:space="preserve">Exhibit </w:t>
            </w:r>
            <w:fldSimple w:instr=" STYLEREF 2 \s ">
              <w:r>
                <w:rPr>
                  <w:noProof/>
                </w:rPr>
                <w:t>10.1</w:t>
              </w:r>
            </w:fldSimple>
            <w:r>
              <w:t>.</w:t>
            </w:r>
            <w:fldSimple w:instr=" SEQ Exhibit \* ALPHABETIC \s 2 ">
              <w:r>
                <w:rPr>
                  <w:noProof/>
                </w:rPr>
                <w:t>A</w:t>
              </w:r>
            </w:fldSimple>
            <w:bookmarkEnd w:id="788"/>
            <w:r>
              <w:t>: example of a critical apparatus</w:t>
            </w:r>
          </w:p>
        </w:tc>
      </w:tr>
      <w:tr w14:paraId="7F76242F" w14:textId="77777777">
        <w:tc>
          <w:tcPr>
            <w:tcW w:w="5000" w:type="pct"/>
          </w:tcPr>
          <w:p w14:paraId="7E75922F" w14:textId="77777777">
            <w:pPr>
              <w:pStyle w:val="TableNote"/>
              <w:keepNext/>
              <w:rPr>
                <w:rStyle w:val="Code"/>
              </w:rPr>
            </w:pPr>
            <w:r>
              <w:t>a snippet from an edition</w:t>
            </w:r>
          </w:p>
        </w:tc>
      </w:tr>
      <w:tr w14:paraId="01C20CD5" w14:textId="77777777">
        <w:tc>
          <w:tcPr>
            <w:tcW w:w="5000" w:type="pct"/>
          </w:tcPr>
          <w:p w14:paraId="72571CE0" w14:textId="77777777">
            <w:pPr>
              <w:pStyle w:val="CodeParagraph"/>
              <w:keepNext/>
              <w:rPr>
                <w:rStyle w:val="Code"/>
              </w:rPr>
            </w:pPr>
            <w:r>
              <w:rPr>
                <w:rStyle w:val="Code"/>
              </w:rPr>
              <w:t xml:space="preserve">&lt;div </w:t>
            </w:r>
            <w:r>
              <w:rPr>
                <w:rStyle w:val="Codeattribute"/>
              </w:rPr>
              <w:t>type</w:t>
            </w:r>
            <w:r>
              <w:rPr>
                <w:rStyle w:val="Code"/>
              </w:rPr>
              <w:t>=</w:t>
            </w:r>
            <w:r>
              <w:rPr>
                <w:rStyle w:val="Codevalue"/>
              </w:rPr>
              <w:t xml:space="preserve">"edition" </w:t>
            </w:r>
            <w:r>
              <w:rPr>
                <w:rStyle w:val="Codeattribute"/>
              </w:rPr>
              <w:t>xml:lang</w:t>
            </w:r>
            <w:r>
              <w:rPr>
                <w:rStyle w:val="Code"/>
              </w:rPr>
              <w:t>=</w:t>
            </w:r>
            <w:r>
              <w:rPr>
                <w:rStyle w:val="Codevalue"/>
              </w:rPr>
              <w:t>"san-Latn"</w:t>
            </w:r>
            <w:r>
              <w:rPr>
                <w:rStyle w:val="Code"/>
              </w:rPr>
              <w:t>&gt;</w:t>
            </w:r>
            <w:r>
              <w:rPr>
                <w:rStyle w:val="Codetext"/>
              </w:rPr>
              <w:br/>
              <w:t xml:space="preserve">  [...]</w:t>
            </w:r>
            <w:r>
              <w:rPr>
                <w:rStyle w:val="Codetext"/>
              </w:rPr>
              <w:br/>
            </w:r>
            <w:r>
              <w:rPr>
                <w:rStyle w:val="Code"/>
              </w:rPr>
              <w:t xml:space="preserve">  &lt;lg </w:t>
            </w:r>
            <w:r>
              <w:rPr>
                <w:rStyle w:val="Codeattribute"/>
              </w:rPr>
              <w:t>n=</w:t>
            </w:r>
            <w:r>
              <w:rPr>
                <w:rStyle w:val="Codevalue"/>
              </w:rPr>
              <w:t>"3"</w:t>
            </w:r>
            <w:r>
              <w:rPr>
                <w:rStyle w:val="Code"/>
              </w:rPr>
              <w:t xml:space="preserve"> </w:t>
            </w:r>
            <w:r>
              <w:rPr>
                <w:rStyle w:val="Codeattribute"/>
              </w:rPr>
              <w:t>met=</w:t>
            </w:r>
            <w:r>
              <w:rPr>
                <w:rStyle w:val="Codevalue"/>
              </w:rPr>
              <w:t>"anuṣṭubh"</w:t>
            </w:r>
            <w:r>
              <w:rPr>
                <w:rStyle w:val="Code"/>
              </w:rPr>
              <w:t>&gt;</w:t>
            </w:r>
          </w:p>
          <w:p w14:paraId="12FBBCAE" w14:textId="77777777">
            <w:pPr>
              <w:pStyle w:val="CodeParagraph"/>
              <w:keepNext/>
              <w:rPr>
                <w:rStyle w:val="Code"/>
              </w:rPr>
            </w:pPr>
            <w:r>
              <w:rPr>
                <w:rStyle w:val="Code"/>
              </w:rPr>
              <w:t xml:space="preserve">    &lt;l </w:t>
            </w:r>
            <w:r>
              <w:rPr>
                <w:rStyle w:val="Codeattribute"/>
              </w:rPr>
              <w:t>n=</w:t>
            </w:r>
            <w:r>
              <w:rPr>
                <w:rStyle w:val="Codevalue"/>
              </w:rPr>
              <w:t>"a"</w:t>
            </w:r>
            <w:r>
              <w:rPr>
                <w:rStyle w:val="Code"/>
              </w:rPr>
              <w:t>&gt;</w:t>
            </w:r>
            <w:r>
              <w:rPr>
                <w:rStyle w:val="Codetext"/>
              </w:rPr>
              <w:t>brahma-svan tu 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ghora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&lt;/supplied&gt;&lt;/l&gt;</w:t>
            </w:r>
          </w:p>
          <w:p w14:paraId="5E822A10" w14:textId="77777777">
            <w:pPr>
              <w:pStyle w:val="CodeParagraph"/>
              <w:keepNext/>
              <w:rPr>
                <w:rStyle w:val="Code"/>
              </w:rPr>
            </w:pPr>
            <w:r>
              <w:rPr>
                <w:rStyle w:val="Code"/>
              </w:rPr>
              <w:t xml:space="preserve">    &lt;l </w:t>
            </w:r>
            <w:r>
              <w:rPr>
                <w:rStyle w:val="Codeattribute"/>
              </w:rPr>
              <w:t>n=</w:t>
            </w:r>
            <w:r>
              <w:rPr>
                <w:rStyle w:val="Codevalue"/>
              </w:rPr>
              <w:t>"b"</w:t>
            </w:r>
            <w:r>
              <w:rPr>
                <w:rStyle w:val="Code"/>
              </w:rPr>
              <w:t>&gt;</w:t>
            </w:r>
            <w:r>
              <w:rPr>
                <w:rStyle w:val="Codetext"/>
              </w:rPr>
              <w:t>na 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viṣam ucyate</w:t>
            </w:r>
            <w:r>
              <w:rPr>
                <w:rStyle w:val="Code"/>
              </w:rPr>
              <w:t>&lt;/l&gt;</w:t>
            </w:r>
          </w:p>
          <w:p w14:paraId="42949343" w14:textId="77777777">
            <w:pPr>
              <w:pStyle w:val="CodeParagraph"/>
              <w:keepNext/>
              <w:rPr>
                <w:rStyle w:val="Code"/>
              </w:rPr>
            </w:pPr>
            <w:r>
              <w:rPr>
                <w:rStyle w:val="Code"/>
              </w:rPr>
              <w:t xml:space="preserve">    &lt;l </w:t>
            </w:r>
            <w:r>
              <w:rPr>
                <w:rStyle w:val="Codeattribute"/>
              </w:rPr>
              <w:t>n=</w:t>
            </w:r>
            <w:r>
              <w:rPr>
                <w:rStyle w:val="Codevalue"/>
              </w:rPr>
              <w:t>"c"</w:t>
            </w:r>
            <w:r>
              <w:rPr>
                <w:rStyle w:val="Code"/>
              </w:rPr>
              <w:t>&gt;</w:t>
            </w:r>
            <w:r>
              <w:rPr>
                <w:rStyle w:val="Codetext"/>
              </w:rPr>
              <w:t>viṣa</w:t>
            </w:r>
            <w:r>
              <w:rPr>
                <w:rStyle w:val="Code"/>
              </w:rPr>
              <w:t xml:space="preserve">&lt;lb </w:t>
            </w:r>
            <w:r>
              <w:rPr>
                <w:rStyle w:val="Codeattribute"/>
              </w:rPr>
              <w:t>n=</w:t>
            </w:r>
            <w:r>
              <w:rPr>
                <w:rStyle w:val="Codevalue"/>
              </w:rPr>
              <w:t>"25"</w:t>
            </w:r>
            <w:r>
              <w:rPr>
                <w:rStyle w:val="Code"/>
              </w:rPr>
              <w:t xml:space="preserve"> </w:t>
            </w:r>
            <w:r>
              <w:rPr>
                <w:rStyle w:val="Codeattribute"/>
              </w:rPr>
              <w:t>break=</w:t>
            </w:r>
            <w:r>
              <w:rPr>
                <w:rStyle w:val="Codevalue"/>
              </w:rPr>
              <w:t>"no"</w:t>
            </w:r>
            <w:r>
              <w:rPr>
                <w:rStyle w:val="Code"/>
              </w:rPr>
              <w:t>/&gt;</w:t>
            </w:r>
            <w:r>
              <w:rPr>
                <w:rStyle w:val="Codetext"/>
              </w:rPr>
              <w:t xml:space="preserve">m </w:t>
            </w:r>
            <w:r>
              <w:rPr>
                <w:rStyle w:val="Code"/>
              </w:rPr>
              <w:t>&lt;unclear&gt;</w:t>
            </w:r>
            <w:r>
              <w:rPr>
                <w:rStyle w:val="Codetext"/>
              </w:rPr>
              <w:t>e</w:t>
            </w:r>
            <w:r>
              <w:rPr>
                <w:rStyle w:val="Code"/>
              </w:rPr>
              <w:t>&lt;/unclear&gt;</w:t>
            </w:r>
            <w:r>
              <w:rPr>
                <w:rStyle w:val="Codetext"/>
              </w:rPr>
              <w:t>kākin</w:t>
            </w:r>
            <w:r>
              <w:rPr>
                <w:rStyle w:val="Code"/>
              </w:rPr>
              <w:t>&lt;choice&gt;&lt;sic&gt;</w:t>
            </w:r>
            <w:r>
              <w:rPr>
                <w:rStyle w:val="Codetext"/>
              </w:rPr>
              <w:t>ā</w:t>
            </w:r>
            <w:r>
              <w:rPr>
                <w:rStyle w:val="Code"/>
              </w:rPr>
              <w:t>&lt;/sic&gt;&lt;corr&gt;</w:t>
            </w:r>
            <w:r>
              <w:rPr>
                <w:rStyle w:val="Codetext"/>
              </w:rPr>
              <w:t>a</w:t>
            </w:r>
            <w:r>
              <w:rPr>
                <w:rStyle w:val="Code"/>
              </w:rPr>
              <w:t>&lt;/corr&gt;&lt;/choice&gt;</w:t>
            </w:r>
            <w:r>
              <w:rPr>
                <w:rStyle w:val="Codetext"/>
              </w:rPr>
              <w:t>ṁ hanti</w:t>
            </w:r>
            <w:r>
              <w:rPr>
                <w:rStyle w:val="Code"/>
              </w:rPr>
              <w:t>&lt;/l&gt;</w:t>
            </w:r>
          </w:p>
          <w:p w14:paraId="58E236F2" w14:textId="77777777">
            <w:pPr>
              <w:pStyle w:val="CodeParagraph"/>
              <w:keepNext/>
              <w:rPr>
                <w:rStyle w:val="Code"/>
              </w:rPr>
            </w:pPr>
            <w:r>
              <w:rPr>
                <w:rStyle w:val="Code"/>
              </w:rPr>
              <w:t xml:space="preserve">    &lt;l </w:t>
            </w:r>
            <w:r>
              <w:rPr>
                <w:rStyle w:val="Codeattribute"/>
              </w:rPr>
              <w:t>n=</w:t>
            </w:r>
            <w:r>
              <w:rPr>
                <w:rStyle w:val="Codevalue"/>
              </w:rPr>
              <w:t>"d"</w:t>
            </w:r>
            <w:r>
              <w:rPr>
                <w:rStyle w:val="Code"/>
              </w:rPr>
              <w:t>&gt;</w:t>
            </w:r>
            <w:r>
              <w:rPr>
                <w:rStyle w:val="Codetext"/>
              </w:rPr>
              <w:t>brahma-svaM putra-p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trikaM</w:t>
            </w:r>
            <w:r>
              <w:rPr>
                <w:rStyle w:val="Code"/>
              </w:rPr>
              <w:t>&lt;/l&gt;</w:t>
            </w:r>
          </w:p>
          <w:p w14:paraId="7962D84C" w14:textId="77777777">
            <w:pPr>
              <w:pStyle w:val="CodeParagraph"/>
              <w:keepNext/>
              <w:rPr>
                <w:rStyle w:val="Code"/>
              </w:rPr>
            </w:pPr>
            <w:r>
              <w:rPr>
                <w:rStyle w:val="Code"/>
              </w:rPr>
              <w:t xml:space="preserve">  &lt;/lg&gt;</w:t>
            </w:r>
          </w:p>
          <w:p w14:paraId="6010DB83" w14:textId="77777777">
            <w:pPr>
              <w:pStyle w:val="CodeParagraph"/>
              <w:keepNext/>
            </w:pPr>
            <w:r>
              <w:rPr>
                <w:rStyle w:val="Codetext"/>
              </w:rPr>
              <w:t xml:space="preserve">  [...]</w:t>
            </w:r>
            <w:r>
              <w:rPr>
                <w:rStyle w:val="Codetext"/>
              </w:rPr>
              <w:br/>
            </w:r>
            <w:r>
              <w:rPr>
                <w:rStyle w:val="Code"/>
              </w:rPr>
              <w:t>&lt;/div&gt;</w:t>
            </w:r>
          </w:p>
        </w:tc>
      </w:tr>
      <w:tr w14:paraId="2FC12FBF" w14:textId="77777777">
        <w:tc>
          <w:tcPr>
            <w:tcW w:w="5000" w:type="pct"/>
          </w:tcPr>
          <w:p w14:paraId="0C72EB7F" w14:textId="77777777">
            <w:pPr>
              <w:pStyle w:val="TableNote"/>
              <w:keepNext/>
              <w:rPr>
                <w:rStyle w:val="Code"/>
              </w:rPr>
            </w:pPr>
            <w:r>
              <w:t>and from the corresponding apparatus</w:t>
            </w:r>
          </w:p>
        </w:tc>
      </w:tr>
      <w:tr w14:paraId="439A51F0" w14:textId="77777777">
        <w:tc>
          <w:tcPr>
            <w:tcW w:w="5000" w:type="pct"/>
          </w:tcPr>
          <w:p w14:paraId="21517D3C" w14:textId="77777777">
            <w:pPr>
              <w:pStyle w:val="CodeParagraph"/>
              <w:rPr>
                <w:rStyle w:val="Code"/>
              </w:rPr>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r>
            <w:r>
              <w:rPr>
                <w:rStyle w:val="Code"/>
              </w:rPr>
              <w:t xml:space="preserve">  &lt;listApp&gt;</w:t>
            </w:r>
            <w:r>
              <w:rPr>
                <w:rStyle w:val="Codetext"/>
              </w:rPr>
              <w:br/>
              <w:t xml:space="preserve">    [...]</w:t>
            </w:r>
            <w:r>
              <w:rPr>
                <w:rStyle w:val="Codetext"/>
              </w:rPr>
              <w:br/>
            </w:r>
            <w:r>
              <w:rPr>
                <w:rStyle w:val="Code"/>
              </w:rPr>
              <w:t xml:space="preserve">    &lt;app </w:t>
            </w:r>
            <w:r>
              <w:rPr>
                <w:rStyle w:val="Codeattribute"/>
              </w:rPr>
              <w:t>loc=</w:t>
            </w:r>
            <w:r>
              <w:rPr>
                <w:rStyle w:val="Codevalue"/>
              </w:rPr>
              <w:t>"24"</w:t>
            </w:r>
            <w:r>
              <w:rPr>
                <w:rStyle w:val="Code"/>
              </w:rPr>
              <w:t>&gt;</w:t>
            </w:r>
          </w:p>
          <w:p w14:paraId="4E3E1CA2" w14:textId="77777777">
            <w:pPr>
              <w:pStyle w:val="CodeParagraph"/>
              <w:rPr>
                <w:rStyle w:val="Code"/>
              </w:rPr>
            </w:pPr>
            <w:r>
              <w:rPr>
                <w:rStyle w:val="Code"/>
              </w:rPr>
              <w:t xml:space="preserve">      &lt;lem&gt;</w:t>
            </w:r>
            <w:r>
              <w:rPr>
                <w:rStyle w:val="Codetext"/>
              </w:rPr>
              <w:t>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w:t>
            </w:r>
            <w:r>
              <w:rPr>
                <w:rStyle w:val="Codetext"/>
              </w:rPr>
              <w:t xml:space="preserve"> viṣam</w:t>
            </w:r>
            <w:r>
              <w:rPr>
                <w:rStyle w:val="Code"/>
              </w:rPr>
              <w:t>&lt;/lem&gt;</w:t>
            </w:r>
          </w:p>
          <w:p w14:paraId="3FDD4D07" w14:textId="77777777">
            <w:pPr>
              <w:pStyle w:val="CodeParagraph"/>
              <w:rPr>
                <w:rStyle w:val="Code"/>
              </w:rPr>
            </w:pPr>
            <w:r>
              <w:rPr>
                <w:rStyle w:val="Code"/>
              </w:rPr>
              <w:t xml:space="preserve">      &lt;rdg </w:t>
            </w:r>
            <w:r>
              <w:rPr>
                <w:rStyle w:val="Codeattribute"/>
              </w:rPr>
              <w:t>source=</w:t>
            </w:r>
            <w:r>
              <w:rPr>
                <w:rStyle w:val="Codevalue"/>
              </w:rPr>
              <w:t>"bib:Gai1965-1966_01"</w:t>
            </w:r>
            <w:r>
              <w:rPr>
                <w:rStyle w:val="Code"/>
              </w:rPr>
              <w:t>&gt;</w:t>
            </w:r>
            <w:r>
              <w:rPr>
                <w:rStyle w:val="Codetext"/>
              </w:rPr>
              <w:t>viṣa</w:t>
            </w:r>
            <w:r>
              <w:rPr>
                <w:rStyle w:val="Code"/>
              </w:rPr>
              <w:t>&lt;unclear&gt;</w:t>
            </w:r>
            <w:r>
              <w:rPr>
                <w:rStyle w:val="Codetext"/>
              </w:rPr>
              <w:t>ṁ</w:t>
            </w:r>
            <w:r>
              <w:rPr>
                <w:rStyle w:val="Code"/>
              </w:rPr>
              <w:t>&lt;/unclear&gt;</w:t>
            </w:r>
            <w:r>
              <w:rPr>
                <w:rStyle w:val="Codetext"/>
              </w:rPr>
              <w:t xml:space="preserve"> viṣam</w:t>
            </w:r>
            <w:r>
              <w:rPr>
                <w:rStyle w:val="Code"/>
              </w:rPr>
              <w:t>&lt;/rdg&gt;</w:t>
            </w:r>
          </w:p>
          <w:p w14:paraId="27E0E35B" w14:textId="77777777">
            <w:pPr>
              <w:pStyle w:val="CodeParagraph"/>
              <w:rPr>
                <w:rStyle w:val="Code"/>
              </w:rPr>
            </w:pPr>
            <w:r>
              <w:rPr>
                <w:rStyle w:val="Code"/>
              </w:rPr>
              <w:t xml:space="preserve">      &lt;rdg </w:t>
            </w:r>
            <w:r>
              <w:rPr>
                <w:rStyle w:val="Codeattribute"/>
              </w:rPr>
              <w:t>source=</w:t>
            </w:r>
            <w:r>
              <w:rPr>
                <w:rStyle w:val="Codevalue"/>
              </w:rPr>
              <w:t>"bib:Venkataramanayya1974_01"</w:t>
            </w:r>
            <w:r>
              <w:rPr>
                <w:rStyle w:val="Code"/>
              </w:rPr>
              <w:t>&gt;</w:t>
            </w:r>
            <w:r>
              <w:rPr>
                <w:rStyle w:val="Codetext"/>
              </w:rPr>
              <w:t>viṣa</w:t>
            </w:r>
            <w:r>
              <w:rPr>
                <w:rStyle w:val="Code"/>
              </w:rPr>
              <w:t xml:space="preserve">&lt;supplied </w:t>
            </w:r>
            <w:r>
              <w:rPr>
                <w:rStyle w:val="Codeattribute"/>
              </w:rPr>
              <w:t>reason=</w:t>
            </w:r>
            <w:r>
              <w:rPr>
                <w:rStyle w:val="Codevalue"/>
              </w:rPr>
              <w:t>"omitted"</w:t>
            </w:r>
            <w:r>
              <w:rPr>
                <w:rStyle w:val="Code"/>
              </w:rPr>
              <w:t>&gt;</w:t>
            </w:r>
            <w:r>
              <w:rPr>
                <w:rStyle w:val="Codetext"/>
              </w:rPr>
              <w:t>ṁ</w:t>
            </w:r>
            <w:r>
              <w:rPr>
                <w:rStyle w:val="Code"/>
              </w:rPr>
              <w:t>&lt;/supplied&gt;&lt;/rdg&gt;</w:t>
            </w:r>
          </w:p>
          <w:p w14:paraId="797EDD6A" w14:textId="77777777">
            <w:pPr>
              <w:pStyle w:val="CodeParagraph"/>
              <w:rPr>
                <w:rStyle w:val="Code"/>
              </w:rPr>
            </w:pPr>
            <w:r>
              <w:rPr>
                <w:rStyle w:val="Code"/>
              </w:rPr>
              <w:t xml:space="preserve">    &lt;/app&gt;</w:t>
            </w:r>
          </w:p>
          <w:p w14:paraId="13013707" w14:textId="77777777">
            <w:pPr>
              <w:pStyle w:val="CodeParagraph"/>
              <w:rPr>
                <w:rStyle w:val="Code"/>
              </w:rPr>
            </w:pPr>
            <w:r>
              <w:rPr>
                <w:rStyle w:val="Code"/>
              </w:rPr>
              <w:t xml:space="preserve">    &lt;app </w:t>
            </w:r>
            <w:r>
              <w:rPr>
                <w:rStyle w:val="Codeattribute"/>
              </w:rPr>
              <w:t>loc=</w:t>
            </w:r>
            <w:r>
              <w:rPr>
                <w:rStyle w:val="Codevalue"/>
              </w:rPr>
              <w:t>"24"</w:t>
            </w:r>
            <w:r>
              <w:rPr>
                <w:rStyle w:val="Code"/>
              </w:rPr>
              <w:t>&gt;</w:t>
            </w:r>
          </w:p>
          <w:p w14:paraId="30A8C369" w14:textId="77777777">
            <w:pPr>
              <w:pStyle w:val="CodeParagraph"/>
              <w:rPr>
                <w:rStyle w:val="Code"/>
              </w:rPr>
            </w:pPr>
            <w:r>
              <w:rPr>
                <w:rStyle w:val="Code"/>
              </w:rPr>
              <w:t xml:space="preserve">      &lt;lem </w:t>
            </w:r>
            <w:r>
              <w:rPr>
                <w:rStyle w:val="Codeattribute"/>
              </w:rPr>
              <w:t>source=</w:t>
            </w:r>
            <w:r>
              <w:rPr>
                <w:rStyle w:val="Codevalue"/>
              </w:rPr>
              <w:t>"bib:Gai1965-1966_01"</w:t>
            </w:r>
            <w:r>
              <w:rPr>
                <w:rStyle w:val="Code"/>
              </w:rPr>
              <w:t>&gt;</w:t>
            </w:r>
            <w:r>
              <w:rPr>
                <w:rStyle w:val="Codetext"/>
              </w:rPr>
              <w:t>ucyate</w:t>
            </w:r>
            <w:r>
              <w:rPr>
                <w:rStyle w:val="Code"/>
              </w:rPr>
              <w:t>&lt;/lem&gt;</w:t>
            </w:r>
          </w:p>
          <w:p w14:paraId="555D7201" w14:textId="77777777">
            <w:pPr>
              <w:pStyle w:val="CodeParagraph"/>
              <w:rPr>
                <w:rStyle w:val="Code"/>
              </w:rPr>
            </w:pPr>
            <w:r>
              <w:rPr>
                <w:rStyle w:val="Code"/>
              </w:rPr>
              <w:t xml:space="preserve">      &lt;rdg </w:t>
            </w:r>
            <w:r>
              <w:rPr>
                <w:rStyle w:val="Codeattribute"/>
              </w:rPr>
              <w:t>source=</w:t>
            </w:r>
            <w:r>
              <w:rPr>
                <w:rStyle w:val="Codevalue"/>
              </w:rPr>
              <w:t>"bib:Venkataramanayya1974_01"</w:t>
            </w:r>
            <w:r>
              <w:rPr>
                <w:rStyle w:val="Code"/>
              </w:rPr>
              <w:t>&gt;</w:t>
            </w:r>
            <w:r>
              <w:rPr>
                <w:rStyle w:val="Codetext"/>
              </w:rPr>
              <w:t>uc</w:t>
            </w:r>
            <w:r>
              <w:rPr>
                <w:rStyle w:val="Code"/>
              </w:rPr>
              <w:t>&lt;surplus&gt;</w:t>
            </w:r>
            <w:r>
              <w:rPr>
                <w:rStyle w:val="Codetext"/>
              </w:rPr>
              <w:t>c</w:t>
            </w:r>
            <w:r>
              <w:rPr>
                <w:rStyle w:val="Code"/>
              </w:rPr>
              <w:t>&lt;/surplus&gt;</w:t>
            </w:r>
            <w:r>
              <w:rPr>
                <w:rStyle w:val="Codetext"/>
              </w:rPr>
              <w:t>yate</w:t>
            </w:r>
            <w:r>
              <w:rPr>
                <w:rStyle w:val="Code"/>
              </w:rPr>
              <w:t>&lt;/rdg&gt;</w:t>
            </w:r>
          </w:p>
          <w:p w14:paraId="7CEB688D" w14:textId="77777777">
            <w:pPr>
              <w:pStyle w:val="CodeParagraph"/>
              <w:rPr>
                <w:rStyle w:val="Code"/>
              </w:rPr>
            </w:pPr>
            <w:r>
              <w:rPr>
                <w:rStyle w:val="Code"/>
              </w:rPr>
              <w:t xml:space="preserve">    &lt;/app&gt;</w:t>
            </w:r>
          </w:p>
          <w:p w14:paraId="6E16E168" w14:textId="77777777">
            <w:pPr>
              <w:pStyle w:val="CodeParagraph"/>
              <w:rPr>
                <w:rStyle w:val="Code"/>
              </w:rPr>
            </w:pPr>
            <w:r>
              <w:rPr>
                <w:rStyle w:val="Code"/>
              </w:rPr>
              <w:t xml:space="preserve">    &lt;app </w:t>
            </w:r>
            <w:r>
              <w:rPr>
                <w:rStyle w:val="Codeattribute"/>
              </w:rPr>
              <w:t>loc=</w:t>
            </w:r>
            <w:r>
              <w:rPr>
                <w:rStyle w:val="Codevalue"/>
              </w:rPr>
              <w:t>"25"</w:t>
            </w:r>
            <w:r>
              <w:rPr>
                <w:rStyle w:val="Code"/>
              </w:rPr>
              <w:t>&gt;</w:t>
            </w:r>
          </w:p>
          <w:p w14:paraId="7ED23A1B" w14:textId="77777777">
            <w:pPr>
              <w:pStyle w:val="CodeParagraph"/>
              <w:rPr>
                <w:rStyle w:val="Code"/>
              </w:rPr>
            </w:pPr>
            <w:r>
              <w:rPr>
                <w:rStyle w:val="Code"/>
              </w:rPr>
              <w:t xml:space="preserve">      &lt;lem </w:t>
            </w:r>
            <w:r>
              <w:rPr>
                <w:rStyle w:val="Codeattribute"/>
              </w:rPr>
              <w:t>source=</w:t>
            </w:r>
            <w:r>
              <w:rPr>
                <w:rStyle w:val="Codevalue"/>
              </w:rPr>
              <w:t>"bib:Venkataramanayya1974_01"</w:t>
            </w:r>
            <w:r>
              <w:rPr>
                <w:rStyle w:val="Code"/>
              </w:rPr>
              <w:t>&gt;-</w:t>
            </w:r>
            <w:r>
              <w:rPr>
                <w:rStyle w:val="Codetext"/>
              </w:rPr>
              <w:t>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trikaM</w:t>
            </w:r>
            <w:r>
              <w:rPr>
                <w:rStyle w:val="Code"/>
              </w:rPr>
              <w:t>&lt;/lem&gt;</w:t>
            </w:r>
          </w:p>
          <w:p w14:paraId="620C0A3A" w14:textId="77777777">
            <w:pPr>
              <w:pStyle w:val="CodeParagraph"/>
              <w:rPr>
                <w:rStyle w:val="Code"/>
              </w:rPr>
            </w:pPr>
            <w:r>
              <w:rPr>
                <w:rStyle w:val="Code"/>
              </w:rPr>
              <w:t xml:space="preserve">      &lt;rdg </w:t>
            </w:r>
            <w:r>
              <w:rPr>
                <w:rStyle w:val="Codeattribute"/>
              </w:rPr>
              <w:t>source=</w:t>
            </w:r>
            <w:r>
              <w:rPr>
                <w:rStyle w:val="Codevalue"/>
              </w:rPr>
              <w:t>"bib:Gai1965-1966_01"</w:t>
            </w:r>
            <w:r>
              <w:rPr>
                <w:rStyle w:val="Code"/>
              </w:rPr>
              <w:t>&gt;-</w:t>
            </w:r>
            <w:r>
              <w:rPr>
                <w:rStyle w:val="Codetext"/>
              </w:rPr>
              <w:t>p</w:t>
            </w:r>
            <w:r>
              <w:rPr>
                <w:rStyle w:val="Code"/>
              </w:rPr>
              <w:t>&lt;choice&gt;&lt;sic&gt;</w:t>
            </w:r>
            <w:r>
              <w:rPr>
                <w:rStyle w:val="Codetext"/>
              </w:rPr>
              <w:t>avi</w:t>
            </w:r>
            <w:r>
              <w:rPr>
                <w:rStyle w:val="Code"/>
              </w:rPr>
              <w:t>&lt;/sic&gt;&lt;corr&gt;</w:t>
            </w:r>
            <w:r>
              <w:rPr>
                <w:rStyle w:val="Codetext"/>
              </w:rPr>
              <w:t>au</w:t>
            </w:r>
            <w:r>
              <w:rPr>
                <w:rStyle w:val="Code"/>
              </w:rPr>
              <w:t>&lt;/corr&gt;&lt;/choice&gt;</w:t>
            </w:r>
            <w:r>
              <w:rPr>
                <w:rStyle w:val="Codetext"/>
              </w:rPr>
              <w:t>tr</w:t>
            </w:r>
            <w:r>
              <w:rPr>
                <w:rStyle w:val="Code"/>
              </w:rPr>
              <w:t>&lt;choice&gt;&lt;orig&gt;</w:t>
            </w:r>
            <w:r>
              <w:rPr>
                <w:rStyle w:val="Codetext"/>
              </w:rPr>
              <w:t>i</w:t>
            </w:r>
            <w:r>
              <w:rPr>
                <w:rStyle w:val="Code"/>
              </w:rPr>
              <w:t>&lt;/orig&gt;&lt;reg&gt;</w:t>
            </w:r>
            <w:r>
              <w:rPr>
                <w:rStyle w:val="Codetext"/>
              </w:rPr>
              <w:t>a</w:t>
            </w:r>
            <w:r>
              <w:rPr>
                <w:rStyle w:val="Code"/>
              </w:rPr>
              <w:t>&lt;/reg&gt;&lt;/choice&gt;</w:t>
            </w:r>
            <w:r>
              <w:rPr>
                <w:rStyle w:val="Codetext"/>
              </w:rPr>
              <w:t>kaM</w:t>
            </w:r>
            <w:r>
              <w:rPr>
                <w:rStyle w:val="Code"/>
              </w:rPr>
              <w:t>&lt;/rdg&gt;</w:t>
            </w:r>
          </w:p>
          <w:p w14:paraId="02F14CFC" w14:textId="77777777">
            <w:pPr>
              <w:pStyle w:val="CodeParagraph"/>
              <w:rPr>
                <w:rStyle w:val="Code"/>
              </w:rPr>
            </w:pPr>
            <w:r>
              <w:rPr>
                <w:rStyle w:val="Code"/>
              </w:rPr>
              <w:t xml:space="preserve">      &lt;note&gt;</w:t>
            </w:r>
            <w:r>
              <w:rPr>
                <w:rStyle w:val="Codetext"/>
              </w:rPr>
              <w:t xml:space="preserve">I prefer the normalisation </w:t>
            </w:r>
            <w:r>
              <w:rPr>
                <w:rStyle w:val="Code"/>
              </w:rPr>
              <w:t>&lt;foreign&gt;</w:t>
            </w:r>
            <w:r>
              <w:rPr>
                <w:rStyle w:val="Codetext"/>
              </w:rPr>
              <w:t>pautrikam</w:t>
            </w:r>
            <w:r>
              <w:rPr>
                <w:rStyle w:val="Code"/>
              </w:rPr>
              <w:t>&lt;/foreign</w:t>
            </w:r>
            <w:r>
              <w:rPr>
                <w:rStyle w:val="Codetext"/>
              </w:rPr>
              <w:t xml:space="preserve">&gt;; I moreover wonder if the intent was not </w:t>
            </w:r>
            <w:r>
              <w:rPr>
                <w:rStyle w:val="Code"/>
              </w:rPr>
              <w:t>&lt;foreign&gt;</w:t>
            </w:r>
            <w:r>
              <w:rPr>
                <w:rStyle w:val="Codetext"/>
              </w:rPr>
              <w:t>paitr̥kam</w:t>
            </w:r>
            <w:r>
              <w:rPr>
                <w:rStyle w:val="Code"/>
              </w:rPr>
              <w:t>&lt;/foreign&gt;</w:t>
            </w:r>
            <w:r>
              <w:rPr>
                <w:rStyle w:val="Codetext"/>
              </w:rPr>
              <w:t>.</w:t>
            </w:r>
            <w:r>
              <w:rPr>
                <w:rStyle w:val="Code"/>
              </w:rPr>
              <w:t>&lt;/note&gt;</w:t>
            </w:r>
          </w:p>
          <w:p w14:paraId="7E2300F6" w14:textId="77777777">
            <w:pPr>
              <w:pStyle w:val="CodeParagraph"/>
              <w:rPr>
                <w:rStyle w:val="Code"/>
              </w:rPr>
            </w:pPr>
            <w:r>
              <w:rPr>
                <w:rStyle w:val="Code"/>
              </w:rPr>
              <w:t xml:space="preserve">    &lt;/app&gt;</w:t>
            </w:r>
          </w:p>
          <w:p w14:paraId="1FE8DE06" w14:textId="77777777">
            <w:pPr>
              <w:pStyle w:val="CodeParagraph"/>
              <w:rPr>
                <w:rStyle w:val="Code"/>
              </w:rPr>
            </w:pPr>
            <w:r>
              <w:rPr>
                <w:rStyle w:val="Codetext"/>
              </w:rPr>
              <w:t xml:space="preserve">    [...]</w:t>
            </w:r>
            <w:r>
              <w:rPr>
                <w:rStyle w:val="Codetext"/>
              </w:rPr>
              <w:br/>
            </w:r>
            <w:r>
              <w:rPr>
                <w:rStyle w:val="Code"/>
              </w:rPr>
              <w:t xml:space="preserve">  &lt;/listApp&gt;</w:t>
            </w:r>
            <w:r>
              <w:rPr>
                <w:rStyle w:val="Codetext"/>
              </w:rPr>
              <w:br/>
            </w:r>
            <w:r>
              <w:rPr>
                <w:rStyle w:val="Code"/>
              </w:rPr>
              <w:t>&lt;/div&gt;</w:t>
            </w:r>
          </w:p>
        </w:tc>
      </w:tr>
    </w:tbl>
    <w:p w14:paraId="12464227" w14:textId="77777777">
      <w:pPr>
        <w:pStyle w:val="Cmsor3"/>
      </w:pPr>
      <w:bookmarkStart w:id="789" w:name="_ylrtvcd6yrbu" w:colFirst="0" w:colLast="0"/>
      <w:bookmarkStart w:id="790" w:name="_Ref43989464"/>
      <w:bookmarkStart w:id="791" w:name="_Toc243900382"/>
      <w:bookmarkStart w:id="792" w:name="_Ref43978538"/>
      <w:bookmarkEnd w:id="789"/>
      <w:r>
        <w:t>Textpart divisions in the apparatus</w:t>
      </w:r>
      <w:bookmarkEnd w:id="790"/>
      <w:bookmarkEnd w:id="791"/>
    </w:p>
    <w:p w14:paraId="2C647D1A" w14:textId="77777777">
      <w:pPr>
        <w:pStyle w:val="Lista"/>
      </w:pPr>
      <w:r>
        <w:t xml:space="preserve">if your edition includes boxlike partitions </w:t>
      </w:r>
      <w:r>
        <w:rPr>
          <w:noProof/>
        </w:rPr>
        <w:t>(</w:t>
      </w:r>
      <w:r>
        <w:t>§</w:t>
      </w:r>
      <w:r>
        <w:fldChar w:fldCharType="begin"/>
      </w:r>
      <w:r>
        <w:instrText xml:space="preserve"> REF _Ref225778181 \r \h </w:instrText>
      </w:r>
      <w:r>
        <w:fldChar w:fldCharType="separate"/>
      </w:r>
      <w:r>
        <w:t>4.2</w:t>
      </w:r>
      <w:r>
        <w:fldChar w:fldCharType="end"/>
      </w:r>
      <w:r>
        <w:t>), then all corresponding textpart divisions must be replicated within the apparatus</w:t>
      </w:r>
    </w:p>
    <w:p w14:paraId="26202B5C" w14:textId="77777777">
      <w:pPr>
        <w:pStyle w:val="Lista"/>
      </w:pPr>
      <w:r>
        <w:t xml:space="preserve">inside </w:t>
      </w:r>
      <w:r>
        <w:rPr>
          <w:rStyle w:val="Code"/>
        </w:rPr>
        <w:t xml:space="preserve">&lt;div </w:t>
      </w:r>
      <w:r>
        <w:rPr>
          <w:rStyle w:val="Codeattribute"/>
        </w:rPr>
        <w:t>type</w:t>
      </w:r>
      <w:r>
        <w:rPr>
          <w:rStyle w:val="Code"/>
        </w:rPr>
        <w:t>=</w:t>
      </w:r>
      <w:r>
        <w:rPr>
          <w:rStyle w:val="Codevalue"/>
        </w:rPr>
        <w:t>"apparatus"</w:t>
      </w:r>
      <w:r>
        <w:rPr>
          <w:rStyle w:val="Code"/>
        </w:rPr>
        <w:t>&gt;</w:t>
      </w:r>
      <w:r>
        <w:t xml:space="preserve">, create as many </w:t>
      </w:r>
      <w:r>
        <w:rPr>
          <w:rStyle w:val="Code"/>
        </w:rPr>
        <w:t xml:space="preserve">&lt;div </w:t>
      </w:r>
      <w:r>
        <w:rPr>
          <w:rStyle w:val="Codeattribute"/>
        </w:rPr>
        <w:t>type</w:t>
      </w:r>
      <w:r>
        <w:rPr>
          <w:rStyle w:val="Code"/>
        </w:rPr>
        <w:t>=</w:t>
      </w:r>
      <w:r>
        <w:rPr>
          <w:rStyle w:val="Codevalue"/>
        </w:rPr>
        <w:t>"textpart"</w:t>
      </w:r>
      <w:r>
        <w:rPr>
          <w:rStyle w:val="Code"/>
        </w:rPr>
        <w:t>&gt;</w:t>
      </w:r>
      <w:r>
        <w:t xml:space="preserve"> elements as there are in the </w:t>
      </w:r>
      <w:r>
        <w:rPr>
          <w:rStyle w:val="Code"/>
        </w:rPr>
        <w:t xml:space="preserve">&lt;div </w:t>
      </w:r>
      <w:r>
        <w:rPr>
          <w:rStyle w:val="Codeattribute"/>
        </w:rPr>
        <w:t>type</w:t>
      </w:r>
      <w:r>
        <w:rPr>
          <w:rStyle w:val="Code"/>
        </w:rPr>
        <w:t>=</w:t>
      </w:r>
      <w:r>
        <w:rPr>
          <w:rStyle w:val="Codevalue"/>
        </w:rPr>
        <w:t>"edition"</w:t>
      </w:r>
      <w:r>
        <w:rPr>
          <w:rStyle w:val="Code"/>
        </w:rPr>
        <w:t>&gt;</w:t>
      </w:r>
    </w:p>
    <w:p w14:paraId="3B2C24E4" w14:textId="77777777">
      <w:pPr>
        <w:pStyle w:val="Lista2"/>
      </w:pPr>
      <w:r>
        <w:t xml:space="preserve">in the start-tag of these replicated divisions, include the same attributes </w:t>
      </w:r>
      <w:r>
        <w:rPr>
          <w:noProof/>
        </w:rPr>
        <w:t>(</w:t>
      </w:r>
      <w:r>
        <w:rPr>
          <w:rStyle w:val="Codeattribute"/>
        </w:rPr>
        <w:t>@subtype</w:t>
      </w:r>
      <w:r>
        <w:t xml:space="preserve"> and </w:t>
      </w:r>
      <w:r>
        <w:rPr>
          <w:rStyle w:val="Codeattribute"/>
        </w:rPr>
        <w:t>@n</w:t>
      </w:r>
      <w:r>
        <w:t xml:space="preserve"> as applicable) with the same value that they have in the edition division</w:t>
      </w:r>
    </w:p>
    <w:p w14:paraId="279008B6" w14:textId="77777777">
      <w:pPr>
        <w:pStyle w:val="Lista2"/>
      </w:pPr>
      <w:r>
        <w:t xml:space="preserve">if your edition’s textpart divisions have </w:t>
      </w:r>
      <w:r>
        <w:rPr>
          <w:rStyle w:val="Code"/>
        </w:rPr>
        <w:t>&lt;head&gt;</w:t>
      </w:r>
      <w:r>
        <w:t xml:space="preserve"> elements, likewise replicate these in the apparatus, immediately after the start-tag of each textpart division</w:t>
      </w:r>
    </w:p>
    <w:p w14:paraId="5BAAE557" w14:textId="77777777">
      <w:pPr>
        <w:pStyle w:val="Lista3"/>
      </w:pPr>
      <w:r>
        <w:t xml:space="preserve">the </w:t>
      </w:r>
      <w:r>
        <w:rPr>
          <w:rStyle w:val="Codeattribute"/>
        </w:rPr>
        <w:t>@xml:lang</w:t>
      </w:r>
      <w:r>
        <w:t xml:space="preserve"> attribute of the </w:t>
      </w:r>
      <w:r>
        <w:rPr>
          <w:rStyle w:val="Code"/>
        </w:rPr>
        <w:t>&lt;head&gt;</w:t>
      </w:r>
      <w:r>
        <w:t xml:space="preserve"> element is not necessary within the apparatus (because the apparatus division, along with all its children, inherit the English language from the TEI container of the document), but copy-pasting the head and retaining the attribute does no harm</w:t>
      </w:r>
    </w:p>
    <w:p w14:paraId="462D0F6D" w14:textId="77777777">
      <w:pPr>
        <w:pStyle w:val="Lista"/>
      </w:pPr>
      <w:r>
        <w:t xml:space="preserve">the apparatus container </w:t>
      </w:r>
      <w:r>
        <w:rPr>
          <w:rStyle w:val="Code"/>
        </w:rPr>
        <w:t>&lt;listApp&gt;</w:t>
      </w:r>
      <w:r>
        <w:t xml:space="preserve"> must in this case be enclosed within each </w:t>
      </w:r>
      <w:r>
        <w:rPr>
          <w:rStyle w:val="Code"/>
        </w:rPr>
        <w:t xml:space="preserve">&lt;div </w:t>
      </w:r>
      <w:r>
        <w:rPr>
          <w:rStyle w:val="Codeattribute"/>
        </w:rPr>
        <w:t>type</w:t>
      </w:r>
      <w:r>
        <w:rPr>
          <w:rStyle w:val="Code"/>
        </w:rPr>
        <w:t>=</w:t>
      </w:r>
      <w:r>
        <w:rPr>
          <w:rStyle w:val="Codevalue"/>
        </w:rPr>
        <w:t>"textpart"</w:t>
      </w:r>
      <w:r>
        <w:rPr>
          <w:rStyle w:val="Code"/>
        </w:rPr>
        <w:t>&gt;</w:t>
      </w:r>
    </w:p>
    <w:p w14:paraId="49B593C0" w14:textId="77777777">
      <w:pPr>
        <w:pStyle w:val="Lista2"/>
      </w:pPr>
      <w:r>
        <w:t xml:space="preserve">if you have apparatus entries for more than one textpart, then create a </w:t>
      </w:r>
      <w:r>
        <w:rPr>
          <w:rStyle w:val="Code"/>
        </w:rPr>
        <w:t>&lt;listApp&gt;</w:t>
      </w:r>
      <w:r>
        <w:t xml:space="preserve"> within each textpart to wrap the </w:t>
      </w:r>
      <w:r>
        <w:rPr>
          <w:rStyle w:val="Code"/>
        </w:rPr>
        <w:t>&lt;app&gt;</w:t>
      </w:r>
      <w:r>
        <w:t xml:space="preserve"> elements belonging to that textpart as in </w:t>
      </w:r>
      <w:r>
        <w:fldChar w:fldCharType="begin"/>
      </w:r>
      <w:r>
        <w:instrText xml:space="preserve"> REF _Ref232172735 \h </w:instrText>
      </w:r>
      <w:r>
        <w:fldChar w:fldCharType="separate"/>
      </w:r>
      <w:r>
        <w:t xml:space="preserve">Exhibit </w:t>
      </w:r>
      <w:r>
        <w:rPr>
          <w:noProof/>
        </w:rPr>
        <w:t>10.1</w:t>
      </w:r>
      <w:r>
        <w:t>.</w:t>
      </w:r>
      <w:r>
        <w:rPr>
          <w:noProof/>
        </w:rPr>
        <w:t>B</w:t>
      </w:r>
      <w:r>
        <w:fldChar w:fldCharType="end"/>
      </w:r>
    </w:p>
    <w:p w14:paraId="4204B43E" w14:textId="73D4C934">
      <w:pPr>
        <w:pStyle w:val="Lista2"/>
      </w:pPr>
      <w:r>
        <w:t xml:space="preserve">if one or more textparts have no pertaining apparatus entries, then the textpart division </w:t>
      </w:r>
      <w:r>
        <w:rPr>
          <w:noProof/>
        </w:rPr>
        <w:t>(</w:t>
      </w:r>
      <w:r>
        <w:t xml:space="preserve">with attributes) must still be created for these in the apparatus, but that division shall not contain anything </w:t>
      </w:r>
      <w:r>
        <w:rPr>
          <w:noProof/>
        </w:rPr>
        <w:lastRenderedPageBreak/>
        <w:t>(</w:t>
      </w:r>
      <w:r>
        <w:t xml:space="preserve">except, if applicable, </w:t>
      </w:r>
      <w:r>
        <w:rPr>
          <w:rStyle w:val="Code"/>
        </w:rPr>
        <w:t>&lt;head&gt;</w:t>
      </w:r>
      <w:r>
        <w:t xml:space="preserve">), i.e. there should not be a </w:t>
      </w:r>
      <w:r>
        <w:rPr>
          <w:rStyle w:val="Code"/>
        </w:rPr>
        <w:t>&lt;listApp&gt;</w:t>
      </w:r>
      <w:r>
        <w:t xml:space="preserve"> wrapper, nor any </w:t>
      </w:r>
      <w:r>
        <w:rPr>
          <w:rStyle w:val="Code"/>
        </w:rPr>
        <w:t>&lt;app&gt;</w:t>
      </w:r>
      <w:r>
        <w:t xml:space="preserve"> items there, as in </w:t>
      </w:r>
      <w:r>
        <w:fldChar w:fldCharType="begin"/>
      </w:r>
      <w:r>
        <w:instrText xml:space="preserve"> REF _Ref232172736 \h </w:instrText>
      </w:r>
      <w:r>
        <w:fldChar w:fldCharType="separate"/>
      </w:r>
      <w:r>
        <w:t xml:space="preserve">Exhibit </w:t>
      </w:r>
      <w:r>
        <w:rPr>
          <w:noProof/>
        </w:rPr>
        <w:t>10.1</w:t>
      </w:r>
      <w:r>
        <w:t>.</w:t>
      </w:r>
      <w:r>
        <w:rPr>
          <w:noProof/>
        </w:rPr>
        <w:t>C</w:t>
      </w:r>
      <w:r>
        <w:fldChar w:fldCharType="end"/>
      </w:r>
    </w:p>
    <w:tbl>
      <w:tblPr>
        <w:tblStyle w:val="CodeSampleTable"/>
        <w:tblW w:w="5000" w:type="pct"/>
        <w:tblLook w:val="04A0" w:firstRow="1" w:lastRow="0" w:firstColumn="1" w:lastColumn="0" w:noHBand="0" w:noVBand="1"/>
      </w:tblPr>
      <w:tblGrid>
        <w:gridCol w:w="9628"/>
      </w:tblGrid>
      <w:tr w14:paraId="54D417D0"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983800C" w14:textId="77777777">
            <w:pPr>
              <w:pStyle w:val="Kpalrs"/>
            </w:pPr>
            <w:bookmarkStart w:id="793" w:name="_Ref232172735"/>
            <w:r>
              <w:t xml:space="preserve">Exhibit </w:t>
            </w:r>
            <w:fldSimple w:instr=" STYLEREF 2 \s ">
              <w:r>
                <w:rPr>
                  <w:noProof/>
                </w:rPr>
                <w:t>10.1</w:t>
              </w:r>
            </w:fldSimple>
            <w:r>
              <w:t>.</w:t>
            </w:r>
            <w:fldSimple w:instr=" SEQ Exhibit \* ALPHABETIC \s 2 ">
              <w:r>
                <w:rPr>
                  <w:noProof/>
                </w:rPr>
                <w:t>B</w:t>
              </w:r>
            </w:fldSimple>
            <w:bookmarkEnd w:id="793"/>
            <w:r>
              <w:t>: critical apparatus with more than one textpart, each with content</w:t>
            </w:r>
          </w:p>
        </w:tc>
      </w:tr>
      <w:tr w14:paraId="5AD7C6E8" w14:textId="77777777">
        <w:tc>
          <w:tcPr>
            <w:tcW w:w="5000" w:type="pct"/>
          </w:tcPr>
          <w:p w14:paraId="67A25D07" w14:textId="77777777">
            <w:pPr>
              <w:pStyle w:val="CodeParagraph"/>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"1"</w:t>
            </w:r>
            <w:r>
              <w:rPr>
                <w:rStyle w:val="Code"/>
              </w:rPr>
              <w:t>&gt;</w:t>
            </w:r>
            <w:r>
              <w:rPr>
                <w:rStyle w:val="Codetext"/>
              </w:rPr>
              <w:br/>
              <w:t xml:space="preserve">    </w:t>
            </w:r>
            <w:r>
              <w:rPr>
                <w:rStyle w:val="Code"/>
              </w:rPr>
              <w:t>&lt;lem&gt;</w:t>
            </w:r>
            <w:r>
              <w:rPr>
                <w:rStyle w:val="Codetext"/>
              </w:rPr>
              <w:t>ku</w:t>
            </w:r>
            <w:r>
              <w:rPr>
                <w:rStyle w:val="Code"/>
              </w:rPr>
              <w:t>&lt;unclear&gt;</w:t>
            </w:r>
            <w:r>
              <w:rPr>
                <w:rStyle w:val="Codetext"/>
              </w:rPr>
              <w:t>mā</w:t>
            </w:r>
            <w:r>
              <w:rPr>
                <w:rStyle w:val="Code"/>
              </w:rPr>
              <w:t>&lt;/unclear&gt;</w:t>
            </w:r>
            <w:r>
              <w:rPr>
                <w:rStyle w:val="Codetext"/>
              </w:rPr>
              <w:t>rāmātyādhikaraṇasya</w:t>
            </w:r>
            <w:r>
              <w:rPr>
                <w:rStyle w:val="Code"/>
              </w:rPr>
              <w:t>&lt;/lem&gt;</w:t>
            </w:r>
            <w:r>
              <w:rPr>
                <w:rStyle w:val="Codetext"/>
              </w:rPr>
              <w:br/>
              <w:t xml:space="preserve">    </w:t>
            </w:r>
            <w:r>
              <w:rPr>
                <w:rStyle w:val="Code"/>
              </w:rPr>
              <w:t>&lt;note&gt;</w:t>
            </w:r>
            <w:r>
              <w:rPr>
                <w:rStyle w:val="Codetext"/>
              </w:rPr>
              <w:t xml:space="preserve">Our restitution ... </w:t>
            </w:r>
            <w:r>
              <w:rPr>
                <w:rStyle w:val="Code"/>
              </w:rPr>
              <w:t>&lt;/note&gt;</w:t>
            </w:r>
            <w:r>
              <w:rPr>
                <w:rStyle w:val="Codetext"/>
              </w:rPr>
              <w:br/>
              <w:t xml:space="preserve">   </w:t>
            </w:r>
            <w:r>
              <w:rPr>
                <w:rStyle w:val="Code"/>
              </w:rPr>
              <w:t>&lt;/app&gt;</w:t>
            </w:r>
            <w:r>
              <w:rPr>
                <w:rStyle w:val="Codetext"/>
              </w:rPr>
              <w:br/>
              <w:t xml:space="preserve">  </w:t>
            </w:r>
            <w:r>
              <w:rPr>
                <w:rStyle w:val="Code"/>
              </w:rPr>
              <w:t>&lt;/listApp&gt;</w:t>
            </w:r>
            <w:r>
              <w:rPr>
                <w:rStyle w:val="Codetext"/>
              </w:rPr>
              <w:br/>
              <w:t xml:space="preserve"> </w:t>
            </w:r>
            <w:r>
              <w:rPr>
                <w:rStyle w:val="Code"/>
              </w:rPr>
              <w:t>&lt;/div&gt;</w:t>
            </w:r>
            <w:r>
              <w:rPr>
                <w:rStyle w:val="Codetext"/>
              </w:rPr>
              <w:t xml:space="preserve">        </w:t>
            </w:r>
            <w:r>
              <w:rPr>
                <w:rStyle w:val="Codetext"/>
              </w:rPr>
              <w:tab/>
              <w:t xml:space="preserve"> </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&lt;head </w:t>
            </w:r>
            <w:r>
              <w:rPr>
                <w:rStyle w:val="Codeattribute"/>
              </w:rPr>
              <w:t>xml:lang</w:t>
            </w:r>
            <w:r>
              <w:rPr>
                <w:rStyle w:val="Code"/>
              </w:rPr>
              <w:t>=</w:t>
            </w:r>
            <w:r>
              <w:rPr>
                <w:rStyle w:val="Codevalue"/>
              </w:rPr>
              <w:t>"eng"</w:t>
            </w:r>
            <w:r>
              <w:rPr>
                <w:rStyle w:val="Code"/>
              </w:rPr>
              <w:t>&gt;</w:t>
            </w:r>
            <w:r>
              <w:rPr>
                <w:rStyle w:val="Codetext"/>
              </w:rPr>
              <w:t>Plate</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"2"</w:t>
            </w:r>
            <w:r>
              <w:rPr>
                <w:rStyle w:val="Code"/>
              </w:rPr>
              <w:t>&gt;</w:t>
            </w:r>
            <w:r>
              <w:rPr>
                <w:rStyle w:val="Codetext"/>
              </w:rPr>
              <w:br/>
              <w:t xml:space="preserve">    </w:t>
            </w:r>
            <w:r>
              <w:rPr>
                <w:rStyle w:val="Code"/>
              </w:rPr>
              <w:t>&lt;lem&gt;</w:t>
            </w:r>
            <w:r>
              <w:rPr>
                <w:rStyle w:val="Codetext"/>
              </w:rPr>
              <w:t>°bhi</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ḥ</w:t>
            </w:r>
            <w:r>
              <w:rPr>
                <w:rStyle w:val="Code"/>
              </w:rPr>
              <w:t>&lt;/supplied&gt;</w:t>
            </w:r>
            <w:r>
              <w:rPr>
                <w:rStyle w:val="Codetext"/>
              </w:rPr>
              <w:t xml:space="preserve"> mekhalayā</w:t>
            </w:r>
            <w:r>
              <w:rPr>
                <w:rStyle w:val="Code"/>
              </w:rPr>
              <w:t>&lt;/lem&gt;</w:t>
            </w:r>
            <w:r>
              <w:rPr>
                <w:rStyle w:val="Codetext"/>
              </w:rPr>
              <w:br/>
              <w:t xml:space="preserve">    </w:t>
            </w:r>
            <w:r>
              <w:rPr>
                <w:rStyle w:val="Code"/>
              </w:rPr>
              <w:t>&lt;note&gt;</w:t>
            </w:r>
            <w:r>
              <w:rPr>
                <w:rStyle w:val="Codetext"/>
              </w:rPr>
              <w:t xml:space="preserve">Absence of doubling ... </w:t>
            </w:r>
            <w:r>
              <w:rPr>
                <w:rStyle w:val="Code"/>
              </w:rPr>
              <w:t>&lt;/note&gt;</w:t>
            </w:r>
            <w:r>
              <w:rPr>
                <w:rStyle w:val="Codetext"/>
              </w:rPr>
              <w:br/>
              <w:t xml:space="preserve">   </w:t>
            </w:r>
            <w:r>
              <w:rPr>
                <w:rStyle w:val="Code"/>
              </w:rPr>
              <w:t>&lt;/app&gt;</w:t>
            </w:r>
            <w:r>
              <w:rPr>
                <w:rStyle w:val="Codetext"/>
              </w:rPr>
              <w:br/>
              <w:t xml:space="preserve">   ...</w:t>
            </w:r>
            <w:r>
              <w:rPr>
                <w:rStyle w:val="Codetext"/>
              </w:rPr>
              <w:br/>
              <w:t xml:space="preserve">  </w:t>
            </w:r>
            <w:r>
              <w:rPr>
                <w:rStyle w:val="Code"/>
              </w:rPr>
              <w:t>&lt;/listApp&gt;</w:t>
            </w:r>
            <w:r>
              <w:rPr>
                <w:rStyle w:val="Codetext"/>
              </w:rPr>
              <w:br/>
              <w:t xml:space="preserve"> </w:t>
            </w:r>
            <w:r>
              <w:rPr>
                <w:rStyle w:val="Code"/>
              </w:rPr>
              <w:t>&lt;/div&gt;</w:t>
            </w:r>
            <w:r>
              <w:rPr>
                <w:rStyle w:val="Codetext"/>
              </w:rPr>
              <w:br/>
            </w:r>
            <w:r>
              <w:rPr>
                <w:rStyle w:val="Code"/>
              </w:rPr>
              <w:t>&lt;/div&gt;</w:t>
            </w:r>
          </w:p>
        </w:tc>
      </w:tr>
    </w:tbl>
    <w:p w14:paraId="22F6ABAB" w14:textId="77777777"/>
    <w:tbl>
      <w:tblPr>
        <w:tblStyle w:val="CodeSampleTable"/>
        <w:tblW w:w="5000" w:type="pct"/>
        <w:tblLook w:val="04A0" w:firstRow="1" w:lastRow="0" w:firstColumn="1" w:lastColumn="0" w:noHBand="0" w:noVBand="1"/>
      </w:tblPr>
      <w:tblGrid>
        <w:gridCol w:w="9628"/>
      </w:tblGrid>
      <w:tr w14:paraId="4EC8982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C247C7C" w14:textId="77777777">
            <w:pPr>
              <w:pStyle w:val="Kpalrs"/>
            </w:pPr>
            <w:bookmarkStart w:id="794" w:name="_Ref232172736"/>
            <w:r>
              <w:t xml:space="preserve">Exhibit </w:t>
            </w:r>
            <w:fldSimple w:instr=" STYLEREF 2 \s ">
              <w:r>
                <w:rPr>
                  <w:noProof/>
                </w:rPr>
                <w:t>10.1</w:t>
              </w:r>
            </w:fldSimple>
            <w:r>
              <w:t>.</w:t>
            </w:r>
            <w:fldSimple w:instr=" SEQ Exhibit \* ALPHABETIC \s 2 ">
              <w:r>
                <w:rPr>
                  <w:noProof/>
                </w:rPr>
                <w:t>C</w:t>
              </w:r>
            </w:fldSimple>
            <w:bookmarkEnd w:id="794"/>
            <w:r>
              <w:t>: critical apparatus with more than one textpart, one without content</w:t>
            </w:r>
          </w:p>
        </w:tc>
      </w:tr>
      <w:tr w14:paraId="5793942B" w14:textId="77777777">
        <w:tc>
          <w:tcPr>
            <w:tcW w:w="5000" w:type="pct"/>
          </w:tcPr>
          <w:p w14:paraId="008315B9" w14:textId="77777777">
            <w:pPr>
              <w:pStyle w:val="CodeParagraph"/>
              <w:rPr>
                <w:rStyle w:val="Code"/>
              </w:rPr>
            </w:pPr>
            <w:r>
              <w:rPr>
                <w:rStyle w:val="Code"/>
              </w:rPr>
              <w:t xml:space="preserve">&lt;div </w:t>
            </w:r>
            <w:r>
              <w:rPr>
                <w:rStyle w:val="Codeattribute"/>
              </w:rPr>
              <w:t>type</w:t>
            </w:r>
            <w:r>
              <w:rPr>
                <w:rStyle w:val="Code"/>
              </w:rPr>
              <w:t>=</w:t>
            </w:r>
            <w:r>
              <w:rPr>
                <w:rStyle w:val="Codevalue"/>
              </w:rPr>
              <w:t>"apparatus"</w:t>
            </w:r>
            <w:r>
              <w:rPr>
                <w:rStyle w:val="Code"/>
              </w:rPr>
              <w:t>&gt;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&gt;</w:t>
            </w:r>
          </w:p>
          <w:p w14:paraId="3FE51B18" w14:textId="77777777">
            <w:pPr>
              <w:pStyle w:val="CodeParagraph"/>
              <w:rPr>
                <w:rStyle w:val="Codetext"/>
              </w:rPr>
            </w:pPr>
            <w:r>
              <w:rPr>
                <w:rStyle w:val="Code"/>
              </w:rPr>
              <w:t xml:space="preserve">  &lt;head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comment"/>
              </w:rPr>
              <w:t>&lt;!--Empty textpart.--&gt;</w:t>
            </w:r>
            <w:r>
              <w:rPr>
                <w:rStyle w:val="Codetext"/>
              </w:rPr>
              <w:br/>
              <w:t xml:space="preserve"> </w:t>
            </w:r>
            <w:r>
              <w:rPr>
                <w:rStyle w:val="Code"/>
              </w:rPr>
              <w:t>&lt;/div&gt;</w:t>
            </w:r>
            <w:r>
              <w:rPr>
                <w:rStyle w:val="Codetext"/>
              </w:rPr>
              <w:br/>
              <w:t xml:space="preserve"> </w:t>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r>
              <w:rPr>
                <w:rStyle w:val="Code"/>
              </w:rPr>
              <w:t>&lt;listApp&gt;</w:t>
            </w:r>
            <w:r>
              <w:rPr>
                <w:rStyle w:val="Codetext"/>
              </w:rPr>
              <w:br/>
              <w:t xml:space="preserve">   </w:t>
            </w:r>
            <w:r>
              <w:rPr>
                <w:rStyle w:val="Code"/>
              </w:rPr>
              <w:t xml:space="preserve">&lt;app </w:t>
            </w:r>
            <w:r>
              <w:rPr>
                <w:rStyle w:val="Codeattribute"/>
              </w:rPr>
              <w:t>loc</w:t>
            </w:r>
            <w:r>
              <w:rPr>
                <w:rStyle w:val="Code"/>
              </w:rPr>
              <w:t>=</w:t>
            </w:r>
            <w:r>
              <w:rPr>
                <w:rStyle w:val="Codevalue"/>
              </w:rPr>
              <w:t>"6"</w:t>
            </w:r>
            <w:r>
              <w:rPr>
                <w:rStyle w:val="Code"/>
              </w:rPr>
              <w:t>&gt;</w:t>
            </w:r>
            <w:r>
              <w:rPr>
                <w:rStyle w:val="Codetext"/>
              </w:rPr>
              <w:br/>
              <w:t xml:space="preserve">    </w:t>
            </w:r>
            <w:r>
              <w:rPr>
                <w:rStyle w:val="Code"/>
              </w:rPr>
              <w:t>&lt;lem&gt;</w:t>
            </w:r>
            <w:r>
              <w:rPr>
                <w:rStyle w:val="Codetext"/>
              </w:rPr>
              <w:t>-pu</w:t>
            </w:r>
            <w:r>
              <w:rPr>
                <w:rStyle w:val="Code"/>
              </w:rPr>
              <w:t xml:space="preserve">&lt;unclear </w:t>
            </w:r>
            <w:r>
              <w:rPr>
                <w:rStyle w:val="Codeattribute"/>
              </w:rPr>
              <w:t>reason</w:t>
            </w:r>
            <w:r>
              <w:rPr>
                <w:rStyle w:val="Code"/>
              </w:rPr>
              <w:t>=</w:t>
            </w:r>
            <w:r>
              <w:rPr>
                <w:rStyle w:val="Codevalue"/>
              </w:rPr>
              <w:t>"eccentric_ductus"</w:t>
            </w:r>
            <w:r>
              <w:rPr>
                <w:rStyle w:val="Code"/>
              </w:rPr>
              <w:t>&gt;</w:t>
            </w:r>
            <w:r>
              <w:rPr>
                <w:rStyle w:val="Codetext"/>
              </w:rPr>
              <w:t>ñja</w:t>
            </w:r>
            <w:r>
              <w:rPr>
                <w:rStyle w:val="Code"/>
              </w:rPr>
              <w:t>&lt;/unclear&gt;&lt;/lem&gt;</w:t>
            </w:r>
            <w:r>
              <w:rPr>
                <w:rStyle w:val="Codetext"/>
              </w:rPr>
              <w:br/>
              <w:t xml:space="preserve">    </w:t>
            </w:r>
            <w:r>
              <w:rPr>
                <w:rStyle w:val="Code"/>
              </w:rPr>
              <w:t>&lt;note&gt;</w:t>
            </w:r>
            <w:r>
              <w:rPr>
                <w:rStyle w:val="Codetext"/>
              </w:rPr>
              <w:t xml:space="preserve">While </w:t>
            </w:r>
            <w:r>
              <w:rPr>
                <w:rStyle w:val="Code"/>
              </w:rPr>
              <w:t>&lt;foreign&gt;</w:t>
            </w:r>
            <w:r>
              <w:rPr>
                <w:rStyle w:val="Codetext"/>
              </w:rPr>
              <w:t>puñja</w:t>
            </w:r>
            <w:r>
              <w:rPr>
                <w:rStyle w:val="Code"/>
              </w:rPr>
              <w:t>&lt;/foreign&gt;</w:t>
            </w:r>
            <w:r>
              <w:rPr>
                <w:rStyle w:val="Codetext"/>
              </w:rPr>
              <w:t xml:space="preserve"> must have been intended ... </w:t>
            </w:r>
            <w:r>
              <w:rPr>
                <w:rStyle w:val="Code"/>
              </w:rPr>
              <w:t>&lt;/note&gt;</w:t>
            </w:r>
            <w:r>
              <w:rPr>
                <w:rStyle w:val="Codetext"/>
              </w:rPr>
              <w:br/>
              <w:t xml:space="preserve">   </w:t>
            </w:r>
            <w:r>
              <w:rPr>
                <w:rStyle w:val="Code"/>
              </w:rPr>
              <w:t>&lt;/app&gt;</w:t>
            </w:r>
            <w:r>
              <w:rPr>
                <w:rStyle w:val="Codetext"/>
              </w:rPr>
              <w:br/>
              <w:t xml:space="preserve">   ...</w:t>
            </w:r>
            <w:r>
              <w:rPr>
                <w:rStyle w:val="Codetext"/>
              </w:rPr>
              <w:br/>
              <w:t xml:space="preserve">  </w:t>
            </w:r>
            <w:r>
              <w:rPr>
                <w:rStyle w:val="Code"/>
              </w:rPr>
              <w:t>&lt;/listApp&gt;</w:t>
            </w:r>
            <w:r>
              <w:rPr>
                <w:rStyle w:val="Codetext"/>
              </w:rPr>
              <w:br/>
              <w:t xml:space="preserve"> </w:t>
            </w:r>
            <w:r>
              <w:rPr>
                <w:rStyle w:val="Code"/>
              </w:rPr>
              <w:t>&lt;/div&gt;</w:t>
            </w:r>
          </w:p>
          <w:p w14:paraId="534D4D19" w14:textId="77777777">
            <w:pPr>
              <w:pStyle w:val="CodeParagraph"/>
            </w:pPr>
            <w:r>
              <w:rPr>
                <w:rStyle w:val="Code"/>
              </w:rPr>
              <w:t>&lt;/div&gt;</w:t>
            </w:r>
          </w:p>
        </w:tc>
      </w:tr>
    </w:tbl>
    <w:p w14:paraId="53A81887" w14:textId="77777777">
      <w:pPr>
        <w:pStyle w:val="Cmsor2"/>
      </w:pPr>
      <w:bookmarkStart w:id="795" w:name="_Toc243900383"/>
      <w:r>
        <w:t>Indicating location</w:t>
      </w:r>
      <w:bookmarkEnd w:id="792"/>
      <w:r>
        <w:t xml:space="preserve"> in apparatus entries</w:t>
      </w:r>
      <w:bookmarkEnd w:id="795"/>
    </w:p>
    <w:p w14:paraId="72C1C3E3" w14:textId="77777777">
      <w:r>
        <w:t xml:space="preserve">The value of the attribute </w:t>
      </w:r>
      <w:r>
        <w:rPr>
          <w:rStyle w:val="Codeattribute"/>
        </w:rPr>
        <w:t>@loc</w:t>
      </w:r>
      <w:r>
        <w:t xml:space="preserve"> must unambiguously specify the line to which the apparatus entry pertains. The primary purpose of this value is to be intelligible to a human reader, but some degree of machine-actionability may be desired in the future, therefore we adopt rigorous rules.</w:t>
      </w:r>
    </w:p>
    <w:p w14:paraId="0E84DB4C" w14:textId="77777777">
      <w:pPr>
        <w:pStyle w:val="Lista"/>
      </w:pPr>
      <w:r>
        <w:t xml:space="preserve">locations shall normally be identified as epigraphic lines, using line numbers as reference, because they are </w:t>
      </w:r>
      <w:r>
        <w:rPr>
          <w:noProof/>
        </w:rPr>
        <w:t>(</w:t>
      </w:r>
      <w:r>
        <w:t>almost) ubiquitous in our editions and unique within each edition</w:t>
      </w:r>
    </w:p>
    <w:p w14:paraId="19DDA198" w14:textId="77777777">
      <w:pPr>
        <w:pStyle w:val="Lista2"/>
      </w:pPr>
      <w:r>
        <w:t xml:space="preserve">therefore, the value of </w:t>
      </w:r>
      <w:r>
        <w:rPr>
          <w:rStyle w:val="Codeattribute"/>
        </w:rPr>
        <w:t>@loc</w:t>
      </w:r>
      <w:r>
        <w:t xml:space="preserve"> shall normally be the line number, i.e. the value of the </w:t>
      </w:r>
      <w:r>
        <w:rPr>
          <w:rStyle w:val="Codeattribute"/>
        </w:rPr>
        <w:t>@n</w:t>
      </w:r>
      <w:r>
        <w:t xml:space="preserve"> attribute of the </w:t>
      </w:r>
      <w:r>
        <w:rPr>
          <w:rStyle w:val="Code"/>
        </w:rPr>
        <w:t>&lt;lb/&gt;</w:t>
      </w:r>
      <w:r>
        <w:t xml:space="preserve"> element representing the beginning of the target line</w:t>
      </w:r>
    </w:p>
    <w:p w14:paraId="668CF36C" w14:textId="77777777">
      <w:pPr>
        <w:pStyle w:val="Lista3"/>
      </w:pPr>
      <w:r>
        <w:t xml:space="preserve">if the entry refers to a segment of text that extends across a line break, then </w:t>
      </w:r>
      <w:r>
        <w:rPr>
          <w:rStyle w:val="Codeattribute"/>
        </w:rPr>
        <w:t>@loc</w:t>
      </w:r>
      <w:r>
        <w:t xml:space="preserve"> shall be the number of the line in which the segment begins</w:t>
      </w:r>
    </w:p>
    <w:p w14:paraId="486360B5" w14:textId="77777777">
      <w:pPr>
        <w:pStyle w:val="Lista4"/>
      </w:pPr>
      <w:r>
        <w:t>see also §</w:t>
      </w:r>
      <w:r>
        <w:fldChar w:fldCharType="begin"/>
      </w:r>
      <w:r>
        <w:instrText xml:space="preserve"> REF _Ref43989517 \w \h  \* MERGEFORMAT </w:instrText>
      </w:r>
      <w:r>
        <w:fldChar w:fldCharType="separate"/>
      </w:r>
      <w:r>
        <w:t>10.6</w:t>
      </w:r>
      <w:r>
        <w:fldChar w:fldCharType="end"/>
      </w:r>
      <w:r>
        <w:t xml:space="preserve"> below about the inclusion of line </w:t>
      </w:r>
      <w:r>
        <w:rPr>
          <w:noProof/>
        </w:rPr>
        <w:t>(</w:t>
      </w:r>
      <w:r>
        <w:t>and other) beginning tags in a lemma</w:t>
      </w:r>
    </w:p>
    <w:p w14:paraId="2781DDDE" w14:textId="77777777">
      <w:pPr>
        <w:pStyle w:val="Lista"/>
      </w:pPr>
      <w:r>
        <w:t xml:space="preserve">the sole exception to the ubiquitous presence of line numbers in our editions is forme work </w:t>
      </w:r>
      <w:r>
        <w:rPr>
          <w:noProof/>
        </w:rPr>
        <w:t>(</w:t>
      </w:r>
      <w:r>
        <w:t>§</w:t>
      </w:r>
      <w:r>
        <w:fldChar w:fldCharType="begin"/>
      </w:r>
      <w:r>
        <w:instrText xml:space="preserve"> REF _Ref43984607 \w \h  \* MERGEFORMAT </w:instrText>
      </w:r>
      <w:r>
        <w:fldChar w:fldCharType="separate"/>
      </w:r>
      <w:r>
        <w:t>4.7.2</w:t>
      </w:r>
      <w:r>
        <w:fldChar w:fldCharType="end"/>
      </w:r>
      <w:r>
        <w:t>)</w:t>
      </w:r>
    </w:p>
    <w:p w14:paraId="3C294685" w14:textId="77777777">
      <w:pPr>
        <w:pStyle w:val="Lista2"/>
      </w:pPr>
      <w:r>
        <w:t>it is therefore not possible to refer to the contents of forme work using line numbers</w:t>
      </w:r>
    </w:p>
    <w:p w14:paraId="168330FD" w14:textId="77777777">
      <w:pPr>
        <w:pStyle w:val="Lista2"/>
      </w:pPr>
      <w:r>
        <w:t xml:space="preserve">should you need to add an apparatus entry for a forme work item, the value of </w:t>
      </w:r>
      <w:r>
        <w:rPr>
          <w:rStyle w:val="Codeattribute"/>
        </w:rPr>
        <w:t>@loc</w:t>
      </w:r>
      <w:r>
        <w:t xml:space="preserve"> shall be the number of the forme work item prefixed with the letters “</w:t>
      </w:r>
      <w:proofErr w:type="spellStart"/>
      <w:r>
        <w:t>fw</w:t>
      </w:r>
      <w:proofErr w:type="spellEnd"/>
      <w:r>
        <w:t xml:space="preserve">”, e.g. </w:t>
      </w:r>
      <w:r>
        <w:rPr>
          <w:rStyle w:val="Code"/>
        </w:rPr>
        <w:t xml:space="preserve">&lt;app </w:t>
      </w:r>
      <w:r>
        <w:rPr>
          <w:rStyle w:val="Codeattribute"/>
        </w:rPr>
        <w:t>loc</w:t>
      </w:r>
      <w:r>
        <w:rPr>
          <w:rStyle w:val="Code"/>
        </w:rPr>
        <w:t>=</w:t>
      </w:r>
      <w:r>
        <w:rPr>
          <w:rStyle w:val="Codevalue"/>
        </w:rPr>
        <w:t>"fw2r"</w:t>
      </w:r>
      <w:r>
        <w:rPr>
          <w:rStyle w:val="Code"/>
        </w:rPr>
        <w:t>&gt;</w:t>
      </w:r>
      <w:r>
        <w:t xml:space="preserve"> to refer to the forme work element with the number 2r</w:t>
      </w:r>
    </w:p>
    <w:p w14:paraId="41FB1720" w14:textId="77777777">
      <w:pPr>
        <w:pStyle w:val="Lista"/>
      </w:pPr>
      <w:r>
        <w:lastRenderedPageBreak/>
        <w:t xml:space="preserve">the sole exceptions to the uniqueness of line numbers are editions comprised of textpart divisions </w:t>
      </w:r>
      <w:r>
        <w:rPr>
          <w:noProof/>
        </w:rPr>
        <w:t>(</w:t>
      </w:r>
      <w:r>
        <w:t>§</w:t>
      </w:r>
      <w:r>
        <w:fldChar w:fldCharType="begin"/>
      </w:r>
      <w:r>
        <w:instrText xml:space="preserve"> REF _Ref225778181 \r \h </w:instrText>
      </w:r>
      <w:r>
        <w:fldChar w:fldCharType="separate"/>
      </w:r>
      <w:r>
        <w:t>4.2</w:t>
      </w:r>
      <w:r>
        <w:fldChar w:fldCharType="end"/>
      </w:r>
      <w:r>
        <w:t>), where line numbers are restarted in each division</w:t>
      </w:r>
    </w:p>
    <w:p w14:paraId="58B30FD3" w14:textId="77777777">
      <w:pPr>
        <w:pStyle w:val="Lista2"/>
      </w:pPr>
      <w:r>
        <w:t xml:space="preserve">however, since the apparatus division of the document must replicate the textpart divisions of the edition division, </w:t>
      </w:r>
      <w:r>
        <w:rPr>
          <w:rStyle w:val="Codeattribute"/>
        </w:rPr>
        <w:t>@loc</w:t>
      </w:r>
      <w:r>
        <w:t xml:space="preserve"> references in the apparatus still only need to include the </w:t>
      </w:r>
      <w:r>
        <w:rPr>
          <w:rStyle w:val="Codeattribute"/>
        </w:rPr>
        <w:t>@n</w:t>
      </w:r>
      <w:r>
        <w:t xml:space="preserve"> of the target line and will remain unambiguous</w:t>
      </w:r>
    </w:p>
    <w:p w14:paraId="6872EC63" w14:textId="77777777">
      <w:pPr>
        <w:pStyle w:val="Lista"/>
      </w:pPr>
      <w:r>
        <w:t>although some of us may be used to referring to stanza numbers in apparatus entries, we have chosen not to allow this in order to reduce the complexity of referencing</w:t>
      </w:r>
    </w:p>
    <w:p w14:paraId="1BE390E5" w14:textId="77777777">
      <w:pPr>
        <w:pStyle w:val="Lista2"/>
      </w:pPr>
      <w:r>
        <w:t>apparatus entries for lemmas in verse shall be referred to by line number like those in prose</w:t>
      </w:r>
    </w:p>
    <w:p w14:paraId="043A6F7F" w14:textId="77777777">
      <w:pPr>
        <w:pStyle w:val="Lista2"/>
      </w:pPr>
      <w:r>
        <w:t>notes concerning entire stanzas shall be added to the commentary (§</w:t>
      </w:r>
      <w:r>
        <w:fldChar w:fldCharType="begin"/>
      </w:r>
      <w:r>
        <w:instrText xml:space="preserve"> REF _Ref181352286 \r \h </w:instrText>
      </w:r>
      <w:r>
        <w:fldChar w:fldCharType="separate"/>
      </w:r>
      <w:r>
        <w:t>12</w:t>
      </w:r>
      <w:r>
        <w:fldChar w:fldCharType="end"/>
      </w:r>
      <w:r>
        <w:t>), not to the apparatus</w:t>
      </w:r>
    </w:p>
    <w:p w14:paraId="50D4077E" w14:textId="77777777">
      <w:pPr>
        <w:pStyle w:val="Cmsor2"/>
      </w:pPr>
      <w:bookmarkStart w:id="796" w:name="_h4ndd3ziflyd" w:colFirst="0" w:colLast="0"/>
      <w:bookmarkStart w:id="797" w:name="_Ref61250887"/>
      <w:bookmarkStart w:id="798" w:name="_Toc243900384"/>
      <w:bookmarkEnd w:id="796"/>
      <w:r>
        <w:t>Lemmas</w:t>
      </w:r>
      <w:bookmarkEnd w:id="797"/>
      <w:bookmarkEnd w:id="798"/>
    </w:p>
    <w:p w14:paraId="71305AFE" w14:textId="77777777">
      <w:r>
        <w:t xml:space="preserve">The exact locus </w:t>
      </w:r>
      <w:r>
        <w:rPr>
          <w:noProof/>
        </w:rPr>
        <w:t>(</w:t>
      </w:r>
      <w:r>
        <w:t xml:space="preserve">i.e. segment of text) to which an apparatus entry pertains is specified by a lemma, tagged with the XML element </w:t>
      </w:r>
      <w:r>
        <w:rPr>
          <w:rStyle w:val="Code"/>
        </w:rPr>
        <w:t>&lt;lem&gt;</w:t>
      </w:r>
      <w:r>
        <w:t xml:space="preserve">. </w:t>
      </w:r>
    </w:p>
    <w:p w14:paraId="671FA387" w14:textId="77777777">
      <w:pPr>
        <w:pStyle w:val="Cmsor3"/>
      </w:pPr>
      <w:bookmarkStart w:id="799" w:name="_Ref232168409"/>
      <w:bookmarkStart w:id="800" w:name="_Toc243900385"/>
      <w:r>
        <w:t>The extent of lemma</w:t>
      </w:r>
      <w:bookmarkEnd w:id="799"/>
      <w:r>
        <w:t>s</w:t>
      </w:r>
      <w:bookmarkEnd w:id="800"/>
    </w:p>
    <w:p w14:paraId="43D1698E" w14:textId="77777777">
      <w:r>
        <w:t xml:space="preserve">There are no strict rules for the extent of your lemmas. As with any critical apparatus, lemmas should be large enough to make them unambiguous within the line referred to in the </w:t>
      </w:r>
      <w:r>
        <w:rPr>
          <w:rStyle w:val="Codeattribute"/>
        </w:rPr>
        <w:t>@loc</w:t>
      </w:r>
      <w:r>
        <w:t xml:space="preserve"> attribute and small enough to remain concise.</w:t>
      </w:r>
    </w:p>
    <w:p w14:paraId="53CB3B8F" w14:textId="77777777">
      <w:pPr>
        <w:pStyle w:val="Lista"/>
      </w:pPr>
      <w:r>
        <w:t>lemmas should preferably consist of whole words separated in the edition by an editorial space</w:t>
      </w:r>
    </w:p>
    <w:p w14:paraId="36B8C806" w14:textId="77777777">
      <w:pPr>
        <w:pStyle w:val="Lista2"/>
      </w:pPr>
      <w:r>
        <w:t>deviate from this only when such a lemma is not practicable, for instance because of long compounds, long words merged in vowel sandhi, or because the lemma needs to target a specific fixed morpheme or specific characters</w:t>
      </w:r>
    </w:p>
    <w:p w14:paraId="69DE574F" w14:textId="77777777">
      <w:pPr>
        <w:pStyle w:val="Lista2"/>
      </w:pPr>
      <w:r>
        <w:t>in the latter case, the fact that the lemma is not a whole word shall be indicated with editorial hyphenation (TG §7.3.5) or truncation (TG §7.4) as follows</w:t>
      </w:r>
    </w:p>
    <w:p w14:paraId="11C85655" w14:textId="77777777">
      <w:pPr>
        <w:pStyle w:val="Lista"/>
      </w:pPr>
      <w:r>
        <w:t>if your lemma is only a part of a non-compound word</w:t>
      </w:r>
    </w:p>
    <w:p w14:paraId="4DA4AC2E" w14:textId="77777777">
      <w:pPr>
        <w:pStyle w:val="Lista2"/>
      </w:pPr>
      <w:r>
        <w:t xml:space="preserve">use the character ° </w:t>
      </w:r>
      <w:r>
        <w:rPr>
          <w:noProof/>
        </w:rPr>
        <w:t>to indicate truncation</w:t>
      </w:r>
    </w:p>
    <w:p w14:paraId="416E4E7B" w14:textId="77777777">
      <w:pPr>
        <w:pStyle w:val="Lista2"/>
      </w:pPr>
      <w:r>
        <w:t xml:space="preserve">e.g. text </w:t>
      </w:r>
      <w:r>
        <w:rPr>
          <w:rStyle w:val="Foreign"/>
        </w:rPr>
        <w:t>jāyate</w:t>
      </w:r>
      <w:r>
        <w:t xml:space="preserve">; lemma </w:t>
      </w:r>
      <w:r>
        <w:rPr>
          <w:rStyle w:val="Foreign"/>
        </w:rPr>
        <w:t>°yate</w:t>
      </w:r>
      <w:r>
        <w:t xml:space="preserve"> </w:t>
      </w:r>
    </w:p>
    <w:p w14:paraId="3FC5A27F" w14:textId="77777777">
      <w:pPr>
        <w:pStyle w:val="Lista"/>
      </w:pPr>
      <w:r>
        <w:t>when a boundary between independent words or compound members is obscured by sandhi</w:t>
      </w:r>
    </w:p>
    <w:p w14:paraId="1BF7A580" w14:textId="77777777">
      <w:pPr>
        <w:pStyle w:val="Lista2"/>
      </w:pPr>
      <w:r>
        <w:t>use the character ° to indicate truncation and cite the lemma as in the text (without resolving sandhi)</w:t>
      </w:r>
    </w:p>
    <w:p w14:paraId="0694DE4B" w14:textId="77777777">
      <w:pPr>
        <w:pStyle w:val="Lista2"/>
      </w:pPr>
      <w:r>
        <w:t xml:space="preserve">e.g. text </w:t>
      </w:r>
      <w:r>
        <w:rPr>
          <w:rStyle w:val="Foreign"/>
        </w:rPr>
        <w:t>yathāsmābhiḥ</w:t>
      </w:r>
      <w:r>
        <w:t xml:space="preserve">; lemmas </w:t>
      </w:r>
      <w:r>
        <w:rPr>
          <w:rStyle w:val="Foreign"/>
        </w:rPr>
        <w:t>yathā°</w:t>
      </w:r>
      <w:r>
        <w:t xml:space="preserve"> or </w:t>
      </w:r>
      <w:r>
        <w:rPr>
          <w:rStyle w:val="Foreign"/>
        </w:rPr>
        <w:t>°āsmābhiḥ</w:t>
      </w:r>
      <w:r>
        <w:t xml:space="preserve"> (not </w:t>
      </w:r>
      <w:r>
        <w:rPr>
          <w:rStyle w:val="Foreign"/>
        </w:rPr>
        <w:t>°asmābhiḥ</w:t>
      </w:r>
      <w:r>
        <w:t>)</w:t>
      </w:r>
    </w:p>
    <w:p w14:paraId="18209EF7" w14:textId="77777777">
      <w:pPr>
        <w:pStyle w:val="Lista"/>
      </w:pPr>
      <w:r>
        <w:t>when a boundary between compound members is not obscured by sandhi</w:t>
      </w:r>
    </w:p>
    <w:p w14:paraId="367F3AA7" w14:textId="77777777">
      <w:pPr>
        <w:pStyle w:val="Lista2"/>
      </w:pPr>
      <w:r>
        <w:t>if the compound is not hyphenated in your edition, use the character ° to indicate truncation</w:t>
      </w:r>
    </w:p>
    <w:p w14:paraId="49F9F91A" w14:textId="77777777">
      <w:pPr>
        <w:pStyle w:val="Lista3"/>
      </w:pPr>
      <w:r>
        <w:t xml:space="preserve">e.g. text </w:t>
      </w:r>
      <w:r>
        <w:rPr>
          <w:rStyle w:val="Foreign"/>
        </w:rPr>
        <w:t>śrīpolekeśivallabhasya</w:t>
      </w:r>
      <w:r>
        <w:t xml:space="preserve">; lemmas </w:t>
      </w:r>
      <w:r>
        <w:rPr>
          <w:rStyle w:val="Foreign"/>
        </w:rPr>
        <w:t>śrī°</w:t>
      </w:r>
      <w:r>
        <w:t xml:space="preserve"> or </w:t>
      </w:r>
      <w:r>
        <w:rPr>
          <w:rStyle w:val="Foreign"/>
        </w:rPr>
        <w:t xml:space="preserve">°polekeśi° </w:t>
      </w:r>
      <w:r>
        <w:t xml:space="preserve"> or </w:t>
      </w:r>
      <w:r>
        <w:rPr>
          <w:rStyle w:val="Foreign"/>
        </w:rPr>
        <w:t>°vallabhasya</w:t>
      </w:r>
    </w:p>
    <w:p w14:paraId="15D62B85" w14:textId="77777777">
      <w:pPr>
        <w:pStyle w:val="Lista2"/>
      </w:pPr>
      <w:r>
        <w:t>if the compound is hyphenated in your edition, include the hyphen in your lemma to indicate that it is in compound</w:t>
      </w:r>
    </w:p>
    <w:p w14:paraId="54505552" w14:textId="77777777">
      <w:pPr>
        <w:pStyle w:val="Lista3"/>
      </w:pPr>
      <w:r>
        <w:t xml:space="preserve">e.g. text </w:t>
      </w:r>
      <w:r>
        <w:rPr>
          <w:rStyle w:val="Foreign"/>
        </w:rPr>
        <w:t>śrī-polekeśi-vallabhasya</w:t>
      </w:r>
      <w:r>
        <w:t xml:space="preserve">; lemmas </w:t>
      </w:r>
      <w:r>
        <w:rPr>
          <w:rStyle w:val="Foreign"/>
        </w:rPr>
        <w:t>śrī-</w:t>
      </w:r>
      <w:r>
        <w:t xml:space="preserve"> or </w:t>
      </w:r>
      <w:r>
        <w:rPr>
          <w:rStyle w:val="Foreign"/>
        </w:rPr>
        <w:t>-polekeśi-</w:t>
      </w:r>
      <w:r>
        <w:t xml:space="preserve"> or </w:t>
      </w:r>
      <w:r>
        <w:rPr>
          <w:rStyle w:val="Foreign"/>
        </w:rPr>
        <w:t>-vallabhasya</w:t>
      </w:r>
    </w:p>
    <w:p w14:paraId="28E619FC" w14:textId="77777777">
      <w:pPr>
        <w:pStyle w:val="Lista3"/>
      </w:pPr>
      <w:r>
        <w:t>bear in mind that when a compound boundary coincides with a line break, the editorial hyphen must be placed in the edition at the beginning of the next line (§</w:t>
      </w:r>
      <w:r>
        <w:fldChar w:fldCharType="begin"/>
      </w:r>
      <w:r>
        <w:instrText xml:space="preserve"> REF _Ref232156818 \r \h </w:instrText>
      </w:r>
      <w:r>
        <w:fldChar w:fldCharType="separate"/>
      </w:r>
      <w:r>
        <w:t>7.8.2</w:t>
      </w:r>
      <w:r>
        <w:fldChar w:fldCharType="end"/>
      </w:r>
      <w:r>
        <w:t>)</w:t>
      </w:r>
    </w:p>
    <w:p w14:paraId="1E7FA14E" w14:textId="77777777">
      <w:pPr>
        <w:pStyle w:val="Lista3"/>
      </w:pPr>
      <w:r>
        <w:t>such a hyphen must still be included in your lemma, but this does not necessitate incorporating the encoded line break in the lemma (as you would for lemmas stretching across line breaks, §</w:t>
      </w:r>
      <w:r>
        <w:fldChar w:fldCharType="begin"/>
      </w:r>
      <w:r>
        <w:instrText xml:space="preserve"> REF _Ref43989517 \r \h </w:instrText>
      </w:r>
      <w:r>
        <w:fldChar w:fldCharType="separate"/>
      </w:r>
      <w:r>
        <w:t>10.6</w:t>
      </w:r>
      <w:r>
        <w:fldChar w:fldCharType="end"/>
      </w:r>
      <w:r>
        <w:t>)</w:t>
      </w:r>
    </w:p>
    <w:p w14:paraId="215BEF20" w14:textId="77777777">
      <w:pPr>
        <w:pStyle w:val="Lista"/>
      </w:pPr>
      <w:r>
        <w:t>avoid very long lemmas, if possible, by breaking them up into several smaller ones</w:t>
      </w:r>
    </w:p>
    <w:p w14:paraId="5EF16488" w14:textId="77777777">
      <w:pPr>
        <w:pStyle w:val="Lista"/>
      </w:pPr>
      <w:r>
        <w:t xml:space="preserve">long lemmas that cannot be split up in this way may be abbreviated  by replacing a section of them with </w:t>
      </w:r>
      <w:r>
        <w:rPr>
          <w:rStyle w:val="Code"/>
        </w:rPr>
        <w:t xml:space="preserve">&lt;gap </w:t>
      </w:r>
      <w:r>
        <w:rPr>
          <w:rStyle w:val="Codeattribute"/>
        </w:rPr>
        <w:t>reason</w:t>
      </w:r>
      <w:r>
        <w:rPr>
          <w:rStyle w:val="Code"/>
        </w:rPr>
        <w:t>=</w:t>
      </w:r>
      <w:r>
        <w:rPr>
          <w:rStyle w:val="Codevalue"/>
        </w:rPr>
        <w:t>"ellipsis"</w:t>
      </w:r>
      <w:r>
        <w:rPr>
          <w:rStyle w:val="Code"/>
        </w:rPr>
        <w:t>/&gt;</w:t>
      </w:r>
    </w:p>
    <w:p w14:paraId="6DAAA14D" w14:textId="77777777">
      <w:pPr>
        <w:pStyle w:val="Cmsor3"/>
      </w:pPr>
      <w:bookmarkStart w:id="801" w:name="_Toc243900386"/>
      <w:r>
        <w:t>The content of lemmas</w:t>
      </w:r>
      <w:bookmarkEnd w:id="801"/>
    </w:p>
    <w:p w14:paraId="45FAF664" w14:textId="77777777">
      <w:pPr>
        <w:pStyle w:val="Lista"/>
      </w:pPr>
      <w:r>
        <w:t>the text within your lemma should replicate the text in your edition accurately, including editorial markup</w:t>
      </w:r>
    </w:p>
    <w:p w14:paraId="47CB3810" w14:textId="77777777">
      <w:pPr>
        <w:pStyle w:val="Lista2"/>
      </w:pPr>
      <w:r>
        <w:t>see §</w:t>
      </w:r>
      <w:r>
        <w:fldChar w:fldCharType="begin"/>
      </w:r>
      <w:r>
        <w:instrText xml:space="preserve"> REF _Ref43989517 \w \h  \* MERGEFORMAT </w:instrText>
      </w:r>
      <w:r>
        <w:fldChar w:fldCharType="separate"/>
      </w:r>
      <w:r>
        <w:t>10.6</w:t>
      </w:r>
      <w:r>
        <w:fldChar w:fldCharType="end"/>
      </w:r>
      <w:r>
        <w:t xml:space="preserve"> for some concerns pertaining to the use of markup in lemmas</w:t>
      </w:r>
    </w:p>
    <w:p w14:paraId="5A32A091" w14:textId="77777777">
      <w:pPr>
        <w:pStyle w:val="Lista2"/>
      </w:pPr>
      <w:r>
        <w:t>do not add any markup to the lemma that is not present in the edition</w:t>
      </w:r>
    </w:p>
    <w:p w14:paraId="6346C3F3" w14:textId="77777777">
      <w:pPr>
        <w:pStyle w:val="Lista"/>
      </w:pPr>
      <w:r>
        <w:lastRenderedPageBreak/>
        <w:t>when you revise the text of your digital edition, take care to check whether any of the revised text has been cited in the apparatus and revise lemmas accordingly</w:t>
      </w:r>
    </w:p>
    <w:p w14:paraId="2CD822FC" w14:textId="77777777">
      <w:pPr>
        <w:pStyle w:val="Cmsor3"/>
      </w:pPr>
      <w:bookmarkStart w:id="802" w:name="_Ref232167741"/>
      <w:bookmarkStart w:id="803" w:name="_Ref233625530"/>
      <w:bookmarkStart w:id="804" w:name="_Toc243900387"/>
      <w:r>
        <w:t>The source of lemma</w:t>
      </w:r>
      <w:bookmarkEnd w:id="802"/>
      <w:r>
        <w:t>s</w:t>
      </w:r>
      <w:bookmarkEnd w:id="803"/>
      <w:bookmarkEnd w:id="804"/>
    </w:p>
    <w:p w14:paraId="7AC2F1FD" w14:textId="77777777">
      <w:pPr>
        <w:pStyle w:val="Lista"/>
      </w:pPr>
      <w:r>
        <w:rPr>
          <w:rStyle w:val="Code"/>
        </w:rPr>
        <w:t>&lt;lem&gt;</w:t>
      </w:r>
      <w:r>
        <w:t xml:space="preserve"> may take the attribute </w:t>
      </w:r>
      <w:r>
        <w:rPr>
          <w:rStyle w:val="Codeattribute"/>
        </w:rPr>
        <w:t>@source</w:t>
      </w:r>
      <w:r>
        <w:t xml:space="preserve"> to show that a previous edition has a reading identical to that adopted in your edition</w:t>
      </w:r>
    </w:p>
    <w:p w14:paraId="23CA6BF3" w14:textId="77777777">
      <w:pPr>
        <w:pStyle w:val="Lista2"/>
      </w:pPr>
      <w:r>
        <w:t>the value of this attribute must be a bibliographic identifier as set out in §</w:t>
      </w:r>
      <w:r>
        <w:fldChar w:fldCharType="begin"/>
      </w:r>
      <w:r>
        <w:instrText xml:space="preserve"> REF _Ref43989551 \w \h  \* MERGEFORMAT </w:instrText>
      </w:r>
      <w:r>
        <w:fldChar w:fldCharType="separate"/>
      </w:r>
      <w:r>
        <w:t>14.6.2</w:t>
      </w:r>
      <w:r>
        <w:fldChar w:fldCharType="end"/>
      </w:r>
    </w:p>
    <w:p w14:paraId="279C18A1" w14:textId="77777777">
      <w:pPr>
        <w:pStyle w:val="Lista3"/>
      </w:pPr>
      <w:r>
        <w:t xml:space="preserve">whenever you use </w:t>
      </w:r>
      <w:r>
        <w:rPr>
          <w:rStyle w:val="Codeattribute"/>
        </w:rPr>
        <w:t>@source</w:t>
      </w:r>
      <w:r>
        <w:t xml:space="preserve"> on a lemma, the bibliographic citation of that publication in your bibliography division must include an encoded siglum for use in the apparatus, as per §</w:t>
      </w:r>
      <w:r>
        <w:fldChar w:fldCharType="begin"/>
      </w:r>
      <w:r>
        <w:instrText xml:space="preserve"> REF _Ref43989610 \w \h  \* MERGEFORMAT </w:instrText>
      </w:r>
      <w:r>
        <w:fldChar w:fldCharType="separate"/>
      </w:r>
      <w:r>
        <w:t>13.3.2</w:t>
      </w:r>
      <w:r>
        <w:fldChar w:fldCharType="end"/>
      </w:r>
    </w:p>
    <w:p w14:paraId="2A6999AD" w14:textId="77777777">
      <w:pPr>
        <w:pStyle w:val="Lista2"/>
      </w:pPr>
      <w:r>
        <w:t>see §</w:t>
      </w:r>
      <w:r>
        <w:fldChar w:fldCharType="begin"/>
      </w:r>
      <w:r>
        <w:instrText xml:space="preserve"> REF _Ref43989583 \w \h  \* MERGEFORMAT </w:instrText>
      </w:r>
      <w:r>
        <w:fldChar w:fldCharType="separate"/>
      </w:r>
      <w:r>
        <w:t>10.5</w:t>
      </w:r>
      <w:r>
        <w:fldChar w:fldCharType="end"/>
      </w:r>
      <w:r>
        <w:t xml:space="preserve"> below for guidance on the degree of similarity that counts identical</w:t>
      </w:r>
    </w:p>
    <w:p w14:paraId="30395CBD" w14:textId="77777777">
      <w:pPr>
        <w:pStyle w:val="Lista"/>
      </w:pPr>
      <w:r>
        <w:t>if an apparatus entry contains alternative readings, then any previous editors who agree with the lemma (i.e. with your preferred reading) must be credited in this way</w:t>
      </w:r>
    </w:p>
    <w:p w14:paraId="23A77ECD" w14:textId="77777777">
      <w:pPr>
        <w:pStyle w:val="Lista"/>
      </w:pPr>
      <w:r>
        <w:t xml:space="preserve">if an apparatus entry contains only a note, but no alternative readings, then </w:t>
      </w:r>
      <w:r>
        <w:rPr>
          <w:rStyle w:val="Codeattribute"/>
        </w:rPr>
        <w:t>@source</w:t>
      </w:r>
      <w:r>
        <w:t xml:space="preserve"> need not be indicated on the lemma (since in this case you and any previous editors agree on the reading)</w:t>
      </w:r>
    </w:p>
    <w:p w14:paraId="6BB84487" w14:textId="77777777">
      <w:pPr>
        <w:pStyle w:val="Lista2"/>
      </w:pPr>
      <w:r>
        <w:t xml:space="preserve">nonetheless, you may choose to add </w:t>
      </w:r>
      <w:r>
        <w:rPr>
          <w:rStyle w:val="Codeattribute"/>
        </w:rPr>
        <w:t>@source</w:t>
      </w:r>
      <w:r>
        <w:t xml:space="preserve"> in order to credit a particular previous editor for a difficult reading or an ingenious restoration</w:t>
      </w:r>
    </w:p>
    <w:p w14:paraId="1729E8E1" w14:textId="77777777">
      <w:pPr>
        <w:pStyle w:val="Lista"/>
      </w:pPr>
      <w:r>
        <w:t>an apparatus lemma may be created for the sole purpose of crediting a previous editor for a difficult reading or an ingenious restoration</w:t>
      </w:r>
    </w:p>
    <w:p w14:paraId="3DD7C0B4" w14:textId="77777777">
      <w:pPr>
        <w:pStyle w:val="Lista2"/>
      </w:pPr>
      <w:r>
        <w:t xml:space="preserve">in this case the </w:t>
      </w:r>
      <w:r>
        <w:rPr>
          <w:rStyle w:val="Code"/>
        </w:rPr>
        <w:t>&lt;app&gt;</w:t>
      </w:r>
      <w:r>
        <w:t xml:space="preserve"> element need contain neither </w:t>
      </w:r>
      <w:r>
        <w:rPr>
          <w:rStyle w:val="Code"/>
        </w:rPr>
        <w:t>&lt;rdg&gt;</w:t>
      </w:r>
      <w:r>
        <w:t xml:space="preserve"> nor </w:t>
      </w:r>
      <w:r>
        <w:rPr>
          <w:rStyle w:val="Code"/>
        </w:rPr>
        <w:t>&lt;note&gt;</w:t>
      </w:r>
      <w:r>
        <w:t xml:space="preserve">, but </w:t>
      </w:r>
      <w:r>
        <w:rPr>
          <w:rStyle w:val="Codeattribute"/>
        </w:rPr>
        <w:t>@source</w:t>
      </w:r>
      <w:r>
        <w:t xml:space="preserve"> must be present on the lemma</w:t>
      </w:r>
    </w:p>
    <w:p w14:paraId="19087F60" w14:textId="77777777">
      <w:pPr>
        <w:pStyle w:val="Lista2"/>
      </w:pPr>
      <w:r>
        <w:t>such apparatus entries will be rare; only create them if you feel they are necessary</w:t>
      </w:r>
    </w:p>
    <w:p w14:paraId="760B5260" w14:textId="77777777">
      <w:pPr>
        <w:pStyle w:val="Cmsor2"/>
      </w:pPr>
      <w:bookmarkStart w:id="805" w:name="_b7x6ivkmyvqo" w:colFirst="0" w:colLast="0"/>
      <w:bookmarkStart w:id="806" w:name="_Ref43989425"/>
      <w:bookmarkStart w:id="807" w:name="_Toc243900388"/>
      <w:bookmarkEnd w:id="805"/>
      <w:r>
        <w:t>Alternative readings, restorations and emendations</w:t>
      </w:r>
      <w:bookmarkEnd w:id="806"/>
      <w:bookmarkEnd w:id="807"/>
    </w:p>
    <w:p w14:paraId="2B64182D" w14:textId="77777777">
      <w:r>
        <w:t xml:space="preserve">Alternatives to your edited text offered by other editors shall be recorded in </w:t>
      </w:r>
      <w:r>
        <w:rPr>
          <w:rStyle w:val="Code"/>
        </w:rPr>
        <w:t>&lt;rdg&gt;</w:t>
      </w:r>
      <w:r>
        <w:t xml:space="preserve"> elements within an apparatus entry.</w:t>
      </w:r>
    </w:p>
    <w:p w14:paraId="3A002E05" w14:textId="77777777">
      <w:pPr>
        <w:pStyle w:val="Cmsor3"/>
      </w:pPr>
      <w:bookmarkStart w:id="808" w:name="_Ref242886455"/>
      <w:bookmarkStart w:id="809" w:name="_Toc243900389"/>
      <w:r>
        <w:t>The extent of alternative readings</w:t>
      </w:r>
      <w:bookmarkEnd w:id="808"/>
      <w:bookmarkEnd w:id="809"/>
    </w:p>
    <w:p w14:paraId="33F24E15" w14:textId="77777777">
      <w:r>
        <w:t>The text segments cited as alternative readings must always correspond exactly to the extent of the lemma</w:t>
      </w:r>
    </w:p>
    <w:p w14:paraId="71AA546B" w14:textId="77777777">
      <w:pPr>
        <w:pStyle w:val="Lista"/>
      </w:pPr>
      <w:r>
        <w:t>as described in §</w:t>
      </w:r>
      <w:r>
        <w:fldChar w:fldCharType="begin"/>
      </w:r>
      <w:r>
        <w:instrText xml:space="preserve"> REF _Ref232168409 \r \h </w:instrText>
      </w:r>
      <w:r>
        <w:fldChar w:fldCharType="separate"/>
      </w:r>
      <w:r>
        <w:t>10.3.1</w:t>
      </w:r>
      <w:r>
        <w:fldChar w:fldCharType="end"/>
      </w:r>
      <w:r>
        <w:t xml:space="preserve"> for lemmas, use ° or a hyphen at the beginning or end of a reading if its boundary does not coincide with the boundary of an independent word of the text</w:t>
      </w:r>
    </w:p>
    <w:p w14:paraId="2E757014" w14:textId="77777777">
      <w:pPr>
        <w:pStyle w:val="Lista"/>
      </w:pPr>
      <w:r>
        <w:t xml:space="preserve">if a previous edition shows nothing </w:t>
      </w:r>
      <w:r>
        <w:rPr>
          <w:noProof/>
        </w:rPr>
        <w:t>(</w:t>
      </w:r>
      <w:r>
        <w:t xml:space="preserve">i.e. not even a lacuna) at a locus where your edition has content </w:t>
      </w:r>
      <w:r>
        <w:rPr>
          <w:noProof/>
        </w:rPr>
        <w:t>(</w:t>
      </w:r>
      <w:r>
        <w:t>including a tentative reading or a lacuna), the reading of that edition may be represented by an empty element</w:t>
      </w:r>
    </w:p>
    <w:p w14:paraId="6A59759F" w14:textId="77777777">
      <w:pPr>
        <w:pStyle w:val="Lista2"/>
      </w:pPr>
      <w:r>
        <w:t xml:space="preserve">e.g. </w:t>
      </w:r>
      <w:r>
        <w:rPr>
          <w:rStyle w:val="Code"/>
        </w:rPr>
        <w:t xml:space="preserve">&lt;rdg </w:t>
      </w:r>
      <w:r>
        <w:rPr>
          <w:rStyle w:val="Codeattribute"/>
        </w:rPr>
        <w:t>source</w:t>
      </w:r>
      <w:r>
        <w:rPr>
          <w:rStyle w:val="Code"/>
        </w:rPr>
        <w:t>=</w:t>
      </w:r>
      <w:r>
        <w:rPr>
          <w:rStyle w:val="Codevalue"/>
        </w:rPr>
        <w:t>"bib:VenkatasubbaAyyar1943_01"</w:t>
      </w:r>
      <w:r>
        <w:rPr>
          <w:rStyle w:val="Code"/>
        </w:rPr>
        <w:t>/&gt;</w:t>
      </w:r>
    </w:p>
    <w:p w14:paraId="0502441C" w14:textId="77777777">
      <w:pPr>
        <w:pStyle w:val="Cmsor3"/>
      </w:pPr>
      <w:bookmarkStart w:id="810" w:name="_Ref233988136"/>
      <w:bookmarkStart w:id="811" w:name="_Toc243900390"/>
      <w:r>
        <w:t>The content of alternative readings</w:t>
      </w:r>
      <w:bookmarkEnd w:id="810"/>
      <w:bookmarkEnd w:id="811"/>
    </w:p>
    <w:p w14:paraId="42FB9680" w14:textId="77777777">
      <w:pPr>
        <w:pStyle w:val="Lista"/>
      </w:pPr>
      <w:r>
        <w:t xml:space="preserve">text cited within </w:t>
      </w:r>
      <w:r>
        <w:rPr>
          <w:rStyle w:val="Code"/>
        </w:rPr>
        <w:t>&lt;rdg&gt;</w:t>
      </w:r>
      <w:r>
        <w:t xml:space="preserve"> must be Romanised according to the DHARMA transliteration scheme regardless of what transliteration system or script the cited edition employed</w:t>
      </w:r>
    </w:p>
    <w:p w14:paraId="48C98C68" w14:textId="77777777">
      <w:pPr>
        <w:pStyle w:val="Lista2"/>
      </w:pPr>
      <w:r>
        <w:t xml:space="preserve">if an earlier editor uses </w:t>
      </w:r>
      <w:r>
        <w:rPr>
          <w:rStyle w:val="Foreign"/>
        </w:rPr>
        <w:t>ś</w:t>
      </w:r>
      <w:r>
        <w:t xml:space="preserve"> to transliterate both Grantha </w:t>
      </w:r>
      <w:r>
        <w:rPr>
          <w:rStyle w:val="Foreign"/>
        </w:rPr>
        <w:t>ś</w:t>
      </w:r>
      <w:r>
        <w:t xml:space="preserve"> and Tamil </w:t>
      </w:r>
      <w:r>
        <w:rPr>
          <w:rStyle w:val="Foreign"/>
        </w:rPr>
        <w:t>c</w:t>
      </w:r>
      <w:r>
        <w:t xml:space="preserve">, and you are unable to determine which is meant, choose in </w:t>
      </w:r>
      <w:r>
        <w:rPr>
          <w:rStyle w:val="Code"/>
        </w:rPr>
        <w:t>&lt;lem&gt;</w:t>
      </w:r>
      <w:r>
        <w:t xml:space="preserve"> the interpretation you favour and add a </w:t>
      </w:r>
      <w:r>
        <w:rPr>
          <w:rStyle w:val="Code"/>
        </w:rPr>
        <w:t>&lt;note&gt;</w:t>
      </w:r>
      <w:r>
        <w:t xml:space="preserve"> to the </w:t>
      </w:r>
      <w:r>
        <w:rPr>
          <w:rStyle w:val="Code"/>
        </w:rPr>
        <w:t>&lt;app&gt;</w:t>
      </w:r>
      <w:r>
        <w:t xml:space="preserve">, such as “The original editor’s reading could also be interpreted as …” (specifying the original editor by name if the </w:t>
      </w:r>
      <w:r>
        <w:rPr>
          <w:rStyle w:val="Code"/>
        </w:rPr>
        <w:t>&lt;app&gt;</w:t>
      </w:r>
      <w:r>
        <w:t xml:space="preserve"> contains several </w:t>
      </w:r>
      <w:r>
        <w:rPr>
          <w:rStyle w:val="Code"/>
        </w:rPr>
        <w:t>&lt;rdg&gt;</w:t>
      </w:r>
      <w:r>
        <w:t>)</w:t>
      </w:r>
    </w:p>
    <w:p w14:paraId="771C5ECD" w14:textId="77777777">
      <w:pPr>
        <w:pStyle w:val="Lista2"/>
      </w:pPr>
      <w:r>
        <w:t>if an earlier editor’s transliteration scheme represents certain details of the script less accurately than ours, make reasonable effort to normalise their reading to the more accurate DHARMA system, e.g.</w:t>
      </w:r>
    </w:p>
    <w:p w14:paraId="166DC354" w14:textId="77777777">
      <w:pPr>
        <w:pStyle w:val="Lista3"/>
      </w:pPr>
      <w:r>
        <w:t>in particular, initial vowels and final consonants to the uppercase letters used in our transliteration, even if the earlier editor does not indicate these in any way (e.g. by using = adjacent to non-initial vowels and non-final consonants)</w:t>
      </w:r>
    </w:p>
    <w:p w14:paraId="0BEB33E0" w14:textId="77777777">
      <w:pPr>
        <w:pStyle w:val="Lista3"/>
      </w:pPr>
      <w:r>
        <w:rPr>
          <w:rStyle w:val="Foreign"/>
        </w:rPr>
        <w:t>ḥ</w:t>
      </w:r>
      <w:r>
        <w:t xml:space="preserve"> to </w:t>
      </w:r>
      <w:r>
        <w:rPr>
          <w:rStyle w:val="Foreign"/>
        </w:rPr>
        <w:t>ḫ</w:t>
      </w:r>
      <w:r>
        <w:t xml:space="preserve"> or </w:t>
      </w:r>
      <w:r>
        <w:rPr>
          <w:rStyle w:val="Foreign"/>
        </w:rPr>
        <w:t>ẖ</w:t>
      </w:r>
      <w:r>
        <w:t xml:space="preserve"> as applicable, if an earlier editor does not (consistently) distinguish </w:t>
      </w:r>
      <w:r>
        <w:rPr>
          <w:rStyle w:val="Foreign"/>
        </w:rPr>
        <w:t>upadhmānīya</w:t>
      </w:r>
      <w:r>
        <w:t xml:space="preserve"> and </w:t>
      </w:r>
      <w:r>
        <w:rPr>
          <w:rStyle w:val="Foreign"/>
        </w:rPr>
        <w:t>jihvāmūlīya</w:t>
      </w:r>
      <w:r>
        <w:t xml:space="preserve"> from </w:t>
      </w:r>
      <w:r>
        <w:rPr>
          <w:rStyle w:val="Foreign"/>
        </w:rPr>
        <w:t>visarga</w:t>
      </w:r>
    </w:p>
    <w:p w14:paraId="5931E15B" w14:textId="77777777">
      <w:pPr>
        <w:pStyle w:val="Lista"/>
      </w:pPr>
      <w:r>
        <w:lastRenderedPageBreak/>
        <w:t>text within this element must be marked up with XML tags to clearly indicate what the cited editor deemed unclear, emended or supplied</w:t>
      </w:r>
    </w:p>
    <w:p w14:paraId="699F36C0" w14:textId="77777777">
      <w:pPr>
        <w:pStyle w:val="Lista2"/>
      </w:pPr>
      <w:r>
        <w:t>that is to say, convert the original editor’s markup and/or additional explanation into XML tags endorsed by this guide as best possible</w:t>
      </w:r>
    </w:p>
    <w:p w14:paraId="1C0443A9" w14:textId="77777777">
      <w:pPr>
        <w:pStyle w:val="Lista2"/>
      </w:pPr>
      <w:r>
        <w:t>since the markup found in many printed editions is less expressive and/or less rigorously consistent than our EpiDoc conventions, you may need to interpret the intention of the original editor and mark up alternatives accordingly, for instance by distinguishing correction from normalisation</w:t>
      </w:r>
    </w:p>
    <w:p w14:paraId="6AA4710D" w14:textId="77777777">
      <w:pPr>
        <w:pStyle w:val="Lista"/>
      </w:pPr>
      <w:r>
        <w:t xml:space="preserve">never retain any traditional editorial markup </w:t>
      </w:r>
      <w:r>
        <w:rPr>
          <w:noProof/>
        </w:rPr>
        <w:t>(</w:t>
      </w:r>
      <w:r>
        <w:t>such as brackets or asterisks)</w:t>
      </w:r>
    </w:p>
    <w:p w14:paraId="4191E494" w14:textId="77777777">
      <w:pPr>
        <w:pStyle w:val="Lista2"/>
      </w:pPr>
      <w:r>
        <w:t>if you are unable to interpret the intent of an earlier editor, discuss it in an apparatus note instead of citing it as a reading</w:t>
      </w:r>
    </w:p>
    <w:p w14:paraId="14FAC7FA" w14:textId="77777777">
      <w:pPr>
        <w:pStyle w:val="Lista2"/>
      </w:pPr>
      <w:r>
        <w:t>see also §</w:t>
      </w:r>
      <w:r>
        <w:fldChar w:fldCharType="begin"/>
      </w:r>
      <w:r>
        <w:instrText xml:space="preserve"> REF _Ref43989517 \w \h  \* MERGEFORMAT </w:instrText>
      </w:r>
      <w:r>
        <w:fldChar w:fldCharType="separate"/>
      </w:r>
      <w:r>
        <w:t>10.6</w:t>
      </w:r>
      <w:r>
        <w:fldChar w:fldCharType="end"/>
      </w:r>
      <w:r>
        <w:t xml:space="preserve"> for some concerns pertaining to the use of XML tags in readings, in particular about the encoding of line breaks within a reading</w:t>
      </w:r>
    </w:p>
    <w:p w14:paraId="73D67CDC" w14:textId="77777777">
      <w:pPr>
        <w:pStyle w:val="Lista"/>
      </w:pPr>
      <w:r>
        <w:t>feel free to silently correct obvious typographic errors and transliteration inconsistencies when citing an earlier editor’s reading</w:t>
      </w:r>
    </w:p>
    <w:p w14:paraId="06810939" w14:textId="77777777">
      <w:pPr>
        <w:pStyle w:val="Lista2"/>
      </w:pPr>
      <w:r>
        <w:t>but when there is any doubt as to whether you are dealing with a typo or an erroneous reading, it is better to assume the latter</w:t>
      </w:r>
    </w:p>
    <w:p w14:paraId="1F4B8894" w14:textId="77777777">
      <w:pPr>
        <w:pStyle w:val="Lista"/>
      </w:pPr>
      <w:r>
        <w:t xml:space="preserve">keep in mind that all markup within </w:t>
      </w:r>
      <w:r>
        <w:rPr>
          <w:rStyle w:val="Code"/>
        </w:rPr>
        <w:t>&lt;rdg&gt;</w:t>
      </w:r>
      <w:r>
        <w:t xml:space="preserve"> must represent the cited editor’s markup, not your markup pertaining to the cited edition; thus,</w:t>
      </w:r>
    </w:p>
    <w:p w14:paraId="2FC36A70" w14:textId="77777777">
      <w:pPr>
        <w:pStyle w:val="Lista2"/>
      </w:pPr>
      <w:r>
        <w:t>if your copy of the edition is unclear or illegible, this can be indicated in a note, but not with XML markup for unclear text or a lacuna</w:t>
      </w:r>
    </w:p>
    <w:p w14:paraId="76D707E7" w14:textId="77777777">
      <w:pPr>
        <w:pStyle w:val="Lista2"/>
      </w:pPr>
      <w:r>
        <w:t xml:space="preserve">if the previous editor omits some text, this can be indicated by an empty </w:t>
      </w:r>
      <w:r>
        <w:rPr>
          <w:rStyle w:val="Code"/>
        </w:rPr>
        <w:t>&lt;rdg&gt;</w:t>
      </w:r>
      <w:r>
        <w:t xml:space="preserve"> as above (§</w:t>
      </w:r>
      <w:r>
        <w:fldChar w:fldCharType="begin"/>
      </w:r>
      <w:r>
        <w:instrText xml:space="preserve"> REF _Ref242886455 \r \h </w:instrText>
      </w:r>
      <w:r>
        <w:fldChar w:fldCharType="separate"/>
      </w:r>
      <w:r>
        <w:t>10.4.1</w:t>
      </w:r>
      <w:r>
        <w:fldChar w:fldCharType="end"/>
      </w:r>
      <w:r>
        <w:t>), or by choosing a broader lemma that includes some text adjacent to the omission</w:t>
      </w:r>
    </w:p>
    <w:p w14:paraId="3257121E" w14:textId="77777777">
      <w:pPr>
        <w:pStyle w:val="Cmsor3"/>
      </w:pPr>
      <w:bookmarkStart w:id="812" w:name="_Ref233625579"/>
      <w:bookmarkStart w:id="813" w:name="_Toc243900391"/>
      <w:r>
        <w:t>The source of alternative readings</w:t>
      </w:r>
      <w:bookmarkEnd w:id="812"/>
      <w:bookmarkEnd w:id="813"/>
    </w:p>
    <w:p w14:paraId="515EE3A3" w14:textId="77777777">
      <w:pPr>
        <w:pStyle w:val="Lista"/>
      </w:pPr>
      <w:r>
        <w:t>alternative readings must always be credited to the editor</w:t>
      </w:r>
      <w:r>
        <w:rPr>
          <w:noProof/>
        </w:rPr>
        <w:t>(</w:t>
      </w:r>
      <w:r>
        <w:t xml:space="preserve">s) who proposed or endorsed them, using the attribute </w:t>
      </w:r>
      <w:r>
        <w:rPr>
          <w:rStyle w:val="Codeattribute"/>
        </w:rPr>
        <w:t>@source</w:t>
      </w:r>
      <w:r>
        <w:t xml:space="preserve"> on </w:t>
      </w:r>
      <w:r>
        <w:rPr>
          <w:rStyle w:val="Code"/>
        </w:rPr>
        <w:t>&lt;rdg&gt;</w:t>
      </w:r>
    </w:p>
    <w:p w14:paraId="404FBCC8" w14:textId="77777777">
      <w:pPr>
        <w:pStyle w:val="Lista2"/>
      </w:pPr>
      <w:r>
        <w:t>the value of this attribute must be a bibliographic identifier as set out in §</w:t>
      </w:r>
      <w:r>
        <w:fldChar w:fldCharType="begin"/>
      </w:r>
      <w:r>
        <w:instrText xml:space="preserve"> REF _Ref43989551 \w \h  \* MERGEFORMAT </w:instrText>
      </w:r>
      <w:r>
        <w:fldChar w:fldCharType="separate"/>
      </w:r>
      <w:r>
        <w:t>14.6.2</w:t>
      </w:r>
      <w:r>
        <w:fldChar w:fldCharType="end"/>
      </w:r>
    </w:p>
    <w:p w14:paraId="4E0A12F5" w14:textId="77777777">
      <w:pPr>
        <w:pStyle w:val="Lista2"/>
      </w:pPr>
      <w:r>
        <w:t>the bibliographic citation of the relevant publication in your bibliography division must include an encoded siglum for use in the apparatus, as per §</w:t>
      </w:r>
      <w:r>
        <w:fldChar w:fldCharType="begin"/>
      </w:r>
      <w:r>
        <w:instrText xml:space="preserve"> REF _Ref43989610 \w \h  \* MERGEFORMAT </w:instrText>
      </w:r>
      <w:r>
        <w:fldChar w:fldCharType="separate"/>
      </w:r>
      <w:r>
        <w:t>13.3.2</w:t>
      </w:r>
      <w:r>
        <w:fldChar w:fldCharType="end"/>
      </w:r>
    </w:p>
    <w:p w14:paraId="738613B9" w14:textId="77777777">
      <w:pPr>
        <w:pStyle w:val="Lista2"/>
      </w:pPr>
      <w:r>
        <w:t>see §</w:t>
      </w:r>
      <w:r>
        <w:fldChar w:fldCharType="begin"/>
      </w:r>
      <w:r>
        <w:instrText xml:space="preserve"> REF _Ref43989583 \w \h  \* MERGEFORMAT </w:instrText>
      </w:r>
      <w:r>
        <w:fldChar w:fldCharType="separate"/>
      </w:r>
      <w:r>
        <w:t>10.5</w:t>
      </w:r>
      <w:r>
        <w:fldChar w:fldCharType="end"/>
      </w:r>
      <w:r>
        <w:t xml:space="preserve"> below for guidance on deciding when two editors’ readings may be deemed identical</w:t>
      </w:r>
    </w:p>
    <w:p w14:paraId="79AF8E6C" w14:textId="77777777">
      <w:pPr>
        <w:pStyle w:val="Lista"/>
      </w:pPr>
      <w:r>
        <w:t>if your apparatus includes at least one lemma with alternative readings and you have consulted more than one previous editor, then your apparatus entries must always be formulated as a positive apparatus</w:t>
      </w:r>
    </w:p>
    <w:p w14:paraId="5EF7CCEE" w14:textId="77777777">
      <w:pPr>
        <w:pStyle w:val="Lista2"/>
      </w:pPr>
      <w:r>
        <w:t xml:space="preserve">for any lemma with one or more alternative readings, clearly indicate </w:t>
      </w:r>
      <w:r>
        <w:rPr>
          <w:noProof/>
        </w:rPr>
        <w:t>(</w:t>
      </w:r>
      <w:r>
        <w:t>either under the lemma or under one of the alternative readings) what the readings of all previous editors were</w:t>
      </w:r>
    </w:p>
    <w:p w14:paraId="637D9E80" w14:textId="77777777">
      <w:pPr>
        <w:pStyle w:val="Lista2"/>
      </w:pPr>
      <w:r>
        <w:t xml:space="preserve">however, keep in mind that your apparatus does not have to list every minor divergence from or between previous editions </w:t>
      </w:r>
      <w:r>
        <w:rPr>
          <w:noProof/>
        </w:rPr>
        <w:t>(</w:t>
      </w:r>
      <w:r>
        <w:t>§</w:t>
      </w:r>
      <w:r>
        <w:fldChar w:fldCharType="begin"/>
      </w:r>
      <w:r>
        <w:instrText xml:space="preserve"> REF _Ref43978773 \r \h </w:instrText>
      </w:r>
      <w:r>
        <w:fldChar w:fldCharType="separate"/>
      </w:r>
      <w:r>
        <w:t>10</w:t>
      </w:r>
      <w:r>
        <w:fldChar w:fldCharType="end"/>
      </w:r>
      <w:r>
        <w:t>)</w:t>
      </w:r>
    </w:p>
    <w:p w14:paraId="65367EBF" w14:textId="77777777">
      <w:pPr>
        <w:pStyle w:val="Cmsor2"/>
      </w:pPr>
      <w:bookmarkStart w:id="814" w:name="_wlnr5yx14afg" w:colFirst="0" w:colLast="0"/>
      <w:bookmarkStart w:id="815" w:name="_Ref43989583"/>
      <w:bookmarkStart w:id="816" w:name="_Toc243900392"/>
      <w:bookmarkEnd w:id="814"/>
      <w:r>
        <w:t>Identical lemmas, identical readings</w:t>
      </w:r>
      <w:bookmarkEnd w:id="815"/>
      <w:bookmarkEnd w:id="816"/>
    </w:p>
    <w:p w14:paraId="76A954F4" w14:textId="77777777">
      <w:pPr>
        <w:pStyle w:val="Lista"/>
      </w:pPr>
      <w:r>
        <w:t>in setting up your apparatus, you will need to judge whether two given readings are to be recognised as different or can be treated as identical</w:t>
      </w:r>
    </w:p>
    <w:p w14:paraId="592D003D" w14:textId="77777777">
      <w:pPr>
        <w:pStyle w:val="Lista2"/>
      </w:pPr>
      <w:r>
        <w:t>to decide whether a given previous editor’s reading agrees with yours or must be shown as an alternative reading</w:t>
      </w:r>
    </w:p>
    <w:p w14:paraId="2E6EF7B5" w14:textId="77777777">
      <w:pPr>
        <w:pStyle w:val="Lista2"/>
      </w:pPr>
      <w:r>
        <w:t>to decide whether a given previous editor’s reading agrees with that of another previous editor or must be shown as an additional alternative reading</w:t>
      </w:r>
    </w:p>
    <w:p w14:paraId="7221A288" w14:textId="77777777">
      <w:pPr>
        <w:pStyle w:val="Lista"/>
      </w:pPr>
      <w:r>
        <w:t>in this process, you should primarily consider the actual text shown in each edition, as read by each editor; thus,</w:t>
      </w:r>
    </w:p>
    <w:p w14:paraId="0F653C10" w14:textId="77777777">
      <w:pPr>
        <w:pStyle w:val="Lista2"/>
      </w:pPr>
      <w:r>
        <w:t>ignore differences limited to the transliteration system (see also §</w:t>
      </w:r>
      <w:r>
        <w:fldChar w:fldCharType="begin"/>
      </w:r>
      <w:r>
        <w:instrText xml:space="preserve"> REF _Ref233988136 \r \h </w:instrText>
      </w:r>
      <w:r>
        <w:fldChar w:fldCharType="separate"/>
      </w:r>
      <w:r>
        <w:t>10.4.2</w:t>
      </w:r>
      <w:r>
        <w:fldChar w:fldCharType="end"/>
      </w:r>
      <w:r>
        <w:t xml:space="preserve"> above)</w:t>
      </w:r>
    </w:p>
    <w:p w14:paraId="39BDE0A5" w14:textId="77777777">
      <w:pPr>
        <w:pStyle w:val="Lista3"/>
      </w:pPr>
      <w:r>
        <w:t xml:space="preserve">if an earlier editor does not distinguish initial vowels from dependent ones, or final consonants from those in </w:t>
      </w:r>
      <w:r>
        <w:rPr>
          <w:rStyle w:val="Foreign"/>
        </w:rPr>
        <w:t>akṣara</w:t>
      </w:r>
      <w:r>
        <w:rPr>
          <w:rStyle w:val="Foreign"/>
          <w:i w:val="0"/>
          <w:iCs w:val="0"/>
        </w:rPr>
        <w:t>s</w:t>
      </w:r>
      <w:r>
        <w:t>, you must still consider the readings identical</w:t>
      </w:r>
    </w:p>
    <w:p w14:paraId="445FE193" w14:textId="77777777">
      <w:pPr>
        <w:pStyle w:val="Lista2"/>
      </w:pPr>
      <w:r>
        <w:lastRenderedPageBreak/>
        <w:t>feel free to ignore minor orthographic mistakes that do not affect the meaning and that may well be typographic errors in a previous edition</w:t>
      </w:r>
    </w:p>
    <w:p w14:paraId="2D5D90C1" w14:textId="77777777">
      <w:pPr>
        <w:pStyle w:val="Lista3"/>
      </w:pPr>
      <w:r>
        <w:t>but when there is any doubt as to whether you are dealing with a typo or an erroneous reading, it is better to assume the latter and show it as different from the reading you deem correct</w:t>
      </w:r>
    </w:p>
    <w:p w14:paraId="79871979" w14:textId="77777777">
      <w:pPr>
        <w:pStyle w:val="Lista2"/>
      </w:pPr>
      <w:r>
        <w:t>ignore differences that consist only in the presence or absence of markup for unclear or restored characters</w:t>
      </w:r>
    </w:p>
    <w:p w14:paraId="4EE91D3C" w14:textId="77777777">
      <w:pPr>
        <w:pStyle w:val="Lista3"/>
      </w:pPr>
      <w:r>
        <w:t xml:space="preserve">if one reading is </w:t>
      </w:r>
      <w:r>
        <w:rPr>
          <w:rStyle w:val="Codetext"/>
        </w:rPr>
        <w:t>ya</w:t>
      </w:r>
      <w:r>
        <w:rPr>
          <w:rStyle w:val="Code"/>
        </w:rPr>
        <w:t>&lt;unclear&gt;</w:t>
      </w:r>
      <w:r>
        <w:rPr>
          <w:rStyle w:val="Codetext"/>
        </w:rPr>
        <w:t>thā</w:t>
      </w:r>
      <w:r>
        <w:rPr>
          <w:rStyle w:val="Code"/>
        </w:rPr>
        <w:t>&lt;/unclear&gt;</w:t>
      </w:r>
      <w:r>
        <w:rPr>
          <w:rStyle w:val="Codetext"/>
        </w:rPr>
        <w:t>smābhiḥ</w:t>
      </w:r>
      <w:r>
        <w:t xml:space="preserve"> and another is </w:t>
      </w:r>
      <w:r>
        <w:rPr>
          <w:rStyle w:val="Codetext"/>
        </w:rPr>
        <w:t>yathāsmābhiḥ</w:t>
      </w:r>
      <w:r>
        <w:t xml:space="preserve"> without any markup, then the two readings shall be deemed identical</w:t>
      </w:r>
    </w:p>
    <w:p w14:paraId="60135E63" w14:textId="77777777">
      <w:pPr>
        <w:pStyle w:val="Lista3"/>
      </w:pPr>
      <w:r>
        <w:t xml:space="preserve">if one reading is </w:t>
      </w:r>
      <w:r>
        <w:rPr>
          <w:rStyle w:val="Codetext"/>
        </w:rPr>
        <w:t>yathā</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smābhiḥ</w:t>
      </w:r>
      <w:r>
        <w:rPr>
          <w:rStyle w:val="Code"/>
        </w:rPr>
        <w:t>&lt;/supplied&gt;</w:t>
      </w:r>
      <w:r>
        <w:t xml:space="preserve"> and another is </w:t>
      </w:r>
      <w:r>
        <w:rPr>
          <w:rStyle w:val="Codetext"/>
        </w:rPr>
        <w:t>yathāsmābhiḥ</w:t>
      </w:r>
      <w:r>
        <w:t xml:space="preserve"> without any markup, then the two readings may be deemed identical unless you consider it important to show that part of the text was apparently visible to one editor but lost when the document was studied by another</w:t>
      </w:r>
    </w:p>
    <w:p w14:paraId="6218E2C4" w14:textId="77777777">
      <w:pPr>
        <w:pStyle w:val="Lista2"/>
      </w:pPr>
      <w:r>
        <w:t>ignore the presence or absence of spaces, which are usually not indicated in printed editions</w:t>
      </w:r>
    </w:p>
    <w:p w14:paraId="6FC05B22" w14:textId="77777777">
      <w:pPr>
        <w:pStyle w:val="Lista2"/>
      </w:pPr>
      <w:r>
        <w:t>ignore previous editors’ emendations or normalisations if they do not affect the interpretation of the text</w:t>
      </w:r>
    </w:p>
    <w:p w14:paraId="417510B3" w14:textId="77777777">
      <w:pPr>
        <w:pStyle w:val="Lista3"/>
      </w:pPr>
      <w:r>
        <w:t xml:space="preserve">thus, if you </w:t>
      </w:r>
      <w:r>
        <w:rPr>
          <w:noProof/>
        </w:rPr>
        <w:t>(</w:t>
      </w:r>
      <w:r>
        <w:t>or another editor) have chosen only to flag a phenomenon as erroneous or non-standard, or chosen to ignore one, whereas a previous editor reads the same received text but emends or normalises it, then the readings are still to be deemed as identical</w:t>
      </w:r>
    </w:p>
    <w:p w14:paraId="430E8BDA" w14:textId="77777777">
      <w:pPr>
        <w:pStyle w:val="Lista3"/>
      </w:pPr>
      <w:r>
        <w:t>meaningful or text-critically significant differences in emendation (or lack thereof) must, however, be recorded in the apparatus</w:t>
      </w:r>
    </w:p>
    <w:p w14:paraId="20180875" w14:textId="77777777">
      <w:pPr>
        <w:pStyle w:val="Lista2"/>
      </w:pPr>
      <w:r>
        <w:t>ignore differences in the strategy (or inconsistency) of editorial spacing and hyphenation unless they affect the interpretation of the text</w:t>
      </w:r>
    </w:p>
    <w:p w14:paraId="5509374F" w14:textId="77777777">
      <w:pPr>
        <w:pStyle w:val="Lista3"/>
      </w:pPr>
      <w:r>
        <w:t>thus, if a previous edition hyphenates a suffix, prints a clitic without a space between it and the adjacent word, this is not a reason to recognise their reading as different</w:t>
      </w:r>
    </w:p>
    <w:p w14:paraId="5D9BC47D" w14:textId="77777777">
      <w:pPr>
        <w:pStyle w:val="Lista3"/>
      </w:pPr>
      <w:r>
        <w:t>meaningful differences (e.g. treating a word as in compound or free-standing) must, however, be recorded in the apparatus</w:t>
      </w:r>
    </w:p>
    <w:p w14:paraId="3BCDD3BD" w14:textId="77777777">
      <w:pPr>
        <w:pStyle w:val="Lista"/>
      </w:pPr>
      <w:r>
        <w:t>in all of the above cases, the recommendation of ignoring minor differences may be overridden for highly problematic spots of text, where you may find it best to faithfully reproduce each previous editor’s reading down to the last detail</w:t>
      </w:r>
    </w:p>
    <w:p w14:paraId="6240DBD0" w14:textId="77777777">
      <w:pPr>
        <w:pStyle w:val="Lista"/>
      </w:pPr>
      <w:r>
        <w:t>keep in mind that whenever multiple editions are cited as sources for a lemma, their citations must be listed within a single</w:t>
      </w:r>
      <w:r>
        <w:rPr>
          <w:b/>
          <w:bCs/>
        </w:rPr>
        <w:t xml:space="preserve"> </w:t>
      </w:r>
      <w:r>
        <w:rPr>
          <w:rStyle w:val="Codeattribute"/>
        </w:rPr>
        <w:t>@source</w:t>
      </w:r>
      <w:r>
        <w:t xml:space="preserve"> attribute in chronological order </w:t>
      </w:r>
      <w:r>
        <w:rPr>
          <w:noProof/>
        </w:rPr>
        <w:t>(§</w:t>
      </w:r>
      <w:r>
        <w:rPr>
          <w:noProof/>
        </w:rPr>
        <w:fldChar w:fldCharType="begin"/>
      </w:r>
      <w:r>
        <w:rPr>
          <w:noProof/>
        </w:rPr>
        <w:instrText xml:space="preserve"> REF _Ref44490119 \r \h </w:instrText>
      </w:r>
      <w:r>
        <w:rPr>
          <w:noProof/>
        </w:rPr>
      </w:r>
      <w:r>
        <w:rPr>
          <w:noProof/>
        </w:rPr>
        <w:fldChar w:fldCharType="separate"/>
      </w:r>
      <w:r>
        <w:rPr>
          <w:noProof/>
        </w:rPr>
        <w:t>14.6.2</w:t>
      </w:r>
      <w:r>
        <w:rPr>
          <w:noProof/>
        </w:rPr>
        <w:fldChar w:fldCharType="end"/>
      </w:r>
      <w:r>
        <w:t>)</w:t>
      </w:r>
    </w:p>
    <w:p w14:paraId="6D3DB8D0" w14:textId="77777777">
      <w:pPr>
        <w:pStyle w:val="Lista"/>
      </w:pPr>
      <w:r>
        <w:t>when more than one previous editor supports a reading, but the readings of these editors differ from one another in minor details you ignore as per the above guidelines, by preference show the reading as featured in the first of the cited editions</w:t>
      </w:r>
    </w:p>
    <w:p w14:paraId="73E8063C" w14:textId="77777777">
      <w:pPr>
        <w:pStyle w:val="Cmsor2"/>
      </w:pPr>
      <w:bookmarkStart w:id="817" w:name="_qb0qotwuz8be" w:colFirst="0" w:colLast="0"/>
      <w:bookmarkStart w:id="818" w:name="_Ref43989517"/>
      <w:bookmarkStart w:id="819" w:name="_Ref233640654"/>
      <w:bookmarkStart w:id="820" w:name="_Toc243900393"/>
      <w:bookmarkEnd w:id="817"/>
      <w:r>
        <w:t>XML markup within lemmas</w:t>
      </w:r>
      <w:bookmarkEnd w:id="818"/>
      <w:r>
        <w:t xml:space="preserve"> and readings</w:t>
      </w:r>
      <w:bookmarkEnd w:id="819"/>
      <w:bookmarkEnd w:id="820"/>
    </w:p>
    <w:p w14:paraId="2744239C" w14:textId="77777777">
      <w:r>
        <w:t>When creating lemmas by copying and pasting text from your edition, you must make sure that encoding pertaining to these text snippets is correctly preserved. For readings cited from printed editions, applicable XML encoding must be created by you on the basis of the text-based markup in the editions.</w:t>
      </w:r>
    </w:p>
    <w:p w14:paraId="7C16DC3A" w14:textId="77777777">
      <w:pPr>
        <w:pStyle w:val="Lista"/>
      </w:pPr>
      <w:r>
        <w:t xml:space="preserve">tags of block-level containers for intrinsic structure </w:t>
      </w:r>
      <w:r>
        <w:rPr>
          <w:noProof/>
        </w:rPr>
        <w:t>(§</w:t>
      </w:r>
      <w:r>
        <w:rPr>
          <w:noProof/>
        </w:rPr>
        <w:fldChar w:fldCharType="begin"/>
      </w:r>
      <w:r>
        <w:rPr>
          <w:noProof/>
        </w:rPr>
        <w:instrText xml:space="preserve"> REF _Ref225500627 \r \h </w:instrText>
      </w:r>
      <w:r>
        <w:rPr>
          <w:noProof/>
        </w:rPr>
      </w:r>
      <w:r>
        <w:rPr>
          <w:noProof/>
        </w:rPr>
        <w:fldChar w:fldCharType="separate"/>
      </w:r>
      <w:r>
        <w:rPr>
          <w:noProof/>
        </w:rPr>
        <w:t>3.2</w:t>
      </w:r>
      <w:r>
        <w:rPr>
          <w:noProof/>
        </w:rPr>
        <w:fldChar w:fldCharType="end"/>
      </w:r>
      <w:r>
        <w:t>) must never be included in lemmas or readings</w:t>
      </w:r>
    </w:p>
    <w:p w14:paraId="140BA4FE" w14:textId="77777777">
      <w:pPr>
        <w:pStyle w:val="Lista2"/>
      </w:pPr>
      <w:r>
        <w:t>for a problematic locus extending across a boundary between such containers, preferably create separate lemmas</w:t>
      </w:r>
    </w:p>
    <w:p w14:paraId="1DC56AEF" w14:textId="77777777">
      <w:pPr>
        <w:pStyle w:val="Lista2"/>
      </w:pPr>
      <w:r>
        <w:t xml:space="preserve">if separate lemmas do not seem appropriate, then simply delete from your lemma the </w:t>
      </w:r>
      <w:r>
        <w:rPr>
          <w:noProof/>
        </w:rPr>
        <w:t>(</w:t>
      </w:r>
      <w:r>
        <w:t>start and end) tags belonging to such an element, i.e. cite the text as if the boundary of intrinsic structure were not present</w:t>
      </w:r>
    </w:p>
    <w:p w14:paraId="39A41151" w14:textId="77777777">
      <w:pPr>
        <w:pStyle w:val="Lista"/>
      </w:pPr>
      <w:r>
        <w:t xml:space="preserve">milestone elements for extrinsic structure </w:t>
      </w:r>
      <w:r>
        <w:rPr>
          <w:noProof/>
        </w:rPr>
        <w:t>(§</w:t>
      </w:r>
      <w:r>
        <w:rPr>
          <w:noProof/>
        </w:rPr>
        <w:fldChar w:fldCharType="begin"/>
      </w:r>
      <w:r>
        <w:rPr>
          <w:noProof/>
        </w:rPr>
        <w:instrText xml:space="preserve"> REF _Ref225327729 \r \h </w:instrText>
      </w:r>
      <w:r>
        <w:rPr>
          <w:noProof/>
        </w:rPr>
      </w:r>
      <w:r>
        <w:rPr>
          <w:noProof/>
        </w:rPr>
        <w:fldChar w:fldCharType="separate"/>
      </w:r>
      <w:r>
        <w:rPr>
          <w:noProof/>
        </w:rPr>
        <w:t>4.3</w:t>
      </w:r>
      <w:r>
        <w:rPr>
          <w:noProof/>
        </w:rPr>
        <w:fldChar w:fldCharType="end"/>
      </w:r>
      <w:r>
        <w:rPr>
          <w:noProof/>
        </w:rPr>
        <w:t>; including line and page breaks</w:t>
      </w:r>
      <w:r>
        <w:t>) shall, however, be included in both lemmas and readings</w:t>
      </w:r>
    </w:p>
    <w:p w14:paraId="663916A2" w14:textId="77777777">
      <w:pPr>
        <w:pStyle w:val="Lista2"/>
      </w:pPr>
      <w:r>
        <w:t xml:space="preserve">the purpose of this is primarily to show the fact that such a transition is present </w:t>
      </w:r>
      <w:r>
        <w:rPr>
          <w:noProof/>
        </w:rPr>
        <w:t>(</w:t>
      </w:r>
      <w:r>
        <w:t>or was indicated as present, not necessarily always in the right place, by a previous edition)</w:t>
      </w:r>
    </w:p>
    <w:p w14:paraId="37262642" w14:textId="77777777">
      <w:pPr>
        <w:pStyle w:val="Lista2"/>
      </w:pPr>
      <w:r>
        <w:t>attributes of these elements present in the edition must be retained in the lemma</w:t>
      </w:r>
    </w:p>
    <w:p w14:paraId="4D9690E9" w14:textId="77777777">
      <w:pPr>
        <w:pStyle w:val="Lista2"/>
      </w:pPr>
      <w:r>
        <w:lastRenderedPageBreak/>
        <w:t xml:space="preserve">remember that when a lemma extends across a line boundary, the </w:t>
      </w:r>
      <w:r>
        <w:rPr>
          <w:rStyle w:val="Codeattribute"/>
        </w:rPr>
        <w:t>@loc</w:t>
      </w:r>
      <w:r>
        <w:t xml:space="preserve"> of the apparatus entry must be the number of the line where the lemma begins</w:t>
      </w:r>
    </w:p>
    <w:p w14:paraId="244219CE" w14:textId="77777777">
      <w:pPr>
        <w:pStyle w:val="Lista"/>
      </w:pPr>
      <w:r>
        <w:t>forme work (§</w:t>
      </w:r>
      <w:r>
        <w:fldChar w:fldCharType="begin"/>
      </w:r>
      <w:r>
        <w:instrText xml:space="preserve"> REF _Ref43984607 \r \h </w:instrText>
      </w:r>
      <w:r>
        <w:fldChar w:fldCharType="separate"/>
      </w:r>
      <w:r>
        <w:t>4.7.2</w:t>
      </w:r>
      <w:r>
        <w:fldChar w:fldCharType="end"/>
      </w:r>
      <w:r>
        <w:t>) must not be included in lemmas</w:t>
      </w:r>
    </w:p>
    <w:p w14:paraId="16E4C18A" w14:textId="77777777">
      <w:pPr>
        <w:pStyle w:val="Lista2"/>
      </w:pPr>
      <w:r>
        <w:t xml:space="preserve">if an </w:t>
      </w:r>
      <w:r>
        <w:rPr>
          <w:rStyle w:val="Code"/>
        </w:rPr>
        <w:t>&lt;fw&gt;</w:t>
      </w:r>
      <w:r>
        <w:t xml:space="preserve"> element is present after a page break that intervenes in your lemma, then delete it (along with its contents) from the contents of the lemma pasted from your edition</w:t>
      </w:r>
    </w:p>
    <w:p w14:paraId="60E18C78" w14:textId="77777777">
      <w:pPr>
        <w:pStyle w:val="Lista2"/>
      </w:pPr>
      <w:r>
        <w:t xml:space="preserve">for lemmas </w:t>
      </w:r>
      <w:r>
        <w:rPr>
          <w:i/>
          <w:iCs/>
        </w:rPr>
        <w:t>within</w:t>
      </w:r>
      <w:r>
        <w:t xml:space="preserve"> forme work, see §</w:t>
      </w:r>
      <w:r>
        <w:fldChar w:fldCharType="begin"/>
      </w:r>
      <w:r>
        <w:instrText xml:space="preserve"> REF _Ref43978538 \r \h </w:instrText>
      </w:r>
      <w:r>
        <w:fldChar w:fldCharType="separate"/>
      </w:r>
      <w:r>
        <w:t>10.1.1</w:t>
      </w:r>
      <w:r>
        <w:fldChar w:fldCharType="end"/>
      </w:r>
    </w:p>
    <w:p w14:paraId="47D6C06B" w14:textId="77777777">
      <w:pPr>
        <w:pStyle w:val="Lista"/>
      </w:pPr>
      <w:r>
        <w:t>philological markup (§</w:t>
      </w:r>
      <w:r>
        <w:fldChar w:fldCharType="begin"/>
      </w:r>
      <w:r>
        <w:instrText xml:space="preserve"> REF _Ref232171176 \r \h </w:instrText>
      </w:r>
      <w:r>
        <w:fldChar w:fldCharType="separate"/>
      </w:r>
      <w:r>
        <w:t>5</w:t>
      </w:r>
      <w:r>
        <w:fldChar w:fldCharType="end"/>
      </w:r>
      <w:r>
        <w:t xml:space="preserve"> to §</w:t>
      </w:r>
      <w:r>
        <w:fldChar w:fldCharType="begin"/>
      </w:r>
      <w:r>
        <w:instrText xml:space="preserve"> REF _Ref43978565 \r \h </w:instrText>
      </w:r>
      <w:r>
        <w:fldChar w:fldCharType="separate"/>
      </w:r>
      <w:r>
        <w:t>7</w:t>
      </w:r>
      <w:r>
        <w:fldChar w:fldCharType="end"/>
      </w:r>
      <w:r>
        <w:t>) must, as a rule, be retained in lemmas as it appears in your edition, and created in readings to represent the intent of the editor cited as far as possible</w:t>
      </w:r>
    </w:p>
    <w:p w14:paraId="14A0A722" w14:textId="77777777">
      <w:pPr>
        <w:pStyle w:val="Lista2"/>
      </w:pPr>
      <w:r>
        <w:t>the start-tag or end-tag of such an element may be outside the range of your locus copied and pasted from your edition, but must be present in the lemma, so take care to</w:t>
      </w:r>
    </w:p>
    <w:p w14:paraId="72388A28" w14:textId="77777777">
      <w:pPr>
        <w:pStyle w:val="Lista3"/>
      </w:pPr>
      <w:r>
        <w:t>add the start-tag for markup commencing before and ending inside your lemma</w:t>
      </w:r>
    </w:p>
    <w:p w14:paraId="7E191351" w14:textId="77777777">
      <w:pPr>
        <w:pStyle w:val="Lista3"/>
      </w:pPr>
      <w:r>
        <w:t>add the end-tag for markup commencing inside your lemma and ending after it</w:t>
      </w:r>
    </w:p>
    <w:p w14:paraId="2307151F" w14:textId="77777777">
      <w:pPr>
        <w:pStyle w:val="Lista3"/>
      </w:pPr>
      <w:r>
        <w:t>add start and end-tags for a lemma snipped from within a longer stretch of phrase-level markup</w:t>
      </w:r>
    </w:p>
    <w:p w14:paraId="61C20221" w14:textId="77777777">
      <w:pPr>
        <w:pStyle w:val="Lista"/>
      </w:pPr>
      <w:r>
        <w:t>phrase-level markup that encodes additional information (§</w:t>
      </w:r>
      <w:r>
        <w:fldChar w:fldCharType="begin"/>
      </w:r>
      <w:r>
        <w:instrText xml:space="preserve"> REF _Ref122447347 \r \h </w:instrText>
      </w:r>
      <w:r>
        <w:fldChar w:fldCharType="separate"/>
      </w:r>
      <w:r>
        <w:t>14.2.4</w:t>
      </w:r>
      <w:r>
        <w:fldChar w:fldCharType="end"/>
      </w:r>
      <w:r>
        <w:t xml:space="preserve"> and §</w:t>
      </w:r>
      <w:r>
        <w:fldChar w:fldCharType="begin"/>
      </w:r>
      <w:r>
        <w:instrText xml:space="preserve"> REF _Ref232002354 \r \h </w:instrText>
      </w:r>
      <w:r>
        <w:fldChar w:fldCharType="separate"/>
      </w:r>
      <w:r>
        <w:t>9</w:t>
      </w:r>
      <w:r>
        <w:fldChar w:fldCharType="end"/>
      </w:r>
      <w:r>
        <w:t>) is indifferent for the purposes of the apparatus; thus:</w:t>
      </w:r>
    </w:p>
    <w:p w14:paraId="6AD88AD8" w14:textId="77777777">
      <w:pPr>
        <w:pStyle w:val="Lista2"/>
      </w:pPr>
      <w:r>
        <w:t>it is recommended that you delete any such markup from your lemma in order to reduce code clutter</w:t>
      </w:r>
    </w:p>
    <w:p w14:paraId="10537F07" w14:textId="77777777">
      <w:pPr>
        <w:pStyle w:val="Lista2"/>
      </w:pPr>
      <w:r>
        <w:t>but feel free to leave such markup in a copied and pasted lemma if this is more convenient for you, provided that you pay attention to start-tags and end-tags as above</w:t>
      </w:r>
    </w:p>
    <w:p w14:paraId="6E3CDB13" w14:textId="77777777">
      <w:pPr>
        <w:pStyle w:val="Cmsor2"/>
      </w:pPr>
      <w:bookmarkStart w:id="821" w:name="_1khg88862vrq" w:colFirst="0" w:colLast="0"/>
      <w:bookmarkStart w:id="822" w:name="_Ref43988104"/>
      <w:bookmarkStart w:id="823" w:name="_Toc243900394"/>
      <w:bookmarkEnd w:id="821"/>
      <w:r>
        <w:t>Freeform apparatus notes</w:t>
      </w:r>
      <w:bookmarkEnd w:id="822"/>
      <w:bookmarkEnd w:id="823"/>
    </w:p>
    <w:p w14:paraId="2FAD5633" w14:textId="77777777">
      <w:pPr>
        <w:pStyle w:val="Lista"/>
      </w:pPr>
      <w:r>
        <w:t xml:space="preserve">if you find the encoding within </w:t>
      </w:r>
      <w:r>
        <w:rPr>
          <w:rStyle w:val="Code"/>
        </w:rPr>
        <w:t>&lt;lem&gt;</w:t>
      </w:r>
      <w:r>
        <w:t xml:space="preserve"> and/or </w:t>
      </w:r>
      <w:r>
        <w:rPr>
          <w:rStyle w:val="Code"/>
        </w:rPr>
        <w:t>&lt;rdg&gt;</w:t>
      </w:r>
      <w:r>
        <w:t xml:space="preserve"> insufficient for recording certain details about your base reading or a cited alternative, add a </w:t>
      </w:r>
      <w:r>
        <w:rPr>
          <w:rStyle w:val="Code"/>
        </w:rPr>
        <w:t>&lt;note&gt;</w:t>
      </w:r>
      <w:r>
        <w:t xml:space="preserve"> element as the last child element of the relevant </w:t>
      </w:r>
      <w:r>
        <w:rPr>
          <w:rStyle w:val="Code"/>
        </w:rPr>
        <w:t>&lt;app&gt;</w:t>
      </w:r>
      <w:r>
        <w:t xml:space="preserve"> entry</w:t>
      </w:r>
    </w:p>
    <w:p w14:paraId="27D0A464" w14:textId="77777777">
      <w:pPr>
        <w:pStyle w:val="Lista2"/>
      </w:pPr>
      <w:r>
        <w:t>see §</w:t>
      </w:r>
      <w:r>
        <w:fldChar w:fldCharType="begin"/>
      </w:r>
      <w:r>
        <w:instrText xml:space="preserve"> REF _Ref43989684 \w \h  \* MERGEFORMAT </w:instrText>
      </w:r>
      <w:r>
        <w:fldChar w:fldCharType="separate"/>
      </w:r>
      <w:r>
        <w:t>14.5</w:t>
      </w:r>
      <w:r>
        <w:fldChar w:fldCharType="end"/>
      </w:r>
      <w:r>
        <w:t xml:space="preserve"> for general guidance on notes</w:t>
      </w:r>
    </w:p>
    <w:p w14:paraId="0A3F5D35" w14:textId="77777777">
      <w:pPr>
        <w:pStyle w:val="Lista"/>
      </w:pPr>
      <w:r>
        <w:t>editorial notes concerning a segment of text that cannot be conveniently identified by a line number and lemma should be placed in the commentary, not the apparatus</w:t>
      </w:r>
    </w:p>
    <w:p w14:paraId="3BE77BAB" w14:textId="77777777">
      <w:pPr>
        <w:pStyle w:val="Lista"/>
      </w:pPr>
      <w:r>
        <w:t>if you feel the need to create more than one note to a single apparatus entry, you may do so, but</w:t>
      </w:r>
    </w:p>
    <w:p w14:paraId="3A80188D" w14:textId="77777777">
      <w:pPr>
        <w:pStyle w:val="Lista2"/>
      </w:pPr>
      <w:r>
        <w:t>all notes must be at the end of the apparatus entry</w:t>
      </w:r>
    </w:p>
    <w:p w14:paraId="5F3AB35C" w14:textId="77777777">
      <w:pPr>
        <w:pStyle w:val="Lista2"/>
      </w:pPr>
      <w:r>
        <w:t>a note cannot be nested within another note</w:t>
      </w:r>
    </w:p>
    <w:p w14:paraId="69FFBDF7" w14:textId="77777777">
      <w:pPr>
        <w:pStyle w:val="Cmsor1"/>
      </w:pPr>
      <w:bookmarkStart w:id="824" w:name="_1vsssow7ypzu" w:colFirst="0" w:colLast="0"/>
      <w:bookmarkStart w:id="825" w:name="_pn0gltowrfhw" w:colFirst="0" w:colLast="0"/>
      <w:bookmarkStart w:id="826" w:name="_95bkq7g4grjl" w:colFirst="0" w:colLast="0"/>
      <w:bookmarkStart w:id="827" w:name="_Ref43978780"/>
      <w:bookmarkStart w:id="828" w:name="_Toc243900395"/>
      <w:bookmarkEnd w:id="824"/>
      <w:bookmarkEnd w:id="825"/>
      <w:bookmarkEnd w:id="826"/>
      <w:r>
        <w:lastRenderedPageBreak/>
        <w:t>The translation</w:t>
      </w:r>
      <w:bookmarkEnd w:id="827"/>
      <w:bookmarkEnd w:id="828"/>
    </w:p>
    <w:p w14:paraId="13279C01" w14:textId="77777777">
      <w:bookmarkStart w:id="829" w:name="_pvxrutfvtymm" w:colFirst="0" w:colLast="0"/>
      <w:bookmarkEnd w:id="829"/>
      <w:r>
        <w:t>Whenever possible, a translation should be included in your XML document along with your edition. Ideally, texts (re-)edited for DHARMA should be accompanied by a fresh translation; however, previously published translations may be optionally encoded in your file as per §</w:t>
      </w:r>
      <w:r>
        <w:fldChar w:fldCharType="begin"/>
      </w:r>
      <w:r>
        <w:instrText xml:space="preserve"> REF _Ref43990725 \r \h </w:instrText>
      </w:r>
      <w:r>
        <w:fldChar w:fldCharType="separate"/>
      </w:r>
      <w:r>
        <w:t>11.5</w:t>
      </w:r>
      <w:r>
        <w:fldChar w:fldCharType="end"/>
      </w:r>
      <w:r>
        <w:t>. Previous translations may be included in addition to a new translation, when such a translation is of particular interest for some reason (e.g. because of its relevance to the history of the scholarly understanding of the text), or used instead of a new translation, when your edition is not a substantive revision of an earlier edition accompanied by a satisfactory published translation.</w:t>
      </w:r>
    </w:p>
    <w:p w14:paraId="71987BB9" w14:textId="77777777">
      <w:pPr>
        <w:pStyle w:val="Normlbehzs"/>
      </w:pPr>
      <w:r>
        <w:t>A new translation created for DHARMA should be a convenient representation of the intent of the original. Translate as literally as seems useful, but as freely as seems appropriate. Your translation must reflect the text as you have edited it, including restorations and emendations. Feel free to ignore the original’s superficial irregularities/oddities of punctuation and spelling and in particular, normalise the spelling of original personal names, toponyms and terms.</w:t>
      </w:r>
    </w:p>
    <w:p w14:paraId="01CF4C3E" w14:textId="77777777">
      <w:pPr>
        <w:pStyle w:val="Cmsor2"/>
      </w:pPr>
      <w:bookmarkStart w:id="830" w:name="_Ref233722818"/>
      <w:bookmarkStart w:id="831" w:name="_Toc243900396"/>
      <w:r>
        <w:t>Encoding the translation</w:t>
      </w:r>
      <w:bookmarkEnd w:id="830"/>
      <w:bookmarkEnd w:id="831"/>
    </w:p>
    <w:p w14:paraId="08AC8686" w14:textId="77777777">
      <w:pPr>
        <w:pStyle w:val="Lista"/>
      </w:pPr>
      <w:r>
        <w:t xml:space="preserve">the translation must be wrapped in </w:t>
      </w:r>
      <w:r>
        <w:rPr>
          <w:rStyle w:val="Code"/>
        </w:rPr>
        <w:t xml:space="preserve">&lt;div </w:t>
      </w:r>
      <w:r>
        <w:rPr>
          <w:rStyle w:val="Codeattribute"/>
        </w:rPr>
        <w:t>type</w:t>
      </w:r>
      <w:r>
        <w:rPr>
          <w:rStyle w:val="Code"/>
        </w:rPr>
        <w:t>=</w:t>
      </w:r>
      <w:r>
        <w:rPr>
          <w:rStyle w:val="Codevalue"/>
        </w:rPr>
        <w:t>"translation"</w:t>
      </w:r>
      <w:r>
        <w:rPr>
          <w:rStyle w:val="Code"/>
        </w:rPr>
        <w:t>&gt;</w:t>
      </w:r>
      <w:r>
        <w:t>, with the following attributes</w:t>
      </w:r>
    </w:p>
    <w:p w14:paraId="5DB1654C" w14:textId="77777777">
      <w:pPr>
        <w:pStyle w:val="Lista2"/>
      </w:pPr>
      <w:r>
        <w:t xml:space="preserve">as applicable, </w:t>
      </w:r>
      <w:r>
        <w:rPr>
          <w:rStyle w:val="Codeattribute"/>
        </w:rPr>
        <w:t>@xml:lang</w:t>
      </w:r>
      <w:r>
        <w:t xml:space="preserve"> (as per §</w:t>
      </w:r>
      <w:r>
        <w:fldChar w:fldCharType="begin"/>
      </w:r>
      <w:r>
        <w:instrText xml:space="preserve"> REF _Ref233727317 \r \h </w:instrText>
      </w:r>
      <w:r>
        <w:fldChar w:fldCharType="separate"/>
      </w:r>
      <w:r>
        <w:t>14.4.1</w:t>
      </w:r>
      <w:r>
        <w:fldChar w:fldCharType="end"/>
      </w:r>
      <w:r>
        <w:t>) to encode the target language of translations into a language other than English</w:t>
      </w:r>
    </w:p>
    <w:p w14:paraId="7988024B" w14:textId="77777777">
      <w:pPr>
        <w:pStyle w:val="Lista3"/>
      </w:pPr>
      <w:r>
        <w:t xml:space="preserve">translations into English do not need and should not carry this attribute, since they by default inherit the English language from the </w:t>
      </w:r>
      <w:r>
        <w:rPr>
          <w:rStyle w:val="Codevalue"/>
        </w:rPr>
        <w:t>&lt;TEI&gt;</w:t>
      </w:r>
      <w:r>
        <w:t xml:space="preserve"> root element</w:t>
      </w:r>
    </w:p>
    <w:p w14:paraId="71CCE52A" w14:textId="77777777">
      <w:pPr>
        <w:pStyle w:val="Lista2"/>
      </w:pPr>
      <w:r>
        <w:t xml:space="preserve">mandatorily, either </w:t>
      </w:r>
      <w:r>
        <w:rPr>
          <w:rStyle w:val="Codeattribute"/>
        </w:rPr>
        <w:t>@source</w:t>
      </w:r>
      <w:r>
        <w:t xml:space="preserve"> </w:t>
      </w:r>
      <w:r>
        <w:rPr>
          <w:noProof/>
        </w:rPr>
        <w:t xml:space="preserve">or </w:t>
      </w:r>
      <w:r>
        <w:rPr>
          <w:rStyle w:val="Codeattribute"/>
        </w:rPr>
        <w:t>@resp</w:t>
      </w:r>
      <w:r>
        <w:t xml:space="preserve"> to encode the author of the translation as per §</w:t>
      </w:r>
      <w:r>
        <w:fldChar w:fldCharType="begin"/>
      </w:r>
      <w:r>
        <w:instrText xml:space="preserve"> REF _Ref233276652 \r \h </w:instrText>
      </w:r>
      <w:r>
        <w:fldChar w:fldCharType="separate"/>
      </w:r>
      <w:r>
        <w:t>11.1.2</w:t>
      </w:r>
      <w:r>
        <w:fldChar w:fldCharType="end"/>
      </w:r>
    </w:p>
    <w:p w14:paraId="5C806814" w14:textId="77777777">
      <w:pPr>
        <w:pStyle w:val="Lista"/>
      </w:pPr>
      <w:r>
        <w:t>this division follows the edition division and the apparatus division and is already present in our template for editions</w:t>
      </w:r>
    </w:p>
    <w:p w14:paraId="4525AFCA" w14:textId="77777777">
      <w:pPr>
        <w:pStyle w:val="Lista2"/>
      </w:pPr>
      <w:r>
        <w:t>if your edition division includes boxlike partitions (§</w:t>
      </w:r>
      <w:r>
        <w:fldChar w:fldCharType="begin"/>
      </w:r>
      <w:r>
        <w:instrText xml:space="preserve"> REF _Ref225778181 \r \h </w:instrText>
      </w:r>
      <w:r>
        <w:fldChar w:fldCharType="separate"/>
      </w:r>
      <w:r>
        <w:t>4.2</w:t>
      </w:r>
      <w:r>
        <w:fldChar w:fldCharType="end"/>
      </w:r>
      <w:r>
        <w:t xml:space="preserve">), then all corresponding textpart divisions must be replicated within the </w:t>
      </w:r>
      <w:r>
        <w:rPr>
          <w:rStyle w:val="Code"/>
        </w:rPr>
        <w:t xml:space="preserve">&lt;div </w:t>
      </w:r>
      <w:r>
        <w:rPr>
          <w:rStyle w:val="Codeattribute"/>
        </w:rPr>
        <w:t>type</w:t>
      </w:r>
      <w:r>
        <w:rPr>
          <w:rStyle w:val="Code"/>
        </w:rPr>
        <w:t>=</w:t>
      </w:r>
      <w:r>
        <w:rPr>
          <w:rStyle w:val="Codevalue"/>
        </w:rPr>
        <w:t>"translation"</w:t>
      </w:r>
      <w:r>
        <w:rPr>
          <w:rStyle w:val="Code"/>
        </w:rPr>
        <w:t>&gt;</w:t>
      </w:r>
      <w:r>
        <w:t xml:space="preserve"> as described in §</w:t>
      </w:r>
      <w:r>
        <w:fldChar w:fldCharType="begin"/>
      </w:r>
      <w:r>
        <w:instrText xml:space="preserve"> REF _Ref233277694 \r \h </w:instrText>
      </w:r>
      <w:r>
        <w:fldChar w:fldCharType="separate"/>
      </w:r>
      <w:r>
        <w:t>11.1.1</w:t>
      </w:r>
      <w:r>
        <w:fldChar w:fldCharType="end"/>
      </w:r>
    </w:p>
    <w:p w14:paraId="51D5C122" w14:textId="77777777">
      <w:pPr>
        <w:pStyle w:val="Lista2"/>
      </w:pPr>
      <w:r>
        <w:t>unlike the other content divisions in our files, the translation division may be iterated several times (one after the other) to accommodate multiple translations as per §</w:t>
      </w:r>
      <w:r>
        <w:fldChar w:fldCharType="begin"/>
      </w:r>
      <w:r>
        <w:instrText xml:space="preserve"> REF _Ref233297230 \r \h </w:instrText>
      </w:r>
      <w:r>
        <w:fldChar w:fldCharType="separate"/>
      </w:r>
      <w:r>
        <w:t>11.1.3</w:t>
      </w:r>
      <w:r>
        <w:fldChar w:fldCharType="end"/>
      </w:r>
    </w:p>
    <w:p w14:paraId="105F0CA5" w14:textId="77777777">
      <w:pPr>
        <w:pStyle w:val="Lista"/>
      </w:pPr>
      <w:r>
        <w:t xml:space="preserve">the translation division (or its textpart divisions when applicable) normally contains one or more </w:t>
      </w:r>
      <w:r>
        <w:rPr>
          <w:rStyle w:val="Code"/>
        </w:rPr>
        <w:t>&lt;p&gt;</w:t>
      </w:r>
      <w:r>
        <w:t xml:space="preserve"> elements, which in turn contain the text of the translation</w:t>
      </w:r>
    </w:p>
    <w:p w14:paraId="2974E0DF" w14:textId="77777777">
      <w:pPr>
        <w:pStyle w:val="Lista2"/>
      </w:pPr>
      <w:r>
        <w:t>see §</w:t>
      </w:r>
      <w:r>
        <w:fldChar w:fldCharType="begin"/>
      </w:r>
      <w:r>
        <w:instrText xml:space="preserve"> REF _Ref233278822 \r \h </w:instrText>
      </w:r>
      <w:r>
        <w:fldChar w:fldCharType="separate"/>
      </w:r>
      <w:r>
        <w:t>11.1.3</w:t>
      </w:r>
      <w:r>
        <w:fldChar w:fldCharType="end"/>
      </w:r>
      <w:r>
        <w:t xml:space="preserve"> for further instructions on structuring the content</w:t>
      </w:r>
    </w:p>
    <w:p w14:paraId="03E39711" w14:textId="77777777">
      <w:pPr>
        <w:pStyle w:val="Cmsor3"/>
      </w:pPr>
      <w:bookmarkStart w:id="832" w:name="_Ref233277694"/>
      <w:bookmarkStart w:id="833" w:name="_Toc243900397"/>
      <w:r>
        <w:t>Textpart divisions in the translation</w:t>
      </w:r>
      <w:bookmarkEnd w:id="832"/>
      <w:bookmarkEnd w:id="833"/>
    </w:p>
    <w:p w14:paraId="4D2728AA" w14:textId="77777777">
      <w:pPr>
        <w:pStyle w:val="Lista"/>
      </w:pPr>
      <w:r>
        <w:t xml:space="preserve">if your edition includes boxlike partitions </w:t>
      </w:r>
      <w:r>
        <w:rPr>
          <w:noProof/>
        </w:rPr>
        <w:t>(</w:t>
      </w:r>
      <w:r>
        <w:t>§</w:t>
      </w:r>
      <w:r>
        <w:fldChar w:fldCharType="begin"/>
      </w:r>
      <w:r>
        <w:instrText xml:space="preserve"> REF _Ref225778181 \r \h </w:instrText>
      </w:r>
      <w:r>
        <w:fldChar w:fldCharType="separate"/>
      </w:r>
      <w:r>
        <w:t>4.2</w:t>
      </w:r>
      <w:r>
        <w:fldChar w:fldCharType="end"/>
      </w:r>
      <w:r>
        <w:t>), then all corresponding textpart divisions must be replicated within the translation</w:t>
      </w:r>
    </w:p>
    <w:p w14:paraId="724FD227" w14:textId="77777777">
      <w:pPr>
        <w:pStyle w:val="Lista"/>
      </w:pPr>
      <w:r>
        <w:t xml:space="preserve">inside </w:t>
      </w:r>
      <w:r>
        <w:rPr>
          <w:rStyle w:val="Code"/>
        </w:rPr>
        <w:t xml:space="preserve">&lt;div </w:t>
      </w:r>
      <w:r>
        <w:rPr>
          <w:rStyle w:val="Codeattribute"/>
        </w:rPr>
        <w:t>type</w:t>
      </w:r>
      <w:r>
        <w:rPr>
          <w:rStyle w:val="Code"/>
        </w:rPr>
        <w:t>=</w:t>
      </w:r>
      <w:r>
        <w:rPr>
          <w:rStyle w:val="Codevalue"/>
        </w:rPr>
        <w:t>"translation"</w:t>
      </w:r>
      <w:r>
        <w:rPr>
          <w:rStyle w:val="Code"/>
        </w:rPr>
        <w:t>&gt;</w:t>
      </w:r>
      <w:r>
        <w:t xml:space="preserve">, create as many </w:t>
      </w:r>
      <w:r>
        <w:rPr>
          <w:rStyle w:val="Code"/>
        </w:rPr>
        <w:t xml:space="preserve">&lt;div </w:t>
      </w:r>
      <w:r>
        <w:rPr>
          <w:rStyle w:val="Codeattribute"/>
        </w:rPr>
        <w:t>type</w:t>
      </w:r>
      <w:r>
        <w:rPr>
          <w:rStyle w:val="Code"/>
        </w:rPr>
        <w:t>=</w:t>
      </w:r>
      <w:r>
        <w:rPr>
          <w:rStyle w:val="Codevalue"/>
        </w:rPr>
        <w:t>"textpart"</w:t>
      </w:r>
      <w:r>
        <w:rPr>
          <w:rStyle w:val="Code"/>
        </w:rPr>
        <w:t>&gt;</w:t>
      </w:r>
      <w:r>
        <w:t xml:space="preserve"> elements as there are in the </w:t>
      </w:r>
      <w:r>
        <w:rPr>
          <w:rStyle w:val="Code"/>
        </w:rPr>
        <w:t xml:space="preserve">&lt;div </w:t>
      </w:r>
      <w:r>
        <w:rPr>
          <w:rStyle w:val="Codeattribute"/>
        </w:rPr>
        <w:t>type</w:t>
      </w:r>
      <w:r>
        <w:rPr>
          <w:rStyle w:val="Code"/>
        </w:rPr>
        <w:t>=</w:t>
      </w:r>
      <w:r>
        <w:rPr>
          <w:rStyle w:val="Codevalue"/>
        </w:rPr>
        <w:t>"edition"</w:t>
      </w:r>
      <w:r>
        <w:rPr>
          <w:rStyle w:val="Code"/>
        </w:rPr>
        <w:t>&gt;</w:t>
      </w:r>
    </w:p>
    <w:p w14:paraId="7B3E1E8C" w14:textId="77777777">
      <w:pPr>
        <w:pStyle w:val="Lista2"/>
      </w:pPr>
      <w:r>
        <w:t xml:space="preserve">in the start-tag of these replicated divisions, include the same attributes </w:t>
      </w:r>
      <w:r>
        <w:rPr>
          <w:noProof/>
        </w:rPr>
        <w:t>(</w:t>
      </w:r>
      <w:r>
        <w:rPr>
          <w:rStyle w:val="Codeattribute"/>
        </w:rPr>
        <w:t>@subtype</w:t>
      </w:r>
      <w:r>
        <w:t xml:space="preserve"> and </w:t>
      </w:r>
      <w:r>
        <w:rPr>
          <w:rStyle w:val="Codeattribute"/>
        </w:rPr>
        <w:t>@n</w:t>
      </w:r>
      <w:r>
        <w:t xml:space="preserve"> as applicable) with the same value that they have in the edition division</w:t>
      </w:r>
    </w:p>
    <w:p w14:paraId="1926CEC8" w14:textId="77777777">
      <w:pPr>
        <w:pStyle w:val="Lista2"/>
      </w:pPr>
      <w:r>
        <w:t xml:space="preserve">if your edition’s textpart divisions have </w:t>
      </w:r>
      <w:r>
        <w:rPr>
          <w:rStyle w:val="Code"/>
        </w:rPr>
        <w:t>&lt;head&gt;</w:t>
      </w:r>
      <w:r>
        <w:t xml:space="preserve"> elements, likewise replicate these in the translation, immediately after the start-tag of each textpart division</w:t>
      </w:r>
    </w:p>
    <w:p w14:paraId="00D7941E" w14:textId="77777777">
      <w:pPr>
        <w:pStyle w:val="Lista3"/>
      </w:pPr>
      <w:r>
        <w:t xml:space="preserve">the </w:t>
      </w:r>
      <w:r>
        <w:rPr>
          <w:rStyle w:val="Codeattribute"/>
        </w:rPr>
        <w:t>@xml:lang</w:t>
      </w:r>
      <w:r>
        <w:t xml:space="preserve"> attribute of the </w:t>
      </w:r>
      <w:r>
        <w:rPr>
          <w:rStyle w:val="Code"/>
        </w:rPr>
        <w:t>&lt;head&gt;</w:t>
      </w:r>
      <w:r>
        <w:t xml:space="preserve"> element is not necessary within a translation into English (because division’s children inherit the English language from the translation division), but copy-pasting the head and retaining the attribute does no harm</w:t>
      </w:r>
    </w:p>
    <w:p w14:paraId="695A04FC" w14:textId="77777777">
      <w:pPr>
        <w:pStyle w:val="Lista3"/>
      </w:pPr>
      <w:r>
        <w:t xml:space="preserve">for translations into another language, either add </w:t>
      </w:r>
      <w:r>
        <w:rPr>
          <w:rStyle w:val="Codeattribute"/>
        </w:rPr>
        <w:t>@xml:lang</w:t>
      </w:r>
      <w:r>
        <w:rPr>
          <w:rStyle w:val="Code"/>
        </w:rPr>
        <w:t>=</w:t>
      </w:r>
      <w:r>
        <w:rPr>
          <w:rStyle w:val="Codevalue"/>
        </w:rPr>
        <w:t>"eng"</w:t>
      </w:r>
      <w:r>
        <w:t xml:space="preserve"> to the </w:t>
      </w:r>
      <w:r>
        <w:rPr>
          <w:rStyle w:val="Code"/>
        </w:rPr>
        <w:t>&lt;head&gt;</w:t>
      </w:r>
      <w:r>
        <w:t xml:space="preserve"> elements or translate their contents to the target language</w:t>
      </w:r>
    </w:p>
    <w:p w14:paraId="3D7E1954" w14:textId="77777777">
      <w:pPr>
        <w:pStyle w:val="Lista"/>
      </w:pPr>
      <w:r>
        <w:t xml:space="preserve">if one or more textparts of the source are not translated, then the textpart division </w:t>
      </w:r>
      <w:r>
        <w:rPr>
          <w:noProof/>
        </w:rPr>
        <w:t>(</w:t>
      </w:r>
      <w:r>
        <w:t xml:space="preserve">with attributes) must still be created for these in the translation division, but such textparts shall not contain anything </w:t>
      </w:r>
      <w:r>
        <w:rPr>
          <w:noProof/>
        </w:rPr>
        <w:t>(</w:t>
      </w:r>
      <w:r>
        <w:t xml:space="preserve">except, if applicable, </w:t>
      </w:r>
      <w:r>
        <w:rPr>
          <w:rStyle w:val="Code"/>
        </w:rPr>
        <w:t>&lt;head&gt;</w:t>
      </w:r>
      <w:r>
        <w:t xml:space="preserve">) </w:t>
      </w:r>
    </w:p>
    <w:p w14:paraId="299E9265" w14:textId="77777777">
      <w:pPr>
        <w:pStyle w:val="Cmsor3"/>
      </w:pPr>
      <w:bookmarkStart w:id="834" w:name="_Ref233276652"/>
      <w:bookmarkStart w:id="835" w:name="_Toc243900398"/>
      <w:r>
        <w:lastRenderedPageBreak/>
        <w:t>Crediting the author of the translation</w:t>
      </w:r>
      <w:bookmarkEnd w:id="834"/>
      <w:bookmarkEnd w:id="835"/>
    </w:p>
    <w:p w14:paraId="4362EF3A" w14:textId="77777777">
      <w:pPr>
        <w:pStyle w:val="Lista"/>
        <w:rPr>
          <w:lang w:eastAsia="en-US" w:bidi="ar-SA"/>
        </w:rPr>
      </w:pPr>
      <w:r>
        <w:rPr>
          <w:lang w:eastAsia="en-US" w:bidi="ar-SA"/>
        </w:rPr>
        <w:t>the author of the translation must be indicated in the encoding using one of the following methods</w:t>
      </w:r>
    </w:p>
    <w:p w14:paraId="4580694C" w14:textId="77777777">
      <w:pPr>
        <w:pStyle w:val="Lista2"/>
      </w:pP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the translation division, if the translation was at least in part made by you and/or another project member</w:t>
      </w:r>
    </w:p>
    <w:p w14:paraId="6A5471A8" w14:textId="77777777">
      <w:pPr>
        <w:pStyle w:val="Lista2"/>
      </w:pPr>
      <w:r>
        <w:rPr>
          <w:rStyle w:val="Codeattribute"/>
        </w:rPr>
        <w:t>@source</w:t>
      </w:r>
      <w:r>
        <w:t xml:space="preserve"> </w:t>
      </w:r>
      <w:r>
        <w:rPr>
          <w:noProof/>
        </w:rPr>
        <w:t>(</w:t>
      </w:r>
      <w:r>
        <w:t>§</w:t>
      </w:r>
      <w:r>
        <w:fldChar w:fldCharType="begin"/>
      </w:r>
      <w:r>
        <w:instrText xml:space="preserve"> REF _Ref43989551 \w \h  \* MERGEFORMAT </w:instrText>
      </w:r>
      <w:r>
        <w:fldChar w:fldCharType="separate"/>
      </w:r>
      <w:r>
        <w:t>14.6.2</w:t>
      </w:r>
      <w:r>
        <w:fldChar w:fldCharType="end"/>
      </w:r>
      <w:r>
        <w:t>) on the translation division, if a published translation is adopted verbatim as per §</w:t>
      </w:r>
      <w:r>
        <w:fldChar w:fldCharType="begin"/>
      </w:r>
      <w:r>
        <w:instrText xml:space="preserve"> REF _Ref43990725 \r \h </w:instrText>
      </w:r>
      <w:r>
        <w:fldChar w:fldCharType="separate"/>
      </w:r>
      <w:r>
        <w:t>11.5</w:t>
      </w:r>
      <w:r>
        <w:fldChar w:fldCharType="end"/>
      </w:r>
    </w:p>
    <w:p w14:paraId="44992D32" w14:textId="77777777">
      <w:pPr>
        <w:pStyle w:val="Cmsor4"/>
      </w:pPr>
      <w:bookmarkStart w:id="836" w:name="_Ref242888161"/>
      <w:r>
        <w:t>Credit notes</w:t>
      </w:r>
      <w:bookmarkEnd w:id="836"/>
    </w:p>
    <w:p w14:paraId="4367B7F9" w14:textId="77777777">
      <w:r>
        <w:t xml:space="preserve">When you feel that credit for a translation cannot be allocated correctly or fairly by using </w:t>
      </w:r>
      <w:r>
        <w:rPr>
          <w:rStyle w:val="Codeattribute"/>
        </w:rPr>
        <w:t>@source</w:t>
      </w:r>
      <w:r>
        <w:t xml:space="preserve"> and </w:t>
      </w:r>
      <w:r>
        <w:rPr>
          <w:rStyle w:val="Codeattribute"/>
        </w:rPr>
        <w:t>@resp</w:t>
      </w:r>
      <w:r>
        <w:t xml:space="preserve"> as above, you may clarify the situation by adding a credit note at the beginning of a translation.</w:t>
      </w:r>
    </w:p>
    <w:p w14:paraId="7D099901" w14:textId="77777777">
      <w:pPr>
        <w:pStyle w:val="Lista"/>
      </w:pPr>
      <w:r>
        <w:t xml:space="preserve">create the element </w:t>
      </w:r>
      <w:r>
        <w:rPr>
          <w:rStyle w:val="Code"/>
        </w:rPr>
        <w:t xml:space="preserve">&lt;note </w:t>
      </w:r>
      <w:r>
        <w:rPr>
          <w:rStyle w:val="Codeattribute"/>
        </w:rPr>
        <w:t>type</w:t>
      </w:r>
      <w:r>
        <w:rPr>
          <w:rStyle w:val="Codetext"/>
        </w:rPr>
        <w:t>=</w:t>
      </w:r>
      <w:r>
        <w:rPr>
          <w:rStyle w:val="Codevalue"/>
        </w:rPr>
        <w:t>"credit"</w:t>
      </w:r>
      <w:r>
        <w:rPr>
          <w:rStyle w:val="Code"/>
        </w:rPr>
        <w:t>&gt;</w:t>
      </w:r>
      <w:r>
        <w:t xml:space="preserve"> as the first item within </w:t>
      </w:r>
      <w:r>
        <w:rPr>
          <w:rStyle w:val="Code"/>
        </w:rPr>
        <w:t xml:space="preserve">&lt;div </w:t>
      </w:r>
      <w:r>
        <w:rPr>
          <w:rStyle w:val="Codeattribute"/>
        </w:rPr>
        <w:t>type</w:t>
      </w:r>
      <w:r>
        <w:rPr>
          <w:rStyle w:val="Codetext"/>
        </w:rPr>
        <w:t>=</w:t>
      </w:r>
      <w:r>
        <w:rPr>
          <w:rStyle w:val="Codevalue"/>
        </w:rPr>
        <w:t>"translation"</w:t>
      </w:r>
      <w:r>
        <w:rPr>
          <w:rStyle w:val="Code"/>
        </w:rPr>
        <w:t>&gt;</w:t>
      </w:r>
      <w:r>
        <w:t>, before any textpart divisions, if such are present</w:t>
      </w:r>
    </w:p>
    <w:p w14:paraId="743FBB7D" w14:textId="77777777">
      <w:pPr>
        <w:pStyle w:val="Lista2"/>
      </w:pPr>
      <w:r>
        <w:t xml:space="preserve">or as the second item, immediately after the custom </w:t>
      </w:r>
      <w:r>
        <w:rPr>
          <w:rStyle w:val="Code"/>
        </w:rPr>
        <w:t>&lt;head&gt;</w:t>
      </w:r>
      <w:r>
        <w:t xml:space="preserve"> if one is used as per §</w:t>
      </w:r>
      <w:r>
        <w:fldChar w:fldCharType="begin"/>
      </w:r>
      <w:r>
        <w:instrText xml:space="preserve"> REF _Ref43989787 \r \h </w:instrText>
      </w:r>
      <w:r>
        <w:fldChar w:fldCharType="separate"/>
      </w:r>
      <w:r>
        <w:t>11.2.3</w:t>
      </w:r>
      <w:r>
        <w:fldChar w:fldCharType="end"/>
      </w:r>
      <w:r>
        <w:t xml:space="preserve"> </w:t>
      </w:r>
    </w:p>
    <w:p w14:paraId="4C089BA0" w14:textId="77777777">
      <w:pPr>
        <w:pStyle w:val="Lista"/>
      </w:pPr>
      <w:r>
        <w:t xml:space="preserve">this </w:t>
      </w:r>
      <w:r>
        <w:rPr>
          <w:rStyle w:val="Codeattribute"/>
        </w:rPr>
        <w:t>@type</w:t>
      </w:r>
      <w:r>
        <w:t xml:space="preserve"> of </w:t>
      </w:r>
      <w:r>
        <w:rPr>
          <w:rStyle w:val="Code"/>
        </w:rPr>
        <w:t>&lt;note&gt;</w:t>
      </w:r>
      <w:r>
        <w:t xml:space="preserve"> will only be used in the translation division, for this particular purpose</w:t>
      </w:r>
    </w:p>
    <w:p w14:paraId="014734A7" w14:textId="77777777">
      <w:pPr>
        <w:pStyle w:val="Lista"/>
      </w:pPr>
      <w:r>
        <w:t>the contents of a credit note shall be free text consisting of one or more complete sentences (with a capital initial and final punctuation), clarifying the authorship of the translation in situations such as</w:t>
      </w:r>
    </w:p>
    <w:p w14:paraId="23BB90E2" w14:textId="77777777">
      <w:pPr>
        <w:pStyle w:val="Lista2"/>
      </w:pPr>
      <w:r>
        <w:t>collaborative translation involving people outside DHARMA</w:t>
      </w:r>
    </w:p>
    <w:p w14:paraId="6DB1FA01" w14:textId="77777777">
      <w:pPr>
        <w:pStyle w:val="Lista2"/>
      </w:pPr>
      <w:r>
        <w:t>the partial revision of a previously published translation by you or other DHARMA members</w:t>
      </w:r>
    </w:p>
    <w:p w14:paraId="5FD0DDC7" w14:textId="77777777">
      <w:pPr>
        <w:pStyle w:val="Lista3"/>
      </w:pPr>
      <w:r>
        <w:t>the revised previous translation should in this case be properly cited (§</w:t>
      </w:r>
      <w:r>
        <w:fldChar w:fldCharType="begin"/>
      </w:r>
      <w:r>
        <w:instrText xml:space="preserve"> REF _Ref233877601 \r \h </w:instrText>
      </w:r>
      <w:r>
        <w:fldChar w:fldCharType="separate"/>
      </w:r>
      <w:r>
        <w:t>14.6.1</w:t>
      </w:r>
      <w:r>
        <w:fldChar w:fldCharType="end"/>
      </w:r>
      <w:r>
        <w:t>) in the credit note</w:t>
      </w:r>
    </w:p>
    <w:p w14:paraId="6AD9029E" w14:textId="77777777">
      <w:pPr>
        <w:pStyle w:val="Lista3"/>
      </w:pPr>
      <w:r>
        <w:t>note that if you create a new translation that does not differ in any essential contents from an earlier translation, this is still to be considered as your own new translation (and not a revision of the previous one), unless the majority of your translation is in fact verbatim identical to the previous translation</w:t>
      </w:r>
    </w:p>
    <w:p w14:paraId="224653BF" w14:textId="77777777">
      <w:pPr>
        <w:pStyle w:val="Lista2"/>
      </w:pPr>
      <w:r>
        <w:t>the use of an unpublished translation by a person outside DHARMA</w:t>
      </w:r>
    </w:p>
    <w:p w14:paraId="7F079309" w14:textId="77777777">
      <w:pPr>
        <w:pStyle w:val="Lista"/>
      </w:pPr>
      <w:r>
        <w:t xml:space="preserve">when a credit note is present, the translation division shall normally be credited to you, the editor, using </w:t>
      </w:r>
      <w:r>
        <w:rPr>
          <w:rStyle w:val="Codeattribute"/>
        </w:rPr>
        <w:t>@resp</w:t>
      </w:r>
      <w:r>
        <w:t xml:space="preserve">, but depending on the situation, you may instead choose to use </w:t>
      </w:r>
      <w:r>
        <w:rPr>
          <w:rStyle w:val="Codeattribute"/>
        </w:rPr>
        <w:t>@source</w:t>
      </w:r>
      <w:r>
        <w:t xml:space="preserve"> on the translation division, or to use neither of these attributes</w:t>
      </w:r>
    </w:p>
    <w:p w14:paraId="60A0B980" w14:textId="77777777">
      <w:pPr>
        <w:pStyle w:val="Cmsor3"/>
      </w:pPr>
      <w:bookmarkStart w:id="837" w:name="_l9hrq46lm8f5" w:colFirst="0" w:colLast="0"/>
      <w:bookmarkStart w:id="838" w:name="_jki9tbn1nzqo" w:colFirst="0" w:colLast="0"/>
      <w:bookmarkStart w:id="839" w:name="_ikyv2ushnpo2" w:colFirst="0" w:colLast="0"/>
      <w:bookmarkStart w:id="840" w:name="_8oa8esure61" w:colFirst="0" w:colLast="0"/>
      <w:bookmarkStart w:id="841" w:name="_Ref233297230"/>
      <w:bookmarkStart w:id="842" w:name="_Toc243900399"/>
      <w:bookmarkStart w:id="843" w:name="_Ref233278822"/>
      <w:bookmarkEnd w:id="837"/>
      <w:bookmarkEnd w:id="838"/>
      <w:bookmarkEnd w:id="839"/>
      <w:bookmarkEnd w:id="840"/>
      <w:r>
        <w:t>Attaching multiple translations</w:t>
      </w:r>
      <w:bookmarkEnd w:id="841"/>
      <w:bookmarkEnd w:id="842"/>
    </w:p>
    <w:p w14:paraId="10F95FCF" w14:textId="77777777">
      <w:pPr>
        <w:pStyle w:val="Lista"/>
      </w:pPr>
      <w:r>
        <w:t xml:space="preserve">if you wish to include more than one translation (e.g. by different persons or to different languages), simply iterate </w:t>
      </w:r>
      <w:r>
        <w:rPr>
          <w:rStyle w:val="Code"/>
        </w:rPr>
        <w:t xml:space="preserve">&lt;div </w:t>
      </w:r>
      <w:r>
        <w:rPr>
          <w:rStyle w:val="Codeattribute"/>
        </w:rPr>
        <w:t>type</w:t>
      </w:r>
      <w:r>
        <w:rPr>
          <w:rStyle w:val="Code"/>
        </w:rPr>
        <w:t>=</w:t>
      </w:r>
      <w:r>
        <w:rPr>
          <w:rStyle w:val="Codevalue"/>
        </w:rPr>
        <w:t>"translation"</w:t>
      </w:r>
      <w:r>
        <w:rPr>
          <w:rStyle w:val="Code"/>
        </w:rPr>
        <w:t>&gt;</w:t>
      </w:r>
      <w:r>
        <w:t xml:space="preserve"> for each of them as in </w:t>
      </w:r>
      <w:r>
        <w:fldChar w:fldCharType="begin"/>
      </w:r>
      <w:r>
        <w:instrText xml:space="preserve"> REF _Ref233297421 \h </w:instrText>
      </w:r>
      <w:r>
        <w:fldChar w:fldCharType="separate"/>
      </w:r>
      <w:r>
        <w:t xml:space="preserve">Exhibit </w:t>
      </w:r>
      <w:r>
        <w:rPr>
          <w:noProof/>
        </w:rPr>
        <w:t>11.1</w:t>
      </w:r>
      <w:r>
        <w:t>.</w:t>
      </w:r>
      <w:r>
        <w:rPr>
          <w:noProof/>
        </w:rPr>
        <w:t>A</w:t>
      </w:r>
      <w:r>
        <w:fldChar w:fldCharType="end"/>
      </w:r>
    </w:p>
    <w:p w14:paraId="49DD48CA" w14:textId="77777777">
      <w:pPr>
        <w:pStyle w:val="Lista"/>
      </w:pPr>
      <w:r>
        <w:t>there is no requirement to include multiple translations just because they are available</w:t>
      </w:r>
    </w:p>
    <w:p w14:paraId="72CC8392" w14:textId="5023B2B8">
      <w:pPr>
        <w:pStyle w:val="Lista"/>
      </w:pPr>
      <w:r>
        <w:t>when you include more than one translation in your XML document, these should be presented in an order of decreasing usefulness, prioritising those which are more recent, more accurate, and in more widely spoken languages</w:t>
      </w:r>
    </w:p>
    <w:tbl>
      <w:tblPr>
        <w:tblStyle w:val="CodeSampleTable"/>
        <w:tblW w:w="5000" w:type="pct"/>
        <w:tblLook w:val="04A0" w:firstRow="1" w:lastRow="0" w:firstColumn="1" w:lastColumn="0" w:noHBand="0" w:noVBand="1"/>
      </w:tblPr>
      <w:tblGrid>
        <w:gridCol w:w="9628"/>
      </w:tblGrid>
      <w:tr w14:paraId="7D07DB9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AE06177" w14:textId="77777777">
            <w:pPr>
              <w:pStyle w:val="Kpalrs"/>
            </w:pPr>
            <w:bookmarkStart w:id="844" w:name="_Ref233297421"/>
            <w:r>
              <w:lastRenderedPageBreak/>
              <w:t xml:space="preserve">Exhibit </w:t>
            </w:r>
            <w:fldSimple w:instr=" STYLEREF 2 \s ">
              <w:r>
                <w:rPr>
                  <w:noProof/>
                </w:rPr>
                <w:t>11.1</w:t>
              </w:r>
            </w:fldSimple>
            <w:r>
              <w:t>.</w:t>
            </w:r>
            <w:fldSimple w:instr=" SEQ Exhibit \* ALPHABETIC \s 2 ">
              <w:r>
                <w:rPr>
                  <w:noProof/>
                </w:rPr>
                <w:t>A</w:t>
              </w:r>
            </w:fldSimple>
            <w:bookmarkEnd w:id="844"/>
            <w:r>
              <w:t>: multiple translations</w:t>
            </w:r>
          </w:p>
        </w:tc>
      </w:tr>
      <w:tr w14:paraId="0D09BB16" w14:textId="77777777">
        <w:tc>
          <w:tcPr>
            <w:tcW w:w="5000" w:type="pct"/>
          </w:tcPr>
          <w:p w14:paraId="317FDCAA" w14:textId="77777777">
            <w:pPr>
              <w:pStyle w:val="CodeParagraph"/>
              <w:keepNext/>
              <w:rPr>
                <w:rStyle w:val="Codetext"/>
              </w:rPr>
            </w:pPr>
            <w:r>
              <w:rPr>
                <w:rStyle w:val="Code"/>
              </w:rPr>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"ocm-Latn"</w:t>
            </w:r>
            <w:r>
              <w:rPr>
                <w:rStyle w:val="Code"/>
              </w:rPr>
              <w:t>&gt;</w:t>
            </w:r>
            <w:r>
              <w:rPr>
                <w:rStyle w:val="Codetext"/>
              </w:rPr>
              <w:br/>
              <w:t xml:space="preserve">  ...</w:t>
            </w:r>
            <w:r>
              <w:rPr>
                <w:rStyle w:val="Codetext"/>
              </w:rPr>
              <w:br/>
              <w:t xml:space="preserve">  </w:t>
            </w:r>
            <w:r>
              <w:rPr>
                <w:rStyle w:val="Code"/>
              </w:rPr>
              <w:t>&lt;ab&gt;</w:t>
            </w:r>
            <w:r>
              <w:rPr>
                <w:rStyle w:val="Codetext"/>
              </w:rPr>
              <w:t>pu vyā</w:t>
            </w:r>
            <w:r>
              <w:rPr>
                <w:rStyle w:val="Code"/>
              </w:rPr>
              <w:t>&lt;/ab&gt;</w:t>
            </w:r>
            <w:r>
              <w:rPr>
                <w:rStyle w:val="Codetext"/>
              </w:rPr>
              <w:br/>
              <w:t xml:space="preserve">  ...</w:t>
            </w:r>
            <w:r>
              <w:rPr>
                <w:rStyle w:val="Codetext"/>
              </w:rPr>
              <w:br/>
            </w:r>
            <w:r>
              <w:rPr>
                <w:rStyle w:val="Code"/>
              </w:rPr>
              <w:t>&lt;/div&gt;</w:t>
            </w:r>
            <w:r>
              <w:rPr>
                <w:rStyle w:val="Codetext"/>
              </w:rPr>
              <w:br/>
              <w:t>...</w:t>
            </w:r>
            <w:r>
              <w:rPr>
                <w:rStyle w:val="Codetext"/>
              </w:rPr>
              <w:br/>
            </w: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t xml:space="preserve">  ...</w:t>
            </w:r>
          </w:p>
          <w:p w14:paraId="11413137" w14:textId="77777777">
            <w:pPr>
              <w:pStyle w:val="CodeParagraph"/>
              <w:keepNext/>
            </w:pPr>
            <w:r>
              <w:rPr>
                <w:rStyle w:val="Codetext"/>
              </w:rPr>
              <w:t xml:space="preserve">  </w:t>
            </w:r>
            <w:r>
              <w:rPr>
                <w:rStyle w:val="Code"/>
              </w:rPr>
              <w:t>&lt;p&gt;</w:t>
            </w:r>
            <w:r>
              <w:rPr>
                <w:rStyle w:val="Codetext"/>
              </w:rPr>
              <w:t>Her majesty the queen</w:t>
            </w:r>
            <w:r>
              <w:rPr>
                <w:rStyle w:val="Code"/>
              </w:rPr>
              <w:t>&lt;/p&gt;</w:t>
            </w:r>
            <w:r>
              <w:rPr>
                <w:rStyle w:val="Codetext"/>
              </w:rPr>
              <w:br/>
              <w:t xml:space="preserve">  ...</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"translation"</w:t>
            </w:r>
            <w:r>
              <w:rPr>
                <w:rStyle w:val="Code"/>
              </w:rPr>
              <w:t xml:space="preserve"> </w:t>
            </w:r>
            <w:r>
              <w:rPr>
                <w:rStyle w:val="Codeattribute"/>
              </w:rPr>
              <w:t>xml:lang</w:t>
            </w:r>
            <w:r>
              <w:rPr>
                <w:rStyle w:val="Code"/>
              </w:rPr>
              <w:t>=</w:t>
            </w:r>
            <w:r>
              <w:rPr>
                <w:rStyle w:val="Codevalue"/>
              </w:rPr>
              <w:t>"fra"</w:t>
            </w:r>
            <w:r>
              <w:rPr>
                <w:rStyle w:val="Code"/>
              </w:rPr>
              <w:t>&gt;</w:t>
            </w:r>
            <w:r>
              <w:rPr>
                <w:rStyle w:val="Codetext"/>
              </w:rPr>
              <w:br/>
              <w:t xml:space="preserve">  ...</w:t>
            </w:r>
            <w:r>
              <w:rPr>
                <w:rStyle w:val="Codetext"/>
              </w:rPr>
              <w:br/>
              <w:t xml:space="preserve">  </w:t>
            </w:r>
            <w:r>
              <w:rPr>
                <w:rStyle w:val="Code"/>
              </w:rPr>
              <w:t>&lt;p&gt;</w:t>
            </w:r>
            <w:r>
              <w:rPr>
                <w:rStyle w:val="Codetext"/>
              </w:rPr>
              <w:t>Sa majesté la reine</w:t>
            </w:r>
            <w:r>
              <w:rPr>
                <w:rStyle w:val="Code"/>
              </w:rPr>
              <w:t>&lt;/p&gt;</w:t>
            </w:r>
            <w:r>
              <w:rPr>
                <w:rStyle w:val="Codetext"/>
              </w:rPr>
              <w:br/>
              <w:t xml:space="preserve">  ...</w:t>
            </w:r>
            <w:r>
              <w:rPr>
                <w:rStyle w:val="Codetext"/>
              </w:rPr>
              <w:br/>
            </w:r>
            <w:r>
              <w:rPr>
                <w:rStyle w:val="Code"/>
              </w:rPr>
              <w:t>&lt;/div&gt;</w:t>
            </w:r>
          </w:p>
        </w:tc>
      </w:tr>
      <w:tr w14:paraId="4401DAA8" w14:textId="77777777">
        <w:tc>
          <w:tcPr>
            <w:tcW w:w="5000" w:type="pct"/>
          </w:tcPr>
          <w:p w14:paraId="495B05FF" w14:textId="77777777">
            <w:pPr>
              <w:pStyle w:val="TableNote"/>
              <w:rPr>
                <w:rStyle w:val="Code"/>
              </w:rPr>
            </w:pPr>
            <w:r>
              <w:t>the framework illustrated here must be completed with attributes indicating the author of each translation as per §</w:t>
            </w:r>
            <w:r>
              <w:fldChar w:fldCharType="begin"/>
            </w:r>
            <w:r>
              <w:instrText xml:space="preserve"> REF _Ref233276652 \r \h </w:instrText>
            </w:r>
            <w:r>
              <w:fldChar w:fldCharType="separate"/>
            </w:r>
            <w:r>
              <w:t>11.1.2</w:t>
            </w:r>
            <w:r>
              <w:fldChar w:fldCharType="end"/>
            </w:r>
          </w:p>
        </w:tc>
      </w:tr>
    </w:tbl>
    <w:p w14:paraId="162E42C4" w14:textId="77777777">
      <w:pPr>
        <w:pStyle w:val="Cmsor2"/>
      </w:pPr>
      <w:bookmarkStart w:id="845" w:name="_Toc243900400"/>
      <w:r>
        <w:t>Structuring the translation</w:t>
      </w:r>
      <w:bookmarkEnd w:id="843"/>
      <w:bookmarkEnd w:id="845"/>
    </w:p>
    <w:p w14:paraId="07C4039E" w14:textId="77777777">
      <w:r>
        <w:t>The overall structure of a translation should, as far as practicable, imitate the intrinsic structure (§</w:t>
      </w:r>
      <w:r>
        <w:fldChar w:fldCharType="begin"/>
      </w:r>
      <w:r>
        <w:instrText xml:space="preserve"> REF _Ref43978632 \r \h </w:instrText>
      </w:r>
      <w:r>
        <w:fldChar w:fldCharType="separate"/>
      </w:r>
      <w:r>
        <w:t>3</w:t>
      </w:r>
      <w:r>
        <w:fldChar w:fldCharType="end"/>
      </w:r>
      <w:r>
        <w:t>) of the original document, as clarified in the following subsections. When the edition contains textpart divisions, these must always be replicated in the translation as per §</w:t>
      </w:r>
      <w:r>
        <w:fldChar w:fldCharType="begin"/>
      </w:r>
      <w:r>
        <w:instrText xml:space="preserve"> REF _Ref233277694 \r \h </w:instrText>
      </w:r>
      <w:r>
        <w:fldChar w:fldCharType="separate"/>
      </w:r>
      <w:r>
        <w:t>11.1.1</w:t>
      </w:r>
      <w:r>
        <w:fldChar w:fldCharType="end"/>
      </w:r>
      <w:r>
        <w:t>.</w:t>
      </w:r>
    </w:p>
    <w:p w14:paraId="05CB7089" w14:textId="77777777">
      <w:pPr>
        <w:pStyle w:val="Cmsor3"/>
      </w:pPr>
      <w:bookmarkStart w:id="846" w:name="_Ref233279561"/>
      <w:bookmarkStart w:id="847" w:name="_Toc243900401"/>
      <w:r>
        <w:t>Reflecting extrinsic structure in the translation</w:t>
      </w:r>
      <w:bookmarkEnd w:id="846"/>
      <w:bookmarkEnd w:id="847"/>
    </w:p>
    <w:p w14:paraId="68A8EAB8" w14:textId="77777777">
      <w:pPr>
        <w:rPr>
          <w:lang w:eastAsia="en-US" w:bidi="ar-SA"/>
        </w:rPr>
      </w:pPr>
      <w:r>
        <w:rPr>
          <w:lang w:eastAsia="en-US" w:bidi="ar-SA"/>
        </w:rPr>
        <w:t>The extrinsic structure (§</w:t>
      </w:r>
      <w:r>
        <w:rPr>
          <w:lang w:eastAsia="en-US" w:bidi="ar-SA"/>
        </w:rPr>
        <w:fldChar w:fldCharType="begin"/>
      </w:r>
      <w:r>
        <w:rPr>
          <w:lang w:eastAsia="en-US" w:bidi="ar-SA"/>
        </w:rPr>
        <w:instrText xml:space="preserve"> REF _Ref225261475 \r \h </w:instrText>
      </w:r>
      <w:r>
        <w:rPr>
          <w:lang w:eastAsia="en-US" w:bidi="ar-SA"/>
        </w:rPr>
      </w:r>
      <w:r>
        <w:rPr>
          <w:lang w:eastAsia="en-US" w:bidi="ar-SA"/>
        </w:rPr>
        <w:fldChar w:fldCharType="separate"/>
      </w:r>
      <w:r>
        <w:rPr>
          <w:lang w:eastAsia="en-US" w:bidi="ar-SA"/>
        </w:rPr>
        <w:t>4</w:t>
      </w:r>
      <w:r>
        <w:rPr>
          <w:lang w:eastAsia="en-US" w:bidi="ar-SA"/>
        </w:rPr>
        <w:fldChar w:fldCharType="end"/>
      </w:r>
      <w:r>
        <w:rPr>
          <w:lang w:eastAsia="en-US" w:bidi="ar-SA"/>
        </w:rPr>
        <w:t xml:space="preserve">) of the original document should generally not be reflected in the translation, except that </w:t>
      </w:r>
      <w:r>
        <w:t>textpart divisions must be replicated as per §</w:t>
      </w:r>
      <w:r>
        <w:fldChar w:fldCharType="begin"/>
      </w:r>
      <w:r>
        <w:instrText xml:space="preserve"> REF _Ref233277694 \r \h </w:instrText>
      </w:r>
      <w:r>
        <w:fldChar w:fldCharType="separate"/>
      </w:r>
      <w:r>
        <w:t>11.1.1</w:t>
      </w:r>
      <w:r>
        <w:fldChar w:fldCharType="end"/>
      </w:r>
      <w:r>
        <w:t xml:space="preserve"> and </w:t>
      </w:r>
      <w:r>
        <w:rPr>
          <w:lang w:eastAsia="en-US" w:bidi="ar-SA"/>
        </w:rPr>
        <w:t>the correspondence of translation passages to source line numbers should generally be encoded as per §</w:t>
      </w:r>
      <w:r>
        <w:rPr>
          <w:lang w:eastAsia="en-US" w:bidi="ar-SA"/>
        </w:rPr>
        <w:fldChar w:fldCharType="begin"/>
      </w:r>
      <w:r>
        <w:rPr>
          <w:lang w:eastAsia="en-US" w:bidi="ar-SA"/>
        </w:rPr>
        <w:instrText xml:space="preserve"> REF _Ref182309743 \r \h </w:instrText>
      </w:r>
      <w:r>
        <w:rPr>
          <w:lang w:eastAsia="en-US" w:bidi="ar-SA"/>
        </w:rPr>
      </w:r>
      <w:r>
        <w:rPr>
          <w:lang w:eastAsia="en-US" w:bidi="ar-SA"/>
        </w:rPr>
        <w:fldChar w:fldCharType="separate"/>
      </w:r>
      <w:r>
        <w:rPr>
          <w:lang w:eastAsia="en-US" w:bidi="ar-SA"/>
        </w:rPr>
        <w:t>11.3</w:t>
      </w:r>
      <w:r>
        <w:rPr>
          <w:lang w:eastAsia="en-US" w:bidi="ar-SA"/>
        </w:rPr>
        <w:fldChar w:fldCharType="end"/>
      </w:r>
      <w:r>
        <w:rPr>
          <w:lang w:eastAsia="en-US" w:bidi="ar-SA"/>
        </w:rPr>
        <w:t>. Should you find it necessary to do so, other transition points in extrinsic structure can be optionally indicated in the translation as follows.</w:t>
      </w:r>
    </w:p>
    <w:p w14:paraId="33418277" w14:textId="77777777">
      <w:pPr>
        <w:pStyle w:val="Lista"/>
      </w:pPr>
      <w:r>
        <w:t xml:space="preserve">pagelike partitions </w:t>
      </w:r>
      <w:r>
        <w:rPr>
          <w:noProof/>
        </w:rPr>
        <w:t>(</w:t>
      </w:r>
      <w:r>
        <w:t>§</w:t>
      </w:r>
      <w:r>
        <w:fldChar w:fldCharType="begin"/>
      </w:r>
      <w:r>
        <w:instrText xml:space="preserve"> REF _Ref233982406 \r \h </w:instrText>
      </w:r>
      <w:r>
        <w:fldChar w:fldCharType="separate"/>
      </w:r>
      <w:r>
        <w:t>4.4</w:t>
      </w:r>
      <w:r>
        <w:fldChar w:fldCharType="end"/>
      </w:r>
      <w:r>
        <w:t>) may be replicated by using the same milestone element with the same attributes as that used in your edition</w:t>
      </w:r>
    </w:p>
    <w:p w14:paraId="7336DF1A" w14:textId="77777777">
      <w:pPr>
        <w:pStyle w:val="Lista2"/>
      </w:pPr>
      <w:r>
        <w:t xml:space="preserve">if </w:t>
      </w:r>
      <w:r>
        <w:rPr>
          <w:rStyle w:val="Code"/>
        </w:rPr>
        <w:t>&lt;label&gt;</w:t>
      </w:r>
      <w:r>
        <w:t xml:space="preserve"> elements are present in the edition, replicate these along with the milestones</w:t>
      </w:r>
    </w:p>
    <w:p w14:paraId="1B19DA6A" w14:textId="77777777">
      <w:pPr>
        <w:pStyle w:val="Lista3"/>
      </w:pPr>
      <w:r>
        <w:t xml:space="preserve">if the label is in the same language as that of the translation as a whole, then the </w:t>
      </w:r>
      <w:r>
        <w:rPr>
          <w:rStyle w:val="Codeattribute"/>
        </w:rPr>
        <w:t>@xml:lang</w:t>
      </w:r>
      <w:r>
        <w:t xml:space="preserve"> attribute of the </w:t>
      </w:r>
      <w:r>
        <w:rPr>
          <w:rStyle w:val="Code"/>
        </w:rPr>
        <w:t>&lt;label&gt;</w:t>
      </w:r>
      <w:r>
        <w:t xml:space="preserve"> element does not need to be present (but does no harm)</w:t>
      </w:r>
    </w:p>
    <w:p w14:paraId="49DCD2A0" w14:textId="77777777">
      <w:pPr>
        <w:pStyle w:val="Lista3"/>
      </w:pPr>
      <w:r>
        <w:t xml:space="preserve">if the translation is into a different language than the label, then either use </w:t>
      </w:r>
      <w:r>
        <w:rPr>
          <w:rStyle w:val="Codeattribute"/>
        </w:rPr>
        <w:t>@xml:lang</w:t>
      </w:r>
      <w:r>
        <w:t xml:space="preserve"> on the label or translate it</w:t>
      </w:r>
    </w:p>
    <w:p w14:paraId="37890DDB" w14:textId="77777777">
      <w:pPr>
        <w:pStyle w:val="Lista"/>
      </w:pPr>
      <w:r>
        <w:t>never replicate the following details of the source’s extrinsic structure:</w:t>
      </w:r>
    </w:p>
    <w:p w14:paraId="1FE55A36" w14:textId="77777777">
      <w:pPr>
        <w:pStyle w:val="Lista2"/>
      </w:pPr>
      <w:r>
        <w:t xml:space="preserve">gridlike partitions </w:t>
      </w:r>
      <w:r>
        <w:rPr>
          <w:noProof/>
        </w:rPr>
        <w:t>(</w:t>
      </w:r>
      <w:r>
        <w:t>§</w:t>
      </w:r>
      <w:r>
        <w:fldChar w:fldCharType="begin"/>
      </w:r>
      <w:r>
        <w:instrText xml:space="preserve"> REF _Ref43984651 \w \h  \* MERGEFORMAT </w:instrText>
      </w:r>
      <w:r>
        <w:fldChar w:fldCharType="separate"/>
      </w:r>
      <w:r>
        <w:t>4.6</w:t>
      </w:r>
      <w:r>
        <w:fldChar w:fldCharType="end"/>
      </w:r>
      <w:r>
        <w:t xml:space="preserve">) </w:t>
      </w:r>
    </w:p>
    <w:p w14:paraId="3CC28051" w14:textId="77777777">
      <w:pPr>
        <w:pStyle w:val="Lista2"/>
      </w:pPr>
      <w:r>
        <w:t>offset opening and closing lines (§</w:t>
      </w:r>
      <w:r>
        <w:fldChar w:fldCharType="begin"/>
      </w:r>
      <w:r>
        <w:instrText xml:space="preserve"> REF _Ref225779703 \r \h </w:instrText>
      </w:r>
      <w:r>
        <w:fldChar w:fldCharType="separate"/>
      </w:r>
      <w:r>
        <w:t>4.7.1</w:t>
      </w:r>
      <w:r>
        <w:fldChar w:fldCharType="end"/>
      </w:r>
      <w:r>
        <w:t>)</w:t>
      </w:r>
    </w:p>
    <w:p w14:paraId="0CC16DD5" w14:textId="77777777">
      <w:pPr>
        <w:pStyle w:val="Lista2"/>
      </w:pPr>
      <w:r>
        <w:t xml:space="preserve">forme work </w:t>
      </w:r>
      <w:r>
        <w:rPr>
          <w:noProof/>
        </w:rPr>
        <w:t>(</w:t>
      </w:r>
      <w:r>
        <w:t>§</w:t>
      </w:r>
      <w:r>
        <w:fldChar w:fldCharType="begin"/>
      </w:r>
      <w:r>
        <w:instrText xml:space="preserve"> REF _Ref43984607 \w \h  \* MERGEFORMAT </w:instrText>
      </w:r>
      <w:r>
        <w:fldChar w:fldCharType="separate"/>
      </w:r>
      <w:r>
        <w:t>4.7.2</w:t>
      </w:r>
      <w:r>
        <w:fldChar w:fldCharType="end"/>
      </w:r>
      <w:r>
        <w:t>)</w:t>
      </w:r>
    </w:p>
    <w:p w14:paraId="739F4603" w14:textId="77777777">
      <w:pPr>
        <w:pStyle w:val="Lista2"/>
      </w:pPr>
      <w:r>
        <w:t>line beginnings (correspondence to which can be encoded as per §</w:t>
      </w:r>
      <w:r>
        <w:rPr>
          <w:lang w:eastAsia="en-US" w:bidi="ar-SA"/>
        </w:rPr>
        <w:fldChar w:fldCharType="begin"/>
      </w:r>
      <w:r>
        <w:rPr>
          <w:lang w:eastAsia="en-US" w:bidi="ar-SA"/>
        </w:rPr>
        <w:instrText xml:space="preserve"> REF _Ref182309743 \r \h </w:instrText>
      </w:r>
      <w:r>
        <w:rPr>
          <w:lang w:eastAsia="en-US" w:bidi="ar-SA"/>
        </w:rPr>
      </w:r>
      <w:r>
        <w:rPr>
          <w:lang w:eastAsia="en-US" w:bidi="ar-SA"/>
        </w:rPr>
        <w:fldChar w:fldCharType="separate"/>
      </w:r>
      <w:r>
        <w:rPr>
          <w:lang w:eastAsia="en-US" w:bidi="ar-SA"/>
        </w:rPr>
        <w:t>11.3</w:t>
      </w:r>
      <w:r>
        <w:rPr>
          <w:lang w:eastAsia="en-US" w:bidi="ar-SA"/>
        </w:rPr>
        <w:fldChar w:fldCharType="end"/>
      </w:r>
      <w:r>
        <w:rPr>
          <w:lang w:eastAsia="en-US" w:bidi="ar-SA"/>
        </w:rPr>
        <w:t>)</w:t>
      </w:r>
    </w:p>
    <w:p w14:paraId="404DE5CA" w14:textId="77777777">
      <w:pPr>
        <w:pStyle w:val="Cmsor3"/>
      </w:pPr>
      <w:bookmarkStart w:id="848" w:name="_Ref233792737"/>
      <w:bookmarkStart w:id="849" w:name="_Toc243900402"/>
      <w:r>
        <w:t>Reflecting intrinsic structure in the translation</w:t>
      </w:r>
      <w:bookmarkEnd w:id="848"/>
      <w:bookmarkEnd w:id="849"/>
    </w:p>
    <w:p w14:paraId="0775443D" w14:textId="77777777">
      <w:pPr>
        <w:rPr>
          <w:lang w:eastAsia="en-US" w:bidi="ar-SA"/>
        </w:rPr>
      </w:pPr>
      <w:r>
        <w:rPr>
          <w:lang w:eastAsia="en-US" w:bidi="ar-SA"/>
        </w:rPr>
        <w:t>The translation should be structured by block-level containers in a manner resembling the intrinsic structure of the source as far as feasible.</w:t>
      </w:r>
    </w:p>
    <w:p w14:paraId="38C78112" w14:textId="77777777">
      <w:pPr>
        <w:pStyle w:val="Lista"/>
      </w:pPr>
      <w:r>
        <w:t>the basic block-level container for translated text is the paragraph (</w:t>
      </w:r>
      <w:r>
        <w:rPr>
          <w:rStyle w:val="Code"/>
        </w:rPr>
        <w:t>&lt;p&gt;</w:t>
      </w:r>
      <w:r>
        <w:t xml:space="preserve"> element) </w:t>
      </w:r>
    </w:p>
    <w:p w14:paraId="58AF701F" w14:textId="77777777">
      <w:pPr>
        <w:pStyle w:val="Lista2"/>
      </w:pPr>
      <w:r>
        <w:t xml:space="preserve">other block-level containers in the edition (viz. </w:t>
      </w:r>
      <w:r>
        <w:rPr>
          <w:rStyle w:val="Code"/>
        </w:rPr>
        <w:t>&lt;ab&gt;</w:t>
      </w:r>
      <w:r>
        <w:t xml:space="preserve"> and </w:t>
      </w:r>
      <w:r>
        <w:rPr>
          <w:rStyle w:val="Code"/>
        </w:rPr>
        <w:t>&lt;lg&gt;</w:t>
      </w:r>
      <w:r>
        <w:t xml:space="preserve">) shall be rendered as </w:t>
      </w:r>
      <w:r>
        <w:rPr>
          <w:rStyle w:val="Code"/>
        </w:rPr>
        <w:t>&lt;p&gt;</w:t>
      </w:r>
      <w:r>
        <w:t xml:space="preserve"> elements in the translation</w:t>
      </w:r>
    </w:p>
    <w:p w14:paraId="5D6D3445" w14:textId="77777777">
      <w:pPr>
        <w:pStyle w:val="Lista2"/>
      </w:pPr>
      <w:r>
        <w:t xml:space="preserve">for paragraphs translating verse, add the attribute </w:t>
      </w:r>
      <w:r>
        <w:rPr>
          <w:rStyle w:val="Codeattribute"/>
        </w:rPr>
        <w:t>@rend</w:t>
      </w:r>
      <w:r>
        <w:t xml:space="preserve"> with the value </w:t>
      </w:r>
      <w:r>
        <w:rPr>
          <w:rStyle w:val="Codevalue"/>
        </w:rPr>
        <w:t>"stanza"</w:t>
      </w:r>
      <w:r>
        <w:t xml:space="preserve"> to the </w:t>
      </w:r>
      <w:r>
        <w:rPr>
          <w:rStyle w:val="Code"/>
        </w:rPr>
        <w:t>&lt;p&gt;</w:t>
      </w:r>
      <w:r>
        <w:t xml:space="preserve"> element</w:t>
      </w:r>
    </w:p>
    <w:p w14:paraId="417B2132" w14:textId="77777777">
      <w:pPr>
        <w:pStyle w:val="Lista"/>
      </w:pPr>
      <w:r>
        <w:t xml:space="preserve">normally, each and every block-level container of the edition (i.e. </w:t>
      </w:r>
      <w:r>
        <w:rPr>
          <w:rStyle w:val="Code"/>
        </w:rPr>
        <w:t>&lt;p&gt;</w:t>
      </w:r>
      <w:r>
        <w:t xml:space="preserve">, </w:t>
      </w:r>
      <w:r>
        <w:rPr>
          <w:rStyle w:val="Code"/>
        </w:rPr>
        <w:t>&lt;ab&gt;</w:t>
      </w:r>
      <w:r>
        <w:t xml:space="preserve"> and </w:t>
      </w:r>
      <w:r>
        <w:rPr>
          <w:rStyle w:val="Code"/>
        </w:rPr>
        <w:t>&lt;lg&gt;</w:t>
      </w:r>
      <w:r>
        <w:t xml:space="preserve">) should have exactly one corresponding </w:t>
      </w:r>
      <w:r>
        <w:rPr>
          <w:rStyle w:val="Code"/>
        </w:rPr>
        <w:t>&lt;p&gt;</w:t>
      </w:r>
      <w:r>
        <w:t xml:space="preserve"> element in the translation</w:t>
      </w:r>
    </w:p>
    <w:p w14:paraId="2BB544BF" w14:textId="77777777">
      <w:pPr>
        <w:pStyle w:val="Lista2"/>
      </w:pPr>
      <w:r>
        <w:lastRenderedPageBreak/>
        <w:t>however, feel free to use more or fewer containers at your discretion</w:t>
      </w:r>
    </w:p>
    <w:p w14:paraId="641B1519" w14:textId="77777777">
      <w:pPr>
        <w:pStyle w:val="Lista2"/>
      </w:pPr>
      <w:r>
        <w:t>should the intelligibility of the translation demand it, feel free to translate items in a different order than that in which they appear in the original</w:t>
      </w:r>
    </w:p>
    <w:p w14:paraId="7E054562" w14:textId="77777777">
      <w:pPr>
        <w:pStyle w:val="Lista"/>
      </w:pPr>
      <w:r>
        <w:t>finer structural divisions may be encoded in the translation as follows</w:t>
      </w:r>
    </w:p>
    <w:p w14:paraId="2B43B09F" w14:textId="77777777">
      <w:pPr>
        <w:pStyle w:val="Lista2"/>
      </w:pPr>
      <w:r>
        <w:t xml:space="preserve">if you translate verse line by line, optionally wrap each translated line in an </w:t>
      </w:r>
      <w:r>
        <w:rPr>
          <w:rStyle w:val="Code"/>
        </w:rPr>
        <w:t>&lt;l&gt;</w:t>
      </w:r>
      <w:r>
        <w:t xml:space="preserve"> element within the </w:t>
      </w:r>
      <w:r>
        <w:rPr>
          <w:rStyle w:val="Code"/>
        </w:rPr>
        <w:t>&lt;p&gt;</w:t>
      </w:r>
      <w:r>
        <w:t xml:space="preserve"> element corresponding to a stanza as per §</w:t>
      </w:r>
      <w:r>
        <w:fldChar w:fldCharType="begin"/>
      </w:r>
      <w:r>
        <w:instrText xml:space="preserve"> REF _Ref233988137 \r \h </w:instrText>
      </w:r>
      <w:r>
        <w:fldChar w:fldCharType="separate"/>
      </w:r>
      <w:r>
        <w:t>14.3.2.2</w:t>
      </w:r>
      <w:r>
        <w:fldChar w:fldCharType="end"/>
      </w:r>
      <w:r>
        <w:t xml:space="preserve"> </w:t>
      </w:r>
    </w:p>
    <w:p w14:paraId="5EDB8C84" w14:textId="77777777">
      <w:pPr>
        <w:pStyle w:val="Lista2"/>
      </w:pPr>
      <w:r>
        <w:t xml:space="preserve">if a paragraph of the original text is, or contains, a list (such as a list of donees or boundaries), optionally use a </w:t>
      </w:r>
      <w:r>
        <w:rPr>
          <w:rStyle w:val="Code"/>
        </w:rPr>
        <w:t>&lt;list&gt;</w:t>
      </w:r>
      <w:r>
        <w:t xml:space="preserve"> element with </w:t>
      </w:r>
      <w:r>
        <w:rPr>
          <w:rStyle w:val="Code"/>
        </w:rPr>
        <w:t>&lt;item&gt;</w:t>
      </w:r>
      <w:r>
        <w:t xml:space="preserve">s within the corresponding </w:t>
      </w:r>
      <w:r>
        <w:rPr>
          <w:rStyle w:val="Code"/>
        </w:rPr>
        <w:t>&lt;p&gt;</w:t>
      </w:r>
      <w:r>
        <w:t xml:space="preserve"> element of your translation as described in §</w:t>
      </w:r>
      <w:r>
        <w:fldChar w:fldCharType="begin"/>
      </w:r>
      <w:r>
        <w:instrText xml:space="preserve"> REF _Ref56419954 \r \h </w:instrText>
      </w:r>
      <w:r>
        <w:fldChar w:fldCharType="separate"/>
      </w:r>
      <w:r>
        <w:t>14.2.4</w:t>
      </w:r>
      <w:r>
        <w:fldChar w:fldCharType="end"/>
      </w:r>
    </w:p>
    <w:p w14:paraId="27AA8C1B" w14:textId="77777777">
      <w:pPr>
        <w:pStyle w:val="Lista3"/>
      </w:pPr>
      <w:r>
        <w:t>you may encode a list in the translation even if a corresponding list is not encoded in the edition and you may choose to translate a list encoded in the edition with running prose</w:t>
      </w:r>
    </w:p>
    <w:p w14:paraId="54CDADB7" w14:textId="77777777">
      <w:pPr>
        <w:pStyle w:val="Cmsor3"/>
      </w:pPr>
      <w:bookmarkStart w:id="850" w:name="_tofxidp3cso" w:colFirst="0" w:colLast="0"/>
      <w:bookmarkStart w:id="851" w:name="_Ref43989787"/>
      <w:bookmarkStart w:id="852" w:name="_Ref151372539"/>
      <w:bookmarkStart w:id="853" w:name="_Toc243900403"/>
      <w:bookmarkStart w:id="854" w:name="_Ref43990179"/>
      <w:bookmarkEnd w:id="850"/>
      <w:r>
        <w:t>Headings in translation</w:t>
      </w:r>
      <w:bookmarkEnd w:id="851"/>
      <w:r>
        <w:t>s</w:t>
      </w:r>
      <w:bookmarkEnd w:id="852"/>
      <w:bookmarkEnd w:id="853"/>
    </w:p>
    <w:p w14:paraId="718E3160" w14:textId="77777777">
      <w:pPr>
        <w:pStyle w:val="Lista"/>
      </w:pPr>
      <w:r>
        <w:t xml:space="preserve">headings for translations as a whole will be generated automatically on the basis of the </w:t>
      </w:r>
      <w:r>
        <w:rPr>
          <w:rStyle w:val="Codeattribute"/>
        </w:rPr>
        <w:t>@xml:lang</w:t>
      </w:r>
      <w:r>
        <w:t xml:space="preserve"> and </w:t>
      </w:r>
      <w:r>
        <w:rPr>
          <w:rStyle w:val="Codeattribute"/>
        </w:rPr>
        <w:t>@source</w:t>
      </w:r>
      <w:r>
        <w:t xml:space="preserve"> or </w:t>
      </w:r>
      <w:r>
        <w:rPr>
          <w:rStyle w:val="Codeattribute"/>
        </w:rPr>
        <w:t>@resp</w:t>
      </w:r>
      <w:r>
        <w:t xml:space="preserve"> attributes of the translation division</w:t>
      </w:r>
    </w:p>
    <w:p w14:paraId="77091F4A" w14:textId="77777777">
      <w:pPr>
        <w:pStyle w:val="Lista2"/>
      </w:pPr>
      <w:r>
        <w:t>containing the language of the translation if it is encoded</w:t>
      </w:r>
    </w:p>
    <w:p w14:paraId="34025DFC" w14:textId="77777777">
      <w:pPr>
        <w:pStyle w:val="Lista2"/>
      </w:pPr>
      <w:r>
        <w:t>containing the author of the translation unless it is identical to the creator of the edition (§</w:t>
      </w:r>
      <w:r>
        <w:fldChar w:fldCharType="begin"/>
      </w:r>
      <w:r>
        <w:instrText xml:space="preserve"> REF _Ref239687105 \r \h </w:instrText>
      </w:r>
      <w:r>
        <w:fldChar w:fldCharType="separate"/>
      </w:r>
      <w:r>
        <w:t>15.1.2.1</w:t>
      </w:r>
      <w:r>
        <w:fldChar w:fldCharType="end"/>
      </w:r>
      <w:r>
        <w:t>)</w:t>
      </w:r>
    </w:p>
    <w:p w14:paraId="59DC4903" w14:textId="77777777">
      <w:pPr>
        <w:pStyle w:val="Lista"/>
      </w:pPr>
      <w:r>
        <w:t>if this basic header is insufficient, you may optionally create a custom heading for the translation as a hole</w:t>
      </w:r>
    </w:p>
    <w:p w14:paraId="72E9E854" w14:textId="77777777">
      <w:pPr>
        <w:pStyle w:val="Lista2"/>
      </w:pPr>
      <w:r>
        <w:t xml:space="preserve">to do so, include the element </w:t>
      </w:r>
      <w:r>
        <w:rPr>
          <w:rStyle w:val="Code"/>
        </w:rPr>
        <w:t>&lt;head&gt;</w:t>
      </w:r>
      <w:r>
        <w:t xml:space="preserve"> as the first item within </w:t>
      </w:r>
      <w:r>
        <w:rPr>
          <w:rStyle w:val="Code"/>
        </w:rPr>
        <w:t xml:space="preserve">&lt;div </w:t>
      </w:r>
      <w:r>
        <w:rPr>
          <w:rStyle w:val="Codeattribute"/>
        </w:rPr>
        <w:t>type</w:t>
      </w:r>
      <w:r>
        <w:rPr>
          <w:rStyle w:val="Code"/>
        </w:rPr>
        <w:t>=</w:t>
      </w:r>
      <w:r>
        <w:rPr>
          <w:rStyle w:val="Codevalue"/>
        </w:rPr>
        <w:t>"translation"</w:t>
      </w:r>
      <w:r>
        <w:rPr>
          <w:rStyle w:val="Code"/>
        </w:rPr>
        <w:t>&gt;</w:t>
      </w:r>
    </w:p>
    <w:p w14:paraId="1282E278" w14:textId="77777777">
      <w:pPr>
        <w:pStyle w:val="Lista3"/>
      </w:pPr>
      <w:r>
        <w:t>containing free text that is to be displayed as a heading above the translation</w:t>
      </w:r>
    </w:p>
    <w:p w14:paraId="4236C420" w14:textId="77777777">
      <w:pPr>
        <w:pStyle w:val="Lista2"/>
      </w:pPr>
      <w:r>
        <w:t>such headings, if present, will replace the auto-generated heading, so it is recommended that you include the word “Translation” and a specification of the target language</w:t>
      </w:r>
    </w:p>
    <w:p w14:paraId="4A0ED1BF" w14:textId="77777777">
      <w:pPr>
        <w:pStyle w:val="Lista"/>
      </w:pPr>
      <w:r>
        <w:t>when textparts (§</w:t>
      </w:r>
      <w:r>
        <w:fldChar w:fldCharType="begin"/>
      </w:r>
      <w:r>
        <w:instrText xml:space="preserve"> REF _Ref233277694 \r \h </w:instrText>
      </w:r>
      <w:r>
        <w:fldChar w:fldCharType="separate"/>
      </w:r>
      <w:r>
        <w:t>11.1.1</w:t>
      </w:r>
      <w:r>
        <w:fldChar w:fldCharType="end"/>
      </w:r>
      <w:r>
        <w:t>) or elements representing extrinsic structure (§</w:t>
      </w:r>
      <w:r>
        <w:fldChar w:fldCharType="begin"/>
      </w:r>
      <w:r>
        <w:instrText xml:space="preserve"> REF _Ref233279561 \r \h </w:instrText>
      </w:r>
      <w:r>
        <w:fldChar w:fldCharType="separate"/>
      </w:r>
      <w:r>
        <w:t>11.2.1</w:t>
      </w:r>
      <w:r>
        <w:fldChar w:fldCharType="end"/>
      </w:r>
      <w:r>
        <w:t xml:space="preserve">) are encoded in the translation, headings will be automatically generated from their attribute values or their </w:t>
      </w:r>
      <w:r>
        <w:rPr>
          <w:rStyle w:val="Code"/>
        </w:rPr>
        <w:t>&lt;head&gt;</w:t>
      </w:r>
      <w:r>
        <w:t xml:space="preserve"> or </w:t>
      </w:r>
      <w:r>
        <w:rPr>
          <w:rStyle w:val="Code"/>
        </w:rPr>
        <w:t>&lt;label&gt;</w:t>
      </w:r>
      <w:r>
        <w:t xml:space="preserve"> elements as in the edition</w:t>
      </w:r>
    </w:p>
    <w:p w14:paraId="35916939" w14:textId="77777777">
      <w:pPr>
        <w:pStyle w:val="Lista"/>
      </w:pPr>
      <w:r>
        <w:t xml:space="preserve">to add secondary headings to segments of a translation that do not correspond to a structural part of the edition, you may use the </w:t>
      </w:r>
      <w:r>
        <w:rPr>
          <w:rStyle w:val="Code"/>
        </w:rPr>
        <w:t>&lt;label&gt;</w:t>
      </w:r>
      <w:r>
        <w:t xml:space="preserve"> element at any arbitrary point between two </w:t>
      </w:r>
      <w:r>
        <w:rPr>
          <w:rStyle w:val="Code"/>
        </w:rPr>
        <w:t>&lt;p&gt;</w:t>
      </w:r>
      <w:r>
        <w:t xml:space="preserve"> elements</w:t>
      </w:r>
    </w:p>
    <w:p w14:paraId="267E8B92" w14:textId="77777777">
      <w:pPr>
        <w:pStyle w:val="Lista2"/>
      </w:pPr>
      <w:r>
        <w:t>these will be displayed as headings</w:t>
      </w:r>
    </w:p>
    <w:p w14:paraId="5FBD2E0A" w14:textId="77777777">
      <w:pPr>
        <w:pStyle w:val="Lista2"/>
      </w:pPr>
      <w:r>
        <w:t xml:space="preserve">the attribute </w:t>
      </w:r>
      <w:r>
        <w:rPr>
          <w:rStyle w:val="Codeattribute"/>
        </w:rPr>
        <w:t>@xml:lang</w:t>
      </w:r>
      <w:r>
        <w:t xml:space="preserve"> should only be added to this </w:t>
      </w:r>
      <w:r>
        <w:rPr>
          <w:rStyle w:val="Code"/>
        </w:rPr>
        <w:t>&lt;label&gt;</w:t>
      </w:r>
      <w:r>
        <w:t xml:space="preserve"> element if the label is in a different language than that of translation as a whole</w:t>
      </w:r>
    </w:p>
    <w:p w14:paraId="779C12D7" w14:textId="77777777">
      <w:pPr>
        <w:pStyle w:val="Cmsor2"/>
      </w:pPr>
      <w:bookmarkStart w:id="855" w:name="_Ref182309743"/>
      <w:bookmarkStart w:id="856" w:name="_Toc243900404"/>
      <w:r>
        <w:t xml:space="preserve">Indicating correspondence to the </w:t>
      </w:r>
      <w:bookmarkEnd w:id="854"/>
      <w:bookmarkEnd w:id="855"/>
      <w:r>
        <w:t>source</w:t>
      </w:r>
      <w:bookmarkEnd w:id="856"/>
    </w:p>
    <w:p w14:paraId="398BC0CF" w14:textId="77777777">
      <w:pPr>
        <w:rPr>
          <w:lang w:eastAsia="en-US" w:bidi="ar-SA"/>
        </w:rPr>
      </w:pPr>
      <w:r>
        <w:rPr>
          <w:lang w:eastAsia="en-US" w:bidi="ar-SA"/>
        </w:rPr>
        <w:t xml:space="preserve">Correspondence of segments of the translation to the source document shall normally be indicated in a loose, human-readable manner using the </w:t>
      </w:r>
      <w:r>
        <w:t xml:space="preserve">attribute </w:t>
      </w:r>
      <w:r>
        <w:rPr>
          <w:rStyle w:val="Codeattribute"/>
        </w:rPr>
        <w:t>@n</w:t>
      </w:r>
      <w:r>
        <w:t xml:space="preserve"> </w:t>
      </w:r>
      <w:r>
        <w:rPr>
          <w:lang w:eastAsia="en-US" w:bidi="ar-SA"/>
        </w:rPr>
        <w:t xml:space="preserve">on the </w:t>
      </w:r>
      <w:r>
        <w:rPr>
          <w:rStyle w:val="Code"/>
        </w:rPr>
        <w:t>&lt;p&gt;</w:t>
      </w:r>
      <w:r>
        <w:t xml:space="preserve"> elements of the translation as follows</w:t>
      </w:r>
      <w:r>
        <w:rPr>
          <w:lang w:eastAsia="en-US" w:bidi="ar-SA"/>
        </w:rPr>
        <w:t>.</w:t>
      </w:r>
    </w:p>
    <w:p w14:paraId="4170A508" w14:textId="77777777">
      <w:pPr>
        <w:pStyle w:val="Lista"/>
      </w:pPr>
      <w:r>
        <w:t>in short texts best translated as a single paragraph of prose, you may choose at your discretion to omit numbering</w:t>
      </w:r>
    </w:p>
    <w:p w14:paraId="197809F6" w14:textId="77777777">
      <w:pPr>
        <w:pStyle w:val="Lista"/>
      </w:pPr>
      <w:r>
        <w:t xml:space="preserve">for </w:t>
      </w:r>
      <w:r>
        <w:rPr>
          <w:rStyle w:val="Code"/>
        </w:rPr>
        <w:t>&lt;p&gt;</w:t>
      </w:r>
      <w:r>
        <w:t xml:space="preserve"> elements translating prose (i.e. corresponding to </w:t>
      </w:r>
      <w:r>
        <w:rPr>
          <w:rStyle w:val="Code"/>
        </w:rPr>
        <w:t>&lt;p&gt;</w:t>
      </w:r>
      <w:r>
        <w:t xml:space="preserve"> or </w:t>
      </w:r>
      <w:r>
        <w:rPr>
          <w:rStyle w:val="Code"/>
        </w:rPr>
        <w:t>&lt;ab&gt;</w:t>
      </w:r>
      <w:r>
        <w:t xml:space="preserve"> elements in the source), the value of </w:t>
      </w:r>
      <w:r>
        <w:rPr>
          <w:rStyle w:val="Codeattribute"/>
        </w:rPr>
        <w:t>@n</w:t>
      </w:r>
      <w:r>
        <w:t xml:space="preserve"> shall indicate line numbers, i.e. reflect the value(s) of </w:t>
      </w:r>
      <w:r>
        <w:rPr>
          <w:rStyle w:val="Codeattribute"/>
        </w:rPr>
        <w:t>@n</w:t>
      </w:r>
      <w:r>
        <w:t xml:space="preserve"> on the </w:t>
      </w:r>
      <w:r>
        <w:rPr>
          <w:rStyle w:val="Code"/>
        </w:rPr>
        <w:t>&lt;lb/&gt;</w:t>
      </w:r>
      <w:r>
        <w:t xml:space="preserve"> element(s) of the corresponding line(s) in the original </w:t>
      </w:r>
    </w:p>
    <w:p w14:paraId="2D22E4FB" w14:textId="77777777">
      <w:pPr>
        <w:pStyle w:val="Lista2"/>
      </w:pPr>
      <w:r>
        <w:t>these numbers will be displayed as inline labels in the translation</w:t>
      </w:r>
    </w:p>
    <w:p w14:paraId="2EB73705" w14:textId="77777777">
      <w:pPr>
        <w:pStyle w:val="Lista"/>
      </w:pPr>
      <w:r>
        <w:t xml:space="preserve">for </w:t>
      </w:r>
      <w:r>
        <w:rPr>
          <w:rStyle w:val="Code"/>
        </w:rPr>
        <w:t>&lt;p&gt;</w:t>
      </w:r>
      <w:r>
        <w:t xml:space="preserve"> elements translating verse (i.e. corresponding to </w:t>
      </w:r>
      <w:r>
        <w:rPr>
          <w:rStyle w:val="Code"/>
        </w:rPr>
        <w:t>&lt;lg&gt;</w:t>
      </w:r>
      <w:r>
        <w:t xml:space="preserve"> elements in the source), the value of </w:t>
      </w:r>
      <w:r>
        <w:rPr>
          <w:rStyle w:val="Codeattribute"/>
        </w:rPr>
        <w:t>@n</w:t>
      </w:r>
      <w:r>
        <w:t xml:space="preserve"> shall indicate stanza numbers, i.e. reflect the value(s) of </w:t>
      </w:r>
      <w:r>
        <w:rPr>
          <w:rStyle w:val="Codeattribute"/>
        </w:rPr>
        <w:t>@n</w:t>
      </w:r>
      <w:r>
        <w:t xml:space="preserve"> on the </w:t>
      </w:r>
      <w:r>
        <w:rPr>
          <w:rStyle w:val="Code"/>
        </w:rPr>
        <w:t>&lt;lg/&gt;</w:t>
      </w:r>
      <w:r>
        <w:t xml:space="preserve"> element(s) of the corresponding stanza(s) in the original</w:t>
      </w:r>
    </w:p>
    <w:p w14:paraId="45C67962" w14:textId="77777777">
      <w:pPr>
        <w:pStyle w:val="Lista2"/>
      </w:pPr>
      <w:r>
        <w:t xml:space="preserve">these numbers, distinguishable to the processing algorithm by the presence of </w:t>
      </w:r>
      <w:r>
        <w:rPr>
          <w:rStyle w:val="Codeattribute"/>
        </w:rPr>
        <w:t>@rend</w:t>
      </w:r>
      <w:r>
        <w:rPr>
          <w:rStyle w:val="Codetext"/>
        </w:rPr>
        <w:t>=</w:t>
      </w:r>
      <w:r>
        <w:rPr>
          <w:rStyle w:val="Codevalue"/>
        </w:rPr>
        <w:t>"stanza"</w:t>
      </w:r>
      <w:r>
        <w:t xml:space="preserve"> on the </w:t>
      </w:r>
      <w:r>
        <w:rPr>
          <w:rStyle w:val="Code"/>
        </w:rPr>
        <w:t>&lt;p&gt;</w:t>
      </w:r>
      <w:r>
        <w:t xml:space="preserve"> elements, will be shown in display as a heading for a numbered stanza</w:t>
      </w:r>
    </w:p>
    <w:p w14:paraId="6A2B71C7" w14:textId="77777777">
      <w:pPr>
        <w:pStyle w:val="Lista"/>
      </w:pPr>
      <w:r>
        <w:t xml:space="preserve">the acceptable values of </w:t>
      </w:r>
      <w:r>
        <w:rPr>
          <w:rStyle w:val="Codeattribute"/>
        </w:rPr>
        <w:t>@n</w:t>
      </w:r>
      <w:r>
        <w:t xml:space="preserve"> for both of the above are detailed in §</w:t>
      </w:r>
      <w:r>
        <w:fldChar w:fldCharType="begin"/>
      </w:r>
      <w:r>
        <w:instrText xml:space="preserve"> REF _Ref233620814 \r \h </w:instrText>
      </w:r>
      <w:r>
        <w:fldChar w:fldCharType="separate"/>
      </w:r>
      <w:r>
        <w:t>11.3.1</w:t>
      </w:r>
      <w:r>
        <w:fldChar w:fldCharType="end"/>
      </w:r>
      <w:r>
        <w:t xml:space="preserve"> and illustrated in </w:t>
      </w:r>
      <w:r>
        <w:fldChar w:fldCharType="begin"/>
      </w:r>
      <w:r>
        <w:instrText xml:space="preserve"> REF _Ref233282157 \h </w:instrText>
      </w:r>
      <w:r>
        <w:fldChar w:fldCharType="separate"/>
      </w:r>
      <w:r>
        <w:t xml:space="preserve">Exhibit </w:t>
      </w:r>
      <w:r>
        <w:rPr>
          <w:noProof/>
        </w:rPr>
        <w:t>11.3</w:t>
      </w:r>
      <w:r>
        <w:t>.</w:t>
      </w:r>
      <w:r>
        <w:rPr>
          <w:noProof/>
        </w:rPr>
        <w:t>A</w:t>
      </w:r>
      <w:r>
        <w:fldChar w:fldCharType="end"/>
      </w:r>
    </w:p>
    <w:p w14:paraId="1FB8BC95" w14:textId="77777777">
      <w:pPr>
        <w:pStyle w:val="Cmsor3"/>
      </w:pPr>
      <w:bookmarkStart w:id="857" w:name="_Ref233620814"/>
      <w:bookmarkStart w:id="858" w:name="_Toc243900405"/>
      <w:r>
        <w:lastRenderedPageBreak/>
        <w:t>Referring to lines and stanzas of the source</w:t>
      </w:r>
      <w:bookmarkEnd w:id="857"/>
      <w:bookmarkEnd w:id="858"/>
    </w:p>
    <w:p w14:paraId="0D275914" w14:textId="77777777">
      <w:pPr>
        <w:rPr>
          <w:lang w:eastAsia="en-US" w:bidi="ar-SA"/>
        </w:rPr>
      </w:pPr>
      <w:r>
        <w:rPr>
          <w:lang w:eastAsia="en-US" w:bidi="ar-SA"/>
        </w:rPr>
        <w:t xml:space="preserve">When using </w:t>
      </w:r>
      <w:r>
        <w:rPr>
          <w:rStyle w:val="Codeattribute"/>
        </w:rPr>
        <w:t>@n</w:t>
      </w:r>
      <w:r>
        <w:t xml:space="preserve"> </w:t>
      </w:r>
      <w:r>
        <w:rPr>
          <w:lang w:eastAsia="en-US" w:bidi="ar-SA"/>
        </w:rPr>
        <w:t xml:space="preserve">on the </w:t>
      </w:r>
      <w:r>
        <w:rPr>
          <w:rStyle w:val="Code"/>
        </w:rPr>
        <w:t>&lt;p&gt;</w:t>
      </w:r>
      <w:r>
        <w:t xml:space="preserve"> elements of the translation to refer to line or stanza numbers of the source, all of the following variations are permitted.</w:t>
      </w:r>
    </w:p>
    <w:p w14:paraId="3991098A" w14:textId="77777777">
      <w:pPr>
        <w:pStyle w:val="Lista"/>
      </w:pPr>
      <w:r>
        <w:t>single values, for a translation paragraph coterminous with or smaller than an epigraphic line or stanza of the source, e.g.</w:t>
      </w:r>
    </w:p>
    <w:p w14:paraId="0C27D298" w14:textId="77777777">
      <w:pPr>
        <w:pStyle w:val="Lista2"/>
      </w:pPr>
      <w:r>
        <w:rPr>
          <w:rStyle w:val="Code"/>
        </w:rPr>
        <w:t xml:space="preserve">&lt;p </w:t>
      </w:r>
      <w:r>
        <w:rPr>
          <w:rStyle w:val="Codeattribute"/>
        </w:rPr>
        <w:t>n</w:t>
      </w:r>
      <w:r>
        <w:rPr>
          <w:rStyle w:val="Codetext"/>
        </w:rPr>
        <w:t>=</w:t>
      </w:r>
      <w:r>
        <w:rPr>
          <w:rStyle w:val="Codevalue"/>
        </w:rPr>
        <w:t>"1"</w:t>
      </w:r>
      <w:r>
        <w:rPr>
          <w:rStyle w:val="Code"/>
        </w:rPr>
        <w:t>&gt;</w:t>
      </w:r>
      <w:r>
        <w:t xml:space="preserve"> a paragraph translating prose that begins and ends within line 1 (without necessarily taking up all of line 1)</w:t>
      </w:r>
    </w:p>
    <w:p w14:paraId="6EC6D46D"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"6"</w:t>
      </w:r>
      <w:r>
        <w:rPr>
          <w:rStyle w:val="Code"/>
        </w:rPr>
        <w:t>&gt;</w:t>
      </w:r>
      <w:r>
        <w:t xml:space="preserve"> a paragraph translating verse that begins and ends within stanza 6 (usually, but not necessarily, taking up all of stanza 6)</w:t>
      </w:r>
    </w:p>
    <w:p w14:paraId="5CD0572D" w14:textId="77777777">
      <w:pPr>
        <w:pStyle w:val="Lista"/>
      </w:pPr>
      <w:r>
        <w:t>a range of values separated by a hyphen, for a translation paragraph corresponding to text that begins in one line or stanza and ends in a different, subsequent line or stanza, e.g.</w:t>
      </w:r>
    </w:p>
    <w:p w14:paraId="3FAD43AC" w14:textId="77777777">
      <w:pPr>
        <w:pStyle w:val="Lista2"/>
      </w:pPr>
      <w:r>
        <w:rPr>
          <w:rStyle w:val="Code"/>
        </w:rPr>
        <w:t xml:space="preserve">&lt;p </w:t>
      </w:r>
      <w:r>
        <w:rPr>
          <w:rStyle w:val="Codeattribute"/>
        </w:rPr>
        <w:t>n</w:t>
      </w:r>
      <w:r>
        <w:rPr>
          <w:rStyle w:val="Codetext"/>
        </w:rPr>
        <w:t>=</w:t>
      </w:r>
      <w:r>
        <w:rPr>
          <w:rStyle w:val="Codevalue"/>
        </w:rPr>
        <w:t>"1-3"</w:t>
      </w:r>
      <w:r>
        <w:rPr>
          <w:rStyle w:val="Code"/>
        </w:rPr>
        <w:t>&gt;</w:t>
      </w:r>
      <w:r>
        <w:t xml:space="preserve"> a paragraph translating prose located in lines 1 to 3 (not necessarily from the beginning of line 1 to the end of line 3)</w:t>
      </w:r>
    </w:p>
    <w:p w14:paraId="7509EDA8"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"8-9"</w:t>
      </w:r>
      <w:r>
        <w:rPr>
          <w:rStyle w:val="Code"/>
        </w:rPr>
        <w:t>&gt;</w:t>
      </w:r>
      <w:r>
        <w:t xml:space="preserve"> a single paragraph translating verse that begins in stanza 8 and ends in stanza 9 (usually, but not necessarily, corresponding to the full text of both stanzas)</w:t>
      </w:r>
    </w:p>
    <w:p w14:paraId="18EF2D83" w14:textId="77777777">
      <w:pPr>
        <w:pStyle w:val="Lista"/>
      </w:pPr>
      <w:r>
        <w:t>a set of values delimited by commas and spaces, for a translation paragraph corresponding to text found in two or more non-contiguous lines or stanzas of the source, e.g.</w:t>
      </w:r>
    </w:p>
    <w:p w14:paraId="2AB1A839" w14:textId="77777777">
      <w:pPr>
        <w:pStyle w:val="Lista2"/>
      </w:pPr>
      <w:r>
        <w:rPr>
          <w:rStyle w:val="Code"/>
        </w:rPr>
        <w:t xml:space="preserve">&lt;p </w:t>
      </w:r>
      <w:r>
        <w:rPr>
          <w:rStyle w:val="Codeattribute"/>
        </w:rPr>
        <w:t>n</w:t>
      </w:r>
      <w:r>
        <w:rPr>
          <w:rStyle w:val="Codetext"/>
        </w:rPr>
        <w:t>=</w:t>
      </w:r>
      <w:r>
        <w:rPr>
          <w:rStyle w:val="Codevalue"/>
        </w:rPr>
        <w:t>"1, 3"</w:t>
      </w:r>
      <w:r>
        <w:rPr>
          <w:rStyle w:val="Code"/>
        </w:rPr>
        <w:t>&gt;</w:t>
      </w:r>
      <w:r>
        <w:t xml:space="preserve"> a paragraph translating prose from lines 1 and 3 </w:t>
      </w:r>
      <w:r>
        <w:rPr>
          <w:noProof/>
        </w:rPr>
        <w:t>(</w:t>
      </w:r>
      <w:r>
        <w:t>but not 2)</w:t>
      </w:r>
    </w:p>
    <w:p w14:paraId="7C8F5DEF" w14:textId="77777777">
      <w:pPr>
        <w:pStyle w:val="Lista2"/>
      </w:pPr>
      <w:r>
        <w:rPr>
          <w:rStyle w:val="Code"/>
        </w:rPr>
        <w:t xml:space="preserve">&lt;p </w:t>
      </w:r>
      <w:r>
        <w:rPr>
          <w:rStyle w:val="Codeattribute"/>
        </w:rPr>
        <w:t>rend</w:t>
      </w:r>
      <w:r>
        <w:rPr>
          <w:rStyle w:val="Codetext"/>
        </w:rPr>
        <w:t>=</w:t>
      </w:r>
      <w:r>
        <w:rPr>
          <w:rStyle w:val="Codevalue"/>
        </w:rPr>
        <w:t>"stanza"</w:t>
      </w:r>
      <w:r>
        <w:rPr>
          <w:rStyle w:val="Code"/>
        </w:rPr>
        <w:t xml:space="preserve"> </w:t>
      </w:r>
      <w:r>
        <w:rPr>
          <w:rStyle w:val="Codeattribute"/>
        </w:rPr>
        <w:t>n</w:t>
      </w:r>
      <w:r>
        <w:rPr>
          <w:rStyle w:val="Codetext"/>
        </w:rPr>
        <w:t>=</w:t>
      </w:r>
      <w:r>
        <w:rPr>
          <w:rStyle w:val="Codevalue"/>
        </w:rPr>
        <w:t>"8, 10"</w:t>
      </w:r>
      <w:r>
        <w:rPr>
          <w:rStyle w:val="Code"/>
        </w:rPr>
        <w:t>&gt;</w:t>
      </w:r>
      <w:r>
        <w:t xml:space="preserve"> a paragraph translating </w:t>
      </w:r>
      <w:r>
        <w:rPr>
          <w:noProof/>
        </w:rPr>
        <w:t>(</w:t>
      </w:r>
      <w:r>
        <w:t>parts of) stanzas 8 and 10 together</w:t>
      </w:r>
    </w:p>
    <w:p w14:paraId="231381C0" w14:textId="77777777">
      <w:pPr>
        <w:pStyle w:val="Lista"/>
      </w:pPr>
      <w:r>
        <w:t>all of these references are for human readers and are not meant to be machine-actionable, therefore</w:t>
      </w:r>
    </w:p>
    <w:p w14:paraId="3E657A31" w14:textId="77777777">
      <w:pPr>
        <w:pStyle w:val="Lista2"/>
      </w:pPr>
      <w:r>
        <w:t>feel free to refer to larger ranges of lines or to several stanzas for passages best translated in larger chunks</w:t>
      </w:r>
    </w:p>
    <w:p w14:paraId="5F5A9DEE" w14:textId="7E3018B3">
      <w:pPr>
        <w:pStyle w:val="Lista2"/>
      </w:pPr>
      <w:r>
        <w:t>feel free to refer to the same line or stanza number in several translation elements, each of which includes parts of a single line or stanza of the original</w:t>
      </w:r>
    </w:p>
    <w:tbl>
      <w:tblPr>
        <w:tblStyle w:val="CodeSampleTable"/>
        <w:tblW w:w="5000" w:type="pct"/>
        <w:tblLook w:val="04A0" w:firstRow="1" w:lastRow="0" w:firstColumn="1" w:lastColumn="0" w:noHBand="0" w:noVBand="1"/>
      </w:tblPr>
      <w:tblGrid>
        <w:gridCol w:w="9628"/>
      </w:tblGrid>
      <w:tr w14:paraId="1894DB2C"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2699C10" w14:textId="77777777">
            <w:pPr>
              <w:pStyle w:val="Kpalrs"/>
            </w:pPr>
            <w:bookmarkStart w:id="859" w:name="_Ref233282157"/>
            <w:bookmarkStart w:id="860" w:name="_Ref233282153"/>
            <w:r>
              <w:t xml:space="preserve">Exhibit </w:t>
            </w:r>
            <w:fldSimple w:instr=" STYLEREF 2 \s ">
              <w:r>
                <w:rPr>
                  <w:noProof/>
                </w:rPr>
                <w:t>11.3</w:t>
              </w:r>
            </w:fldSimple>
            <w:r>
              <w:t>.</w:t>
            </w:r>
            <w:fldSimple w:instr=" SEQ Exhibit \* ALPHABETIC \s 2 ">
              <w:r>
                <w:rPr>
                  <w:noProof/>
                </w:rPr>
                <w:t>A</w:t>
              </w:r>
            </w:fldSimple>
            <w:bookmarkEnd w:id="859"/>
            <w:r>
              <w:t>: numbering in translation to indicate correspondence to the original</w:t>
            </w:r>
            <w:bookmarkEnd w:id="860"/>
          </w:p>
        </w:tc>
      </w:tr>
      <w:tr w14:paraId="64D1DE0C" w14:textId="77777777">
        <w:tc>
          <w:tcPr>
            <w:tcW w:w="5000" w:type="pct"/>
          </w:tcPr>
          <w:p w14:paraId="21A8D3CB" w14:textId="77777777">
            <w:pPr>
              <w:pStyle w:val="CodeParagraph"/>
            </w:pP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t xml:space="preserve">  </w:t>
            </w:r>
            <w:r>
              <w:rPr>
                <w:rStyle w:val="Code"/>
              </w:rPr>
              <w:t xml:space="preserve">&lt;p </w:t>
            </w:r>
            <w:r>
              <w:rPr>
                <w:rStyle w:val="Codeattribute"/>
              </w:rPr>
              <w:t>n</w:t>
            </w:r>
            <w:r>
              <w:rPr>
                <w:rStyle w:val="Code"/>
              </w:rPr>
              <w:t>=</w:t>
            </w:r>
            <w:r>
              <w:rPr>
                <w:rStyle w:val="Codevalue"/>
              </w:rPr>
              <w:t>"1-9"</w:t>
            </w:r>
            <w:r>
              <w:rPr>
                <w:rStyle w:val="Code"/>
              </w:rPr>
              <w:t>&gt;</w:t>
            </w:r>
            <w:r>
              <w:rPr>
                <w:rStyle w:val="Codetext"/>
              </w:rPr>
              <w:t xml:space="preserve">Hail! From the victorious [...] </w:t>
            </w:r>
            <w:r>
              <w:rPr>
                <w:rStyle w:val="Code"/>
              </w:rPr>
              <w:t>&lt;/p&gt;</w:t>
            </w:r>
            <w:r>
              <w:rPr>
                <w:rStyle w:val="Codetext"/>
              </w:rPr>
              <w:br/>
              <w:t xml:space="preserve">  </w:t>
            </w:r>
            <w:r>
              <w:rPr>
                <w:rStyle w:val="Code"/>
              </w:rPr>
              <w:t xml:space="preserve">&lt;p </w:t>
            </w:r>
            <w:r>
              <w:rPr>
                <w:rStyle w:val="Codeattribute"/>
              </w:rPr>
              <w:t>n</w:t>
            </w:r>
            <w:r>
              <w:rPr>
                <w:rStyle w:val="Code"/>
              </w:rPr>
              <w:t>=</w:t>
            </w:r>
            <w:r>
              <w:rPr>
                <w:rStyle w:val="Codevalue"/>
              </w:rPr>
              <w:t>"9-15"</w:t>
            </w:r>
            <w:r>
              <w:rPr>
                <w:rStyle w:val="Code"/>
              </w:rPr>
              <w:t>&gt;</w:t>
            </w:r>
            <w:r>
              <w:rPr>
                <w:rStyle w:val="Codetext"/>
              </w:rPr>
              <w:t xml:space="preserve">There is this village [...] </w:t>
            </w:r>
            <w:r>
              <w:rPr>
                <w:rStyle w:val="Code"/>
              </w:rPr>
              <w:t>&lt;/p&gt;</w:t>
            </w:r>
            <w:r>
              <w:rPr>
                <w:rStyle w:val="Codetext"/>
              </w:rPr>
              <w:br/>
              <w:t xml:space="preserve">  </w:t>
            </w:r>
            <w:r>
              <w:rPr>
                <w:rStyle w:val="Code"/>
              </w:rPr>
              <w:t xml:space="preserve">&lt;p </w:t>
            </w:r>
            <w:r>
              <w:rPr>
                <w:rStyle w:val="Codeattribute"/>
              </w:rPr>
              <w:t>n</w:t>
            </w:r>
            <w:r>
              <w:rPr>
                <w:rStyle w:val="Code"/>
              </w:rPr>
              <w:t>=</w:t>
            </w:r>
            <w:r>
              <w:rPr>
                <w:rStyle w:val="Codevalue"/>
              </w:rPr>
              <w:t>"15-17"</w:t>
            </w:r>
            <w:r>
              <w:rPr>
                <w:rStyle w:val="Code"/>
              </w:rPr>
              <w:t>&gt;</w:t>
            </w:r>
            <w:r>
              <w:rPr>
                <w:rStyle w:val="Codetext"/>
              </w:rPr>
              <w:t xml:space="preserve">In the first year [...] </w:t>
            </w:r>
            <w:r>
              <w:rPr>
                <w:rStyle w:val="Code"/>
              </w:rPr>
              <w:t>&lt;/p&gt;</w:t>
            </w:r>
            <w:r>
              <w:rPr>
                <w:rStyle w:val="Codetext"/>
              </w:rPr>
              <w:t xml:space="preserve"> </w:t>
            </w:r>
            <w:r>
              <w:rPr>
                <w:rStyle w:val="Codetext"/>
              </w:rPr>
              <w:br/>
              <w:t xml:space="preserve">  </w:t>
            </w:r>
            <w:r>
              <w:rPr>
                <w:rStyle w:val="Code"/>
              </w:rPr>
              <w:t xml:space="preserve">&lt;p </w:t>
            </w:r>
            <w:r>
              <w:rPr>
                <w:rStyle w:val="Codeattribute"/>
              </w:rPr>
              <w:t>rend</w:t>
            </w:r>
            <w:r>
              <w:rPr>
                <w:rStyle w:val="Code"/>
              </w:rPr>
              <w:t>=</w:t>
            </w:r>
            <w:r>
              <w:rPr>
                <w:rStyle w:val="Codevalue"/>
              </w:rPr>
              <w:t>"stanza"</w:t>
            </w:r>
            <w:r>
              <w:rPr>
                <w:rStyle w:val="Code"/>
              </w:rPr>
              <w:t xml:space="preserve"> </w:t>
            </w:r>
            <w:r>
              <w:rPr>
                <w:rStyle w:val="Codeattribute"/>
              </w:rPr>
              <w:t>n</w:t>
            </w:r>
            <w:r>
              <w:rPr>
                <w:rStyle w:val="Code"/>
              </w:rPr>
              <w:t>=</w:t>
            </w:r>
            <w:r>
              <w:rPr>
                <w:rStyle w:val="Codevalue"/>
              </w:rPr>
              <w:t>"1"</w:t>
            </w:r>
            <w:r>
              <w:rPr>
                <w:rStyle w:val="Code"/>
              </w:rPr>
              <w:t>&gt;</w:t>
            </w:r>
            <w:r>
              <w:rPr>
                <w:rStyle w:val="Codetext"/>
              </w:rPr>
              <w:t>By numerous kings, many times land has been given. Whoever holds land at a given moment, to him does the fruit then belong.</w:t>
            </w:r>
            <w:r>
              <w:rPr>
                <w:rStyle w:val="Code"/>
              </w:rPr>
              <w:t>&lt;/p&gt;</w:t>
            </w:r>
            <w:r>
              <w:rPr>
                <w:rStyle w:val="Codetext"/>
              </w:rPr>
              <w:br/>
            </w:r>
            <w:r>
              <w:rPr>
                <w:rStyle w:val="Code"/>
              </w:rPr>
              <w:t>&lt;/div&gt;</w:t>
            </w:r>
          </w:p>
        </w:tc>
      </w:tr>
    </w:tbl>
    <w:p w14:paraId="5ADFCDDB" w14:textId="77777777">
      <w:pPr>
        <w:pStyle w:val="Cmsor2"/>
      </w:pPr>
      <w:bookmarkStart w:id="861" w:name="_1959vvmyvc8" w:colFirst="0" w:colLast="0"/>
      <w:bookmarkStart w:id="862" w:name="_Ref233640670"/>
      <w:bookmarkStart w:id="863" w:name="_Toc243900406"/>
      <w:bookmarkStart w:id="864" w:name="_Ref43990269"/>
      <w:bookmarkStart w:id="865" w:name="_Ref151371819"/>
      <w:bookmarkEnd w:id="861"/>
      <w:r>
        <w:t>Markup within translations</w:t>
      </w:r>
      <w:bookmarkEnd w:id="862"/>
      <w:bookmarkEnd w:id="863"/>
    </w:p>
    <w:p w14:paraId="56E94331" w14:textId="77777777">
      <w:r>
        <w:t xml:space="preserve">Within the text (i.e. within the </w:t>
      </w:r>
      <w:r>
        <w:rPr>
          <w:rStyle w:val="Code"/>
        </w:rPr>
        <w:t>&lt;p&gt;</w:t>
      </w:r>
      <w:r>
        <w:t xml:space="preserve"> elements) of the translation, all of the encoding methods listed in this section are available, but no other encoding may be used. Keep in mind that these encoding methods replace the text-based markup (such as brackets and asterisks) commonly used in scholarly translations. </w:t>
      </w:r>
    </w:p>
    <w:p w14:paraId="4DC39993" w14:textId="77777777">
      <w:pPr>
        <w:pStyle w:val="Cmsor3"/>
      </w:pPr>
      <w:bookmarkStart w:id="866" w:name="_13vab39mftla" w:colFirst="0" w:colLast="0"/>
      <w:bookmarkStart w:id="867" w:name="_Ref233295189"/>
      <w:bookmarkStart w:id="868" w:name="_Toc243900407"/>
      <w:bookmarkEnd w:id="866"/>
      <w:r>
        <w:t>Globally available markup</w:t>
      </w:r>
      <w:bookmarkEnd w:id="867"/>
      <w:bookmarkEnd w:id="868"/>
    </w:p>
    <w:p w14:paraId="63E77005" w14:textId="77777777">
      <w:pPr>
        <w:rPr>
          <w:lang w:eastAsia="en-US" w:bidi="ar-SA"/>
        </w:rPr>
      </w:pPr>
      <w:r>
        <w:rPr>
          <w:lang w:eastAsia="en-US" w:bidi="ar-SA"/>
        </w:rPr>
        <w:t xml:space="preserve">Translations 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xml:space="preserve">. These include in particular the element </w:t>
      </w:r>
      <w:r>
        <w:rPr>
          <w:rStyle w:val="Code"/>
        </w:rPr>
        <w:t>&lt;foreign&gt;</w:t>
      </w:r>
      <w:r>
        <w:t xml:space="preserve"> for marking up words or phrases in a different language as per §</w:t>
      </w:r>
      <w:r>
        <w:fldChar w:fldCharType="begin"/>
      </w:r>
      <w:r>
        <w:instrText xml:space="preserve"> REF _Ref43986658 \w \h  \* MERGEFORMAT </w:instrText>
      </w:r>
      <w:r>
        <w:fldChar w:fldCharType="separate"/>
      </w:r>
      <w:r>
        <w:t>14.4.2</w:t>
      </w:r>
      <w:r>
        <w:fldChar w:fldCharType="end"/>
      </w:r>
      <w:r>
        <w:t>. Because foreign words are common in translations, we summarise the key details here.</w:t>
      </w:r>
    </w:p>
    <w:p w14:paraId="40C164EE" w14:textId="77777777">
      <w:pPr>
        <w:pStyle w:val="Lista"/>
      </w:pPr>
      <w:r>
        <w:t xml:space="preserve">all words in a language other than the language of the translation must be tagged as </w:t>
      </w:r>
      <w:r>
        <w:rPr>
          <w:rStyle w:val="Code"/>
        </w:rPr>
        <w:t>&lt;foreign&gt;</w:t>
      </w:r>
    </w:p>
    <w:p w14:paraId="5649D4A1" w14:textId="77777777">
      <w:pPr>
        <w:pStyle w:val="Lista"/>
      </w:pPr>
      <w:r>
        <w:t xml:space="preserve">words in a relevant source language do not require the attribute </w:t>
      </w:r>
      <w:r>
        <w:rPr>
          <w:rStyle w:val="Codeattribute"/>
        </w:rPr>
        <w:t>@xml:lang</w:t>
      </w:r>
      <w:r>
        <w:t>, but words in another modern language do</w:t>
      </w:r>
    </w:p>
    <w:p w14:paraId="696EF9FB" w14:textId="77777777">
      <w:pPr>
        <w:pStyle w:val="Lista"/>
      </w:pPr>
      <w:r>
        <w:t>source-language words generally appear in translations in the following ways</w:t>
      </w:r>
    </w:p>
    <w:p w14:paraId="6178F5B0" w14:textId="77777777">
      <w:pPr>
        <w:pStyle w:val="Lista2"/>
      </w:pPr>
      <w:r>
        <w:t>as technical terms which are not translated at all and thus require no additional markup</w:t>
      </w:r>
    </w:p>
    <w:p w14:paraId="7876432A" w14:textId="77777777">
      <w:pPr>
        <w:pStyle w:val="Lista3"/>
      </w:pPr>
      <w:r>
        <w:t xml:space="preserve">e.g. </w:t>
      </w:r>
      <w:r>
        <w:rPr>
          <w:rStyle w:val="Codetext"/>
        </w:rPr>
        <w:t xml:space="preserve">one </w:t>
      </w:r>
      <w:r>
        <w:rPr>
          <w:rStyle w:val="Code"/>
        </w:rPr>
        <w:t>&lt;foreign&gt;</w:t>
      </w:r>
      <w:r>
        <w:rPr>
          <w:rStyle w:val="Codetext"/>
        </w:rPr>
        <w:t>kulyavāpa</w:t>
      </w:r>
      <w:r>
        <w:rPr>
          <w:rStyle w:val="Code"/>
        </w:rPr>
        <w:t>&lt;/foreign&gt;</w:t>
      </w:r>
      <w:r>
        <w:rPr>
          <w:rStyle w:val="Codetext"/>
        </w:rPr>
        <w:t xml:space="preserve"> of land</w:t>
      </w:r>
    </w:p>
    <w:p w14:paraId="6BFBA77A" w14:textId="77777777">
      <w:pPr>
        <w:pStyle w:val="Lista2"/>
      </w:pPr>
      <w:r>
        <w:t>as words of the source inserted for clarification as explanatory additions as per §</w:t>
      </w:r>
      <w:r>
        <w:fldChar w:fldCharType="begin"/>
      </w:r>
      <w:r>
        <w:instrText xml:space="preserve"> REF _Ref233288292 \r \h </w:instrText>
      </w:r>
      <w:r>
        <w:fldChar w:fldCharType="separate"/>
      </w:r>
      <w:r>
        <w:t>11.4.2.2</w:t>
      </w:r>
      <w:r>
        <w:fldChar w:fldCharType="end"/>
      </w:r>
    </w:p>
    <w:p w14:paraId="3054F206" w14:textId="77777777">
      <w:pPr>
        <w:pStyle w:val="Lista2"/>
      </w:pPr>
      <w:r>
        <w:lastRenderedPageBreak/>
        <w:t>as unintelligible text that is not translated, represented by a gap accompanied by an explanatory addition as per §</w:t>
      </w:r>
      <w:r>
        <w:fldChar w:fldCharType="begin"/>
      </w:r>
      <w:r>
        <w:instrText xml:space="preserve"> REF _Ref233295555 \r \h </w:instrText>
      </w:r>
      <w:r>
        <w:fldChar w:fldCharType="separate"/>
      </w:r>
      <w:r>
        <w:t>11.4.3.2</w:t>
      </w:r>
      <w:r>
        <w:fldChar w:fldCharType="end"/>
      </w:r>
    </w:p>
    <w:p w14:paraId="45D5B003" w14:textId="77777777">
      <w:pPr>
        <w:pStyle w:val="Cmsor3"/>
      </w:pPr>
      <w:bookmarkStart w:id="869" w:name="_Ref233295943"/>
      <w:bookmarkStart w:id="870" w:name="_Toc243900408"/>
      <w:r>
        <w:t>Supplied text in the translation</w:t>
      </w:r>
      <w:bookmarkEnd w:id="864"/>
      <w:bookmarkEnd w:id="869"/>
      <w:bookmarkEnd w:id="870"/>
    </w:p>
    <w:p w14:paraId="31CE4925" w14:textId="77777777">
      <w:r>
        <w:t xml:space="preserve">Words, phrases and other chunks of text present in the translation that do not correspond to anything in the source text as received shall as a rule be tagged with the element </w:t>
      </w:r>
      <w:r>
        <w:rPr>
          <w:rStyle w:val="Code"/>
        </w:rPr>
        <w:t>&lt;supplied&gt;</w:t>
      </w:r>
      <w:r>
        <w:t xml:space="preserve">. The usage of this element is illustrated in in </w:t>
      </w:r>
      <w:r>
        <w:fldChar w:fldCharType="begin"/>
      </w:r>
      <w:r>
        <w:instrText xml:space="preserve"> REF _Ref233286760 \h </w:instrText>
      </w:r>
      <w:r>
        <w:fldChar w:fldCharType="separate"/>
      </w:r>
      <w:r>
        <w:t xml:space="preserve">Exhibit </w:t>
      </w:r>
      <w:r>
        <w:rPr>
          <w:noProof/>
        </w:rPr>
        <w:t>13.3</w:t>
      </w:r>
      <w:r>
        <w:t>.</w:t>
      </w:r>
      <w:r>
        <w:rPr>
          <w:noProof/>
        </w:rPr>
        <w:t>B</w:t>
      </w:r>
      <w:r>
        <w:fldChar w:fldCharType="end"/>
      </w:r>
      <w:r>
        <w:t>.</w:t>
      </w:r>
    </w:p>
    <w:p w14:paraId="51D8D30D" w14:textId="77777777">
      <w:pPr>
        <w:pStyle w:val="Lista"/>
      </w:pPr>
      <w:r>
        <w:t xml:space="preserve">in the translation division, </w:t>
      </w:r>
      <w:r>
        <w:rPr>
          <w:rStyle w:val="Code"/>
        </w:rPr>
        <w:t>&lt;supplied&gt;</w:t>
      </w:r>
      <w:r>
        <w:t xml:space="preserve"> shall be used with the following attributes:</w:t>
      </w:r>
    </w:p>
    <w:p w14:paraId="062585EC" w14:textId="77777777">
      <w:pPr>
        <w:pStyle w:val="Lista2"/>
      </w:pPr>
      <w:r>
        <w:t xml:space="preserve">mandatorily, </w:t>
      </w:r>
      <w:r>
        <w:rPr>
          <w:rStyle w:val="Codeattribute"/>
        </w:rPr>
        <w:t>@reason</w:t>
      </w:r>
      <w:r>
        <w:t xml:space="preserve"> to indicate the nature of the editorial addition, as outlined in the following subsections </w:t>
      </w:r>
    </w:p>
    <w:p w14:paraId="6160F026" w14:textId="1C530621">
      <w:pPr>
        <w:pStyle w:val="Lista2"/>
      </w:pPr>
      <w:r>
        <w:t xml:space="preserve">as applicable, </w:t>
      </w:r>
      <w:r>
        <w:rPr>
          <w:rStyle w:val="Codeattribute"/>
        </w:rPr>
        <w:t>@cert</w:t>
      </w:r>
      <w:r>
        <w:rPr>
          <w:rStyle w:val="Code"/>
        </w:rPr>
        <w:t>=</w:t>
      </w:r>
      <w:r>
        <w:rPr>
          <w:rStyle w:val="Codevalue"/>
        </w:rPr>
        <w:t>"low"</w:t>
      </w:r>
      <w:r>
        <w:t xml:space="preserve"> to segments supplied tentatively (cf. §</w:t>
      </w:r>
      <w:r>
        <w:fldChar w:fldCharType="begin"/>
      </w:r>
      <w:r>
        <w:instrText xml:space="preserve"> REF _Ref233988179 \r \h </w:instrText>
      </w:r>
      <w:r>
        <w:fldChar w:fldCharType="separate"/>
      </w:r>
      <w:r>
        <w:t>11.4.4</w:t>
      </w:r>
      <w:r>
        <w:fldChar w:fldCharType="end"/>
      </w:r>
      <w:r>
        <w:t>)</w:t>
      </w:r>
    </w:p>
    <w:tbl>
      <w:tblPr>
        <w:tblStyle w:val="CodeSampleTable"/>
        <w:tblW w:w="5000" w:type="pct"/>
        <w:tblLook w:val="04A0" w:firstRow="1" w:lastRow="0" w:firstColumn="1" w:lastColumn="0" w:noHBand="0" w:noVBand="1"/>
      </w:tblPr>
      <w:tblGrid>
        <w:gridCol w:w="9628"/>
      </w:tblGrid>
      <w:tr w14:paraId="4854B4A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EE9BF17" w14:textId="77777777">
            <w:pPr>
              <w:pStyle w:val="Kpalrs"/>
            </w:pPr>
            <w:r>
              <w:t xml:space="preserve">Exhibit </w:t>
            </w:r>
            <w:fldSimple w:instr=" STYLEREF 2 \s ">
              <w:r>
                <w:rPr>
                  <w:noProof/>
                </w:rPr>
                <w:t>11.4</w:t>
              </w:r>
            </w:fldSimple>
            <w:r>
              <w:t>.</w:t>
            </w:r>
            <w:fldSimple w:instr=" SEQ Exhibit \* ALPHABETIC \s 2 ">
              <w:r>
                <w:rPr>
                  <w:noProof/>
                </w:rPr>
                <w:t>A</w:t>
              </w:r>
            </w:fldSimple>
            <w:r>
              <w:t>: phrase-level markup in translation</w:t>
            </w:r>
          </w:p>
        </w:tc>
      </w:tr>
      <w:tr w14:paraId="480C3726" w14:textId="77777777">
        <w:tc>
          <w:tcPr>
            <w:tcW w:w="5000" w:type="pct"/>
          </w:tcPr>
          <w:p w14:paraId="74A3B964" w14:textId="77777777">
            <w:pPr>
              <w:pStyle w:val="CodeParagraph"/>
            </w:pPr>
            <w:r>
              <w:rPr>
                <w:rStyle w:val="Code"/>
              </w:rPr>
              <w:t xml:space="preserve">&lt;div </w:t>
            </w:r>
            <w:r>
              <w:rPr>
                <w:rStyle w:val="Codeattribute"/>
              </w:rPr>
              <w:t>type</w:t>
            </w:r>
            <w:r>
              <w:rPr>
                <w:rStyle w:val="Code"/>
              </w:rPr>
              <w:t>=</w:t>
            </w:r>
            <w:r>
              <w:rPr>
                <w:rStyle w:val="Codevalue"/>
              </w:rPr>
              <w:t>"translation"</w:t>
            </w:r>
            <w:r>
              <w:rPr>
                <w:rStyle w:val="Code"/>
              </w:rPr>
              <w:t>&gt;</w:t>
            </w:r>
            <w:r>
              <w:rPr>
                <w:rStyle w:val="Codetext"/>
              </w:rPr>
              <w:br/>
            </w:r>
            <w:r>
              <w:rPr>
                <w:rStyle w:val="Code"/>
              </w:rPr>
              <w:t xml:space="preserve">  &lt;p&gt;</w:t>
            </w:r>
            <w:r>
              <w:rPr>
                <w:rStyle w:val="Codetext"/>
              </w:rPr>
              <w:t xml:space="preserve">Indeed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asti</w:t>
            </w:r>
            <w:r>
              <w:rPr>
                <w:rStyle w:val="Code"/>
              </w:rPr>
              <w:t>&lt;/foreign&gt;&lt;/supplied&gt;</w:t>
            </w:r>
            <w:r>
              <w:rPr>
                <w:rStyle w:val="Codetext"/>
              </w:rPr>
              <w:t xml:space="preserve">, with respect to vendible properties in this division, the sale of </w:t>
            </w:r>
            <w:r>
              <w:rPr>
                <w:rStyle w:val="Code"/>
              </w:rPr>
              <w:t xml:space="preserve">&lt;supplied </w:t>
            </w:r>
            <w:r>
              <w:rPr>
                <w:rStyle w:val="Codeattribute"/>
              </w:rPr>
              <w:t>reason</w:t>
            </w:r>
            <w:r>
              <w:rPr>
                <w:rStyle w:val="Code"/>
              </w:rPr>
              <w:t>=</w:t>
            </w:r>
            <w:r>
              <w:rPr>
                <w:rStyle w:val="Codevalue"/>
              </w:rPr>
              <w:t>"explanation"</w:t>
            </w:r>
            <w:r>
              <w:rPr>
                <w:rStyle w:val="Code"/>
              </w:rPr>
              <w:t>&gt;</w:t>
            </w:r>
            <w:r>
              <w:rPr>
                <w:rStyle w:val="Codetext"/>
              </w:rPr>
              <w:t xml:space="preserve">a </w:t>
            </w:r>
            <w:r>
              <w:rPr>
                <w:rStyle w:val="Code"/>
              </w:rPr>
              <w:t>&lt;foreign&gt;</w:t>
            </w:r>
            <w:r>
              <w:rPr>
                <w:rStyle w:val="Codetext"/>
              </w:rPr>
              <w:t>kulyavāpa</w:t>
            </w:r>
            <w:r>
              <w:rPr>
                <w:rStyle w:val="Code"/>
              </w:rPr>
              <w:t>&lt;/foreign&gt;</w:t>
            </w:r>
            <w:r>
              <w:rPr>
                <w:rStyle w:val="Codetext"/>
              </w:rPr>
              <w:t xml:space="preserve"> of</w:t>
            </w:r>
            <w:r>
              <w:rPr>
                <w:rStyle w:val="Code"/>
              </w:rPr>
              <w:t>&lt;/supplied&gt;</w:t>
            </w:r>
            <w:r>
              <w:rPr>
                <w:rStyle w:val="Codetext"/>
              </w:rPr>
              <w:t xml:space="preserve"> waste land that is without revenue charges and yields no tax, to be enjoyed in perpetuity in accordance with the law on permanent endowments, is customary for one hundred </w:t>
            </w:r>
            <w:r>
              <w:rPr>
                <w:rStyle w:val="Code"/>
              </w:rPr>
              <w:t>&lt;foreign&gt;</w:t>
            </w:r>
            <w:r>
              <w:rPr>
                <w:rStyle w:val="Codetext"/>
              </w:rPr>
              <w:t>kārṣāpaṇa</w:t>
            </w:r>
            <w:r>
              <w:rPr>
                <w:rStyle w:val="Code"/>
              </w:rPr>
              <w:t>&lt;/foreign&gt;</w:t>
            </w:r>
            <w:r>
              <w:rPr>
                <w:rStyle w:val="Codetext"/>
              </w:rPr>
              <w:t xml:space="preserve">s. And no conflict of interest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virodha</w:t>
            </w:r>
            <w:r>
              <w:rPr>
                <w:rStyle w:val="Code"/>
              </w:rPr>
              <w:t>&lt;/foreign&gt;&lt;/supplied&gt;</w:t>
            </w:r>
            <w:r>
              <w:rPr>
                <w:rStyle w:val="Codetext"/>
              </w:rPr>
              <w:t xml:space="preserve"> whatsoever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will result</w:t>
            </w:r>
            <w:r>
              <w:rPr>
                <w:rStyle w:val="Code"/>
              </w:rPr>
              <w:t>&lt;/supplied&gt;</w:t>
            </w:r>
            <w:r>
              <w:rPr>
                <w:rStyle w:val="Codetext"/>
              </w:rPr>
              <w:t xml:space="preserve"> through its sale: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on the contrary,</w:t>
            </w:r>
            <w:r>
              <w:rPr>
                <w:rStyle w:val="Code"/>
              </w:rPr>
              <w:t>&lt;/supplied&gt;</w:t>
            </w:r>
            <w:r>
              <w:rPr>
                <w:rStyle w:val="Codetext"/>
              </w:rPr>
              <w:t xml:space="preserve"> for His Majesty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there will be</w:t>
            </w:r>
            <w:r>
              <w:rPr>
                <w:rStyle w:val="Code"/>
              </w:rPr>
              <w:t>&lt;/supplied&gt;</w:t>
            </w:r>
            <w:r>
              <w:rPr>
                <w:rStyle w:val="Codetext"/>
              </w:rPr>
              <w:t xml:space="preserve"> increase of wealth and attainment of one sixth of the merit.</w:t>
            </w:r>
            <w:r>
              <w:rPr>
                <w:rStyle w:val="Code"/>
              </w:rPr>
              <w:t>&lt;/p&gt;</w:t>
            </w:r>
            <w:r>
              <w:rPr>
                <w:rStyle w:val="Codetext"/>
              </w:rPr>
              <w:br/>
            </w:r>
            <w:r>
              <w:rPr>
                <w:rStyle w:val="Code"/>
              </w:rPr>
              <w:t>&lt;/div&gt;</w:t>
            </w:r>
          </w:p>
        </w:tc>
      </w:tr>
    </w:tbl>
    <w:p w14:paraId="53179E32" w14:textId="77777777">
      <w:pPr>
        <w:pStyle w:val="Cmsor4"/>
      </w:pPr>
      <w:bookmarkStart w:id="871" w:name="_Ref233289446"/>
      <w:r>
        <w:t>Essential additions</w:t>
      </w:r>
      <w:bookmarkEnd w:id="871"/>
    </w:p>
    <w:p w14:paraId="4C1CC63F" w14:textId="77777777">
      <w:pPr>
        <w:rPr>
          <w:lang w:eastAsia="en-US" w:bidi="ar-SA"/>
        </w:rPr>
      </w:pPr>
      <w:r>
        <w:rPr>
          <w:lang w:eastAsia="en-US" w:bidi="ar-SA"/>
        </w:rPr>
        <w:t>By essential additions we mean words which are not present in the source but have been added to a translation because the syntax of the target language requires them, or because they improve the fluency or clarity of the text in the target language. Unlike explanatory additions (§</w:t>
      </w:r>
      <w:r>
        <w:rPr>
          <w:lang w:eastAsia="en-US" w:bidi="ar-SA"/>
        </w:rPr>
        <w:fldChar w:fldCharType="begin"/>
      </w:r>
      <w:r>
        <w:rPr>
          <w:lang w:eastAsia="en-US" w:bidi="ar-SA"/>
        </w:rPr>
        <w:instrText xml:space="preserve"> REF _Ref233288292 \r \h </w:instrText>
      </w:r>
      <w:r>
        <w:rPr>
          <w:lang w:eastAsia="en-US" w:bidi="ar-SA"/>
        </w:rPr>
      </w:r>
      <w:r>
        <w:rPr>
          <w:lang w:eastAsia="en-US" w:bidi="ar-SA"/>
        </w:rPr>
        <w:fldChar w:fldCharType="separate"/>
      </w:r>
      <w:r>
        <w:rPr>
          <w:lang w:eastAsia="en-US" w:bidi="ar-SA"/>
        </w:rPr>
        <w:t>11.4.2.2</w:t>
      </w:r>
      <w:r>
        <w:rPr>
          <w:lang w:eastAsia="en-US" w:bidi="ar-SA"/>
        </w:rPr>
        <w:fldChar w:fldCharType="end"/>
      </w:r>
      <w:r>
        <w:rPr>
          <w:lang w:eastAsia="en-US" w:bidi="ar-SA"/>
        </w:rPr>
        <w:t>), essential additions are an integral part of the text in the target language. Such additions are often indicated in scholarly translations by square brackets, and this is how they will be displayed in our system.</w:t>
      </w:r>
    </w:p>
    <w:p w14:paraId="06EE2FD0" w14:textId="77777777">
      <w:pPr>
        <w:pStyle w:val="Normlbehzs"/>
        <w:rPr>
          <w:lang w:eastAsia="en-US" w:bidi="ar-SA"/>
        </w:rPr>
      </w:pPr>
      <w:r>
        <w:rPr>
          <w:lang w:eastAsia="en-US" w:bidi="ar-SA"/>
        </w:rPr>
        <w:t>As DHARMA translations are expected to sound natural in the target language and to prioritise readability over meticulousness, there is no requirement to mark up every minor essential addition such as articles, conjunctions and pronouns.</w:t>
      </w:r>
    </w:p>
    <w:p w14:paraId="7AACF8A1" w14:textId="77777777">
      <w:pPr>
        <w:pStyle w:val="Lista"/>
      </w:pPr>
      <w:r>
        <w:t xml:space="preserve">for </w:t>
      </w:r>
      <w:r>
        <w:rPr>
          <w:lang w:eastAsia="en-US" w:bidi="ar-SA"/>
        </w:rPr>
        <w:t>essential</w:t>
      </w:r>
      <w:r>
        <w:t xml:space="preserve"> additions in the translation, use </w:t>
      </w:r>
      <w:r>
        <w:rPr>
          <w:rStyle w:val="Code"/>
        </w:rPr>
        <w:t xml:space="preserve">&lt;supplied </w:t>
      </w:r>
      <w:r>
        <w:rPr>
          <w:rStyle w:val="Codeattribute"/>
        </w:rPr>
        <w:t>reason</w:t>
      </w:r>
      <w:r>
        <w:rPr>
          <w:rStyle w:val="Code"/>
        </w:rPr>
        <w:t>=</w:t>
      </w:r>
      <w:r>
        <w:rPr>
          <w:rStyle w:val="Codevalue"/>
        </w:rPr>
        <w:t>"subaudible"</w:t>
      </w:r>
      <w:r>
        <w:rPr>
          <w:rStyle w:val="Code"/>
        </w:rPr>
        <w:t>&gt;</w:t>
      </w:r>
      <w:r>
        <w:t>, for example</w:t>
      </w:r>
    </w:p>
    <w:p w14:paraId="58CB2FEC" w14:textId="77777777">
      <w:pPr>
        <w:pStyle w:val="Lista2"/>
        <w:rPr>
          <w:rStyle w:val="Code"/>
          <w:rFonts w:ascii="Gentium" w:hAnsi="Gentium" w:cs="Tiro Devanagari Sanskrit"/>
          <w:noProof w:val="0"/>
          <w:color w:val="auto"/>
          <w:shd w:val="clear" w:color="auto" w:fill="auto"/>
        </w:rPr>
      </w:pPr>
      <w:r>
        <w:rPr>
          <w:rStyle w:val="Code"/>
        </w:rPr>
        <w:t>&lt;p&gt;</w:t>
      </w:r>
      <w:r>
        <w:rPr>
          <w:rStyle w:val="Codetext"/>
        </w:rPr>
        <w:t xml:space="preserve">He was generous to his subjects and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therefore</w:t>
      </w:r>
      <w:r>
        <w:rPr>
          <w:rStyle w:val="Code"/>
        </w:rPr>
        <w:t>&lt;/supplied&gt;</w:t>
      </w:r>
      <w:r>
        <w:rPr>
          <w:rStyle w:val="Codetext"/>
        </w:rPr>
        <w:t xml:space="preserve"> loved </w:t>
      </w:r>
      <w:r>
        <w:rPr>
          <w:rStyle w:val="Code"/>
        </w:rPr>
        <w:t xml:space="preserve">&lt;supplied </w:t>
      </w:r>
      <w:r>
        <w:rPr>
          <w:rStyle w:val="Codeattribute"/>
        </w:rPr>
        <w:t>reason</w:t>
      </w:r>
      <w:r>
        <w:rPr>
          <w:rStyle w:val="Code"/>
        </w:rPr>
        <w:t>=</w:t>
      </w:r>
      <w:r>
        <w:rPr>
          <w:rStyle w:val="Codevalue"/>
        </w:rPr>
        <w:t>"subaudible"</w:t>
      </w:r>
      <w:r>
        <w:rPr>
          <w:rStyle w:val="Code"/>
        </w:rPr>
        <w:t>&gt;</w:t>
      </w:r>
      <w:r>
        <w:rPr>
          <w:rStyle w:val="Codetext"/>
        </w:rPr>
        <w:t>by them</w:t>
      </w:r>
      <w:r>
        <w:rPr>
          <w:rStyle w:val="Code"/>
        </w:rPr>
        <w:t xml:space="preserve">&lt;/supplied&gt; </w:t>
      </w:r>
      <w:r>
        <w:rPr>
          <w:rStyle w:val="Codetext"/>
        </w:rPr>
        <w:t xml:space="preserve">... </w:t>
      </w:r>
      <w:r>
        <w:rPr>
          <w:rStyle w:val="Code"/>
        </w:rPr>
        <w:t>&lt;/p&gt;</w:t>
      </w:r>
    </w:p>
    <w:p w14:paraId="05FA5F42"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additions by using </w:t>
      </w:r>
      <w:r>
        <w:rPr>
          <w:rStyle w:val="Codeattribute"/>
        </w:rPr>
        <w:t>@cert</w:t>
      </w:r>
      <w:r>
        <w:rPr>
          <w:rStyle w:val="Code"/>
        </w:rPr>
        <w:t>=</w:t>
      </w:r>
      <w:r>
        <w:rPr>
          <w:rStyle w:val="Codevalue"/>
        </w:rPr>
        <w:t>"low"</w:t>
      </w:r>
      <w:r>
        <w:t xml:space="preserve"> </w:t>
      </w:r>
    </w:p>
    <w:p w14:paraId="71251761" w14:textId="77777777">
      <w:pPr>
        <w:pStyle w:val="Cmsor4"/>
      </w:pPr>
      <w:bookmarkStart w:id="872" w:name="_Ref233288292"/>
      <w:r>
        <w:t>Explanatory additions</w:t>
      </w:r>
      <w:bookmarkEnd w:id="872"/>
    </w:p>
    <w:p w14:paraId="36FECB1E" w14:textId="77777777">
      <w:pPr>
        <w:rPr>
          <w:lang w:eastAsia="en-US" w:bidi="ar-SA"/>
        </w:rPr>
      </w:pPr>
      <w:r>
        <w:rPr>
          <w:lang w:eastAsia="en-US" w:bidi="ar-SA"/>
        </w:rPr>
        <w:t>By explanatory additions we mean words which are not present in the source but have been added to a translation in order to clarify, elaborate or disambiguate the meaning (or your interpretation) of another word or phrase in the translation. Unlike essential additions (§</w:t>
      </w:r>
      <w:r>
        <w:rPr>
          <w:lang w:eastAsia="en-US" w:bidi="ar-SA"/>
        </w:rPr>
        <w:fldChar w:fldCharType="begin"/>
      </w:r>
      <w:r>
        <w:rPr>
          <w:lang w:eastAsia="en-US" w:bidi="ar-SA"/>
        </w:rPr>
        <w:instrText xml:space="preserve"> REF _Ref233289446 \r \h </w:instrText>
      </w:r>
      <w:r>
        <w:rPr>
          <w:lang w:eastAsia="en-US" w:bidi="ar-SA"/>
        </w:rPr>
      </w:r>
      <w:r>
        <w:rPr>
          <w:lang w:eastAsia="en-US" w:bidi="ar-SA"/>
        </w:rPr>
        <w:fldChar w:fldCharType="separate"/>
      </w:r>
      <w:r>
        <w:rPr>
          <w:lang w:eastAsia="en-US" w:bidi="ar-SA"/>
        </w:rPr>
        <w:t>11.4.2.1</w:t>
      </w:r>
      <w:r>
        <w:rPr>
          <w:lang w:eastAsia="en-US" w:bidi="ar-SA"/>
        </w:rPr>
        <w:fldChar w:fldCharType="end"/>
      </w:r>
      <w:r>
        <w:rPr>
          <w:lang w:eastAsia="en-US" w:bidi="ar-SA"/>
        </w:rPr>
        <w:t>), explanatory additions need not be an integral part of the text in the target language (though they may be set up to be readable without interruption). Such additions are often indicated in scholarly translations by round parentheses, and this is how they will be displayed in our system.</w:t>
      </w:r>
    </w:p>
    <w:p w14:paraId="67C30082" w14:textId="77777777">
      <w:pPr>
        <w:pStyle w:val="Lista"/>
      </w:pPr>
      <w:r>
        <w:t xml:space="preserve">for explanatory additions to the translation, use </w:t>
      </w:r>
      <w:r>
        <w:rPr>
          <w:rStyle w:val="Code"/>
        </w:rPr>
        <w:t xml:space="preserve">&lt;supplied </w:t>
      </w:r>
      <w:r>
        <w:rPr>
          <w:rStyle w:val="Codeattribute"/>
        </w:rPr>
        <w:t>reason</w:t>
      </w:r>
      <w:r>
        <w:rPr>
          <w:rStyle w:val="Code"/>
        </w:rPr>
        <w:t>=</w:t>
      </w:r>
      <w:r>
        <w:rPr>
          <w:rStyle w:val="Codevalue"/>
        </w:rPr>
        <w:t>"explanation"</w:t>
      </w:r>
      <w:r>
        <w:rPr>
          <w:rStyle w:val="Code"/>
        </w:rPr>
        <w:t>&gt;</w:t>
      </w:r>
      <w:r>
        <w:t>, for example</w:t>
      </w:r>
    </w:p>
    <w:p w14:paraId="3EF7676C" w14:textId="77777777">
      <w:pPr>
        <w:pStyle w:val="Lista2"/>
      </w:pPr>
      <w:r>
        <w:rPr>
          <w:rStyle w:val="Code"/>
        </w:rPr>
        <w:t>&lt;p&gt;</w:t>
      </w:r>
      <w:r>
        <w:rPr>
          <w:rStyle w:val="Codetext"/>
        </w:rPr>
        <w:t xml:space="preserve">... devotion to </w:t>
      </w:r>
      <w:r>
        <w:rPr>
          <w:rStyle w:val="Code"/>
        </w:rPr>
        <w:t xml:space="preserve">&lt;supplied </w:t>
      </w:r>
      <w:r>
        <w:rPr>
          <w:rStyle w:val="Codeattribute"/>
        </w:rPr>
        <w:t>reason</w:t>
      </w:r>
      <w:r>
        <w:rPr>
          <w:rStyle w:val="Code"/>
        </w:rPr>
        <w:t>=</w:t>
      </w:r>
      <w:r>
        <w:rPr>
          <w:rStyle w:val="Codevalue"/>
        </w:rPr>
        <w:t>"explanation"</w:t>
      </w:r>
      <w:r>
        <w:rPr>
          <w:rStyle w:val="Code"/>
        </w:rPr>
        <w:t>&gt;</w:t>
      </w:r>
      <w:r>
        <w:rPr>
          <w:rStyle w:val="Codetext"/>
        </w:rPr>
        <w:t>Viṣṇu</w:t>
      </w:r>
      <w:r>
        <w:rPr>
          <w:rStyle w:val="Code"/>
        </w:rPr>
        <w:t>&lt;/supplied&gt;</w:t>
      </w:r>
      <w:r>
        <w:rPr>
          <w:rStyle w:val="Codetext"/>
        </w:rPr>
        <w:t xml:space="preserve"> the bearer of the discus and the mace ... </w:t>
      </w:r>
      <w:r>
        <w:rPr>
          <w:rStyle w:val="Code"/>
        </w:rPr>
        <w:t>&lt;/p&gt;</w:t>
      </w:r>
      <w:r>
        <w:t xml:space="preserve"> </w:t>
      </w:r>
    </w:p>
    <w:p w14:paraId="34477F2A" w14:textId="77777777">
      <w:pPr>
        <w:pStyle w:val="Lista2"/>
      </w:pPr>
      <w:r>
        <w:rPr>
          <w:rStyle w:val="Codetext"/>
        </w:rPr>
        <w:t xml:space="preserve">in order to protect her </w:t>
      </w:r>
      <w:r>
        <w:rPr>
          <w:rStyle w:val="Code"/>
        </w:rPr>
        <w:t xml:space="preserve">&lt;supplied </w:t>
      </w:r>
      <w:r>
        <w:rPr>
          <w:rStyle w:val="Codeattribute"/>
        </w:rPr>
        <w:t>reason=</w:t>
      </w:r>
      <w:r>
        <w:rPr>
          <w:rStyle w:val="Codevalue"/>
        </w:rPr>
        <w:t>"explanation"</w:t>
      </w:r>
      <w:r>
        <w:rPr>
          <w:rStyle w:val="Code"/>
        </w:rPr>
        <w:t>&gt;</w:t>
      </w:r>
      <w:r>
        <w:rPr>
          <w:rStyle w:val="Codetext"/>
        </w:rPr>
        <w:t>the earth</w:t>
      </w:r>
      <w:r>
        <w:rPr>
          <w:rStyle w:val="Code"/>
        </w:rPr>
        <w:t>&lt;/supplied&gt;</w:t>
      </w:r>
      <w:r>
        <w:rPr>
          <w:rStyle w:val="Codetext"/>
        </w:rPr>
        <w:t xml:space="preserve"> with his arms ...</w:t>
      </w:r>
      <w:r>
        <w:t xml:space="preserve"> </w:t>
      </w:r>
    </w:p>
    <w:p w14:paraId="35E63B6F" w14:textId="77777777">
      <w:pPr>
        <w:pStyle w:val="Lista"/>
      </w:pPr>
      <w:r>
        <w:lastRenderedPageBreak/>
        <w:t>when words of the source language are added next to a translated word in order to highlight the specific terminology of the source or to help the reader match parts of the translation to parts of a difficult or ambiguous passage, these are also explanatory additions</w:t>
      </w:r>
    </w:p>
    <w:p w14:paraId="5C82EE9C" w14:textId="77777777">
      <w:pPr>
        <w:pStyle w:val="Lista2"/>
      </w:pPr>
      <w:r>
        <w:t>as per §</w:t>
      </w:r>
      <w:r>
        <w:fldChar w:fldCharType="begin"/>
      </w:r>
      <w:r>
        <w:instrText xml:space="preserve"> REF _Ref233295189 \r \h </w:instrText>
      </w:r>
      <w:r>
        <w:fldChar w:fldCharType="separate"/>
      </w:r>
      <w:r>
        <w:t>11.4.1</w:t>
      </w:r>
      <w:r>
        <w:fldChar w:fldCharType="end"/>
      </w:r>
      <w:r>
        <w:t xml:space="preserve">, such additions must be encoded as </w:t>
      </w:r>
      <w:r>
        <w:rPr>
          <w:rStyle w:val="Code"/>
        </w:rPr>
        <w:t>&lt;foreign&gt;</w:t>
      </w:r>
      <w:r>
        <w:t xml:space="preserve"> in addition to being encoded as explanatory additions</w:t>
      </w:r>
    </w:p>
    <w:p w14:paraId="2608B5FC" w14:textId="77777777">
      <w:pPr>
        <w:pStyle w:val="Lista2"/>
      </w:pPr>
      <w:r>
        <w:t xml:space="preserve">e.g. </w:t>
      </w:r>
      <w:r>
        <w:rPr>
          <w:rStyle w:val="Code"/>
        </w:rPr>
        <w:t>&lt;p&gt;</w:t>
      </w:r>
      <w:r>
        <w:rPr>
          <w:rStyle w:val="Codetext"/>
        </w:rPr>
        <w:t xml:space="preserve">Homage to that thousand-headed Person </w:t>
      </w:r>
      <w:r>
        <w:rPr>
          <w:rStyle w:val="Code"/>
        </w:rPr>
        <w:t xml:space="preserve">&lt;supplied </w:t>
      </w:r>
      <w:r>
        <w:rPr>
          <w:rStyle w:val="Codeattribute"/>
        </w:rPr>
        <w:t>reason</w:t>
      </w:r>
      <w:r>
        <w:rPr>
          <w:rStyle w:val="Code"/>
        </w:rPr>
        <w:t>=</w:t>
      </w:r>
      <w:r>
        <w:rPr>
          <w:rStyle w:val="Codevalue"/>
        </w:rPr>
        <w:t>"explanation"</w:t>
      </w:r>
      <w:r>
        <w:rPr>
          <w:rStyle w:val="Code"/>
        </w:rPr>
        <w:t>&gt;&lt;foreign&gt;</w:t>
      </w:r>
      <w:r>
        <w:rPr>
          <w:rStyle w:val="Codetext"/>
        </w:rPr>
        <w:t>puruṣa</w:t>
      </w:r>
      <w:r>
        <w:rPr>
          <w:rStyle w:val="Code"/>
        </w:rPr>
        <w:t>&lt;/foreign&gt;&lt;/supplied&gt;</w:t>
      </w:r>
      <w:r>
        <w:rPr>
          <w:rStyle w:val="Codetext"/>
        </w:rPr>
        <w:t xml:space="preserve"> ... </w:t>
      </w:r>
      <w:r>
        <w:rPr>
          <w:rStyle w:val="Code"/>
        </w:rPr>
        <w:t>&lt;/p&gt;</w:t>
      </w:r>
    </w:p>
    <w:p w14:paraId="373A39D2"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additions by using </w:t>
      </w:r>
      <w:r>
        <w:rPr>
          <w:rStyle w:val="Codeattribute"/>
        </w:rPr>
        <w:t>@cert</w:t>
      </w:r>
      <w:r>
        <w:rPr>
          <w:rStyle w:val="Code"/>
        </w:rPr>
        <w:t>=</w:t>
      </w:r>
      <w:r>
        <w:rPr>
          <w:rStyle w:val="Codevalue"/>
        </w:rPr>
        <w:t>"low"</w:t>
      </w:r>
      <w:r>
        <w:t xml:space="preserve"> </w:t>
      </w:r>
    </w:p>
    <w:p w14:paraId="4FC90CBF" w14:textId="77777777">
      <w:pPr>
        <w:pStyle w:val="Cmsor4"/>
      </w:pPr>
      <w:bookmarkStart w:id="873" w:name="_Ref233292320"/>
      <w:r>
        <w:t>Restoration of lost text</w:t>
      </w:r>
      <w:bookmarkEnd w:id="873"/>
    </w:p>
    <w:p w14:paraId="6EFAE4F5" w14:textId="77777777">
      <w:pPr>
        <w:rPr>
          <w:b/>
          <w:bCs/>
          <w:lang w:eastAsia="en-US" w:bidi="ar-SA"/>
        </w:rPr>
      </w:pPr>
      <w:r>
        <w:rPr>
          <w:lang w:eastAsia="en-US" w:bidi="ar-SA"/>
        </w:rPr>
        <w:t xml:space="preserve">From the perspective of the translation, lost text is any meaningful and translatable segment that is not present in the source as received but which was presumably written and subsequently lost or rendered illegible. While restored text in a translation usually corresponds to text restored in the edition, this is not necessarily the case. On the one hand, lacunae smaller than words do not have to be indicated in translations, although you may choose to mark up parts of translated words (and especially of names in the translation) as restored when you deem this useful. Otherwise, either forgo markup altogether (if the lacuna is inconsequential) or mark up an entire translated word as supplied (if the lacuna is substantial). On the other hand, it is sometimes possible and expedient to restore key words or notions in the translation even where your edition does not include a restoration because the choice of synonym or phrasing used in the original text cannot be predicted. A translation may thus contain supplied text where an edition contains a </w:t>
      </w:r>
      <w:r>
        <w:rPr>
          <w:rStyle w:val="Code"/>
        </w:rPr>
        <w:t>&lt;gap&gt;</w:t>
      </w:r>
      <w:r>
        <w:t xml:space="preserve"> element instead of a restoration. In this latter case, the </w:t>
      </w:r>
      <w:r>
        <w:rPr>
          <w:rStyle w:val="Code"/>
        </w:rPr>
        <w:t>&lt;gap&gt;</w:t>
      </w:r>
      <w:r>
        <w:t xml:space="preserve"> element in the edition may be illegible rather than lost </w:t>
      </w:r>
      <w:r>
        <w:rPr>
          <w:lang w:eastAsia="en-US" w:bidi="ar-SA"/>
        </w:rPr>
        <w:t>(§</w:t>
      </w:r>
      <w:r>
        <w:rPr>
          <w:lang w:eastAsia="en-US" w:bidi="ar-SA"/>
        </w:rPr>
        <w:fldChar w:fldCharType="begin"/>
      </w:r>
      <w:r>
        <w:rPr>
          <w:lang w:eastAsia="en-US" w:bidi="ar-SA"/>
        </w:rPr>
        <w:instrText xml:space="preserve"> REF _Ref43987758 \r \h </w:instrText>
      </w:r>
      <w:r>
        <w:rPr>
          <w:lang w:eastAsia="en-US" w:bidi="ar-SA"/>
        </w:rPr>
      </w:r>
      <w:r>
        <w:rPr>
          <w:lang w:eastAsia="en-US" w:bidi="ar-SA"/>
        </w:rPr>
        <w:fldChar w:fldCharType="separate"/>
      </w:r>
      <w:r>
        <w:rPr>
          <w:lang w:eastAsia="en-US" w:bidi="ar-SA"/>
        </w:rPr>
        <w:t>6.5.1.1</w:t>
      </w:r>
      <w:r>
        <w:rPr>
          <w:lang w:eastAsia="en-US" w:bidi="ar-SA"/>
        </w:rPr>
        <w:fldChar w:fldCharType="end"/>
      </w:r>
      <w:r>
        <w:rPr>
          <w:lang w:eastAsia="en-US" w:bidi="ar-SA"/>
        </w:rPr>
        <w:t>), but the encoding for the two is identical in the translation.</w:t>
      </w:r>
    </w:p>
    <w:p w14:paraId="2A2E8896" w14:textId="77777777">
      <w:pPr>
        <w:pStyle w:val="Lista"/>
      </w:pPr>
      <w:r>
        <w:t xml:space="preserve">for lost text restored in the translation, use </w:t>
      </w:r>
      <w:r>
        <w:rPr>
          <w:rStyle w:val="Code"/>
        </w:rPr>
        <w:t xml:space="preserve">&lt;supplied </w:t>
      </w:r>
      <w:r>
        <w:rPr>
          <w:rStyle w:val="Codeattribute"/>
        </w:rPr>
        <w:t>reason</w:t>
      </w:r>
      <w:r>
        <w:rPr>
          <w:rStyle w:val="Code"/>
        </w:rPr>
        <w:t>=</w:t>
      </w:r>
      <w:r>
        <w:rPr>
          <w:rStyle w:val="Codevalue"/>
        </w:rPr>
        <w:t>"lost"</w:t>
      </w:r>
      <w:r>
        <w:rPr>
          <w:rStyle w:val="Code"/>
        </w:rPr>
        <w:t>&gt;</w:t>
      </w:r>
      <w:r>
        <w:t>, for example</w:t>
      </w:r>
    </w:p>
    <w:p w14:paraId="563AA673" w14:textId="77777777">
      <w:pPr>
        <w:pStyle w:val="Lista2"/>
      </w:pPr>
      <w:r>
        <w:rPr>
          <w:rStyle w:val="Codetext"/>
        </w:rPr>
        <w:t xml:space="preserve">The truest of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kings</w:t>
      </w:r>
      <w:r>
        <w:rPr>
          <w:rStyle w:val="Code"/>
        </w:rPr>
        <w:t>&lt;/supplied&gt;</w:t>
      </w:r>
      <w:r>
        <w:rPr>
          <w:rStyle w:val="Codetext"/>
        </w:rPr>
        <w:t>...</w:t>
      </w:r>
      <w:r>
        <w:t xml:space="preserve"> </w:t>
      </w:r>
    </w:p>
    <w:p w14:paraId="23108051" w14:textId="77777777">
      <w:pPr>
        <w:pStyle w:val="Lista3"/>
      </w:pPr>
      <w:r>
        <w:t xml:space="preserve">corresponding to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nr̥pa</w:t>
      </w:r>
      <w:r>
        <w:rPr>
          <w:rStyle w:val="Code"/>
        </w:rPr>
        <w:t>&lt;/supplied&gt;</w:t>
      </w:r>
      <w:r>
        <w:rPr>
          <w:rStyle w:val="Codetext"/>
        </w:rPr>
        <w:t>-sattamaḥ</w:t>
      </w:r>
      <w:r>
        <w:t xml:space="preserve"> in the edition</w:t>
      </w:r>
    </w:p>
    <w:p w14:paraId="4B17648A" w14:textId="77777777">
      <w:pPr>
        <w:pStyle w:val="Lista2"/>
      </w:pPr>
      <w:r>
        <w:t xml:space="preserve"> </w:t>
      </w:r>
      <w:r>
        <w:rPr>
          <w:rStyle w:val="Codetext"/>
        </w:rPr>
        <w:t xml:space="preserve">The village named Vaṭatīrtha </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was granted</w:t>
      </w:r>
      <w:r>
        <w:rPr>
          <w:rStyle w:val="Code"/>
        </w:rPr>
        <w:t>&lt;/supplied&gt;</w:t>
      </w:r>
      <w:r>
        <w:rPr>
          <w:rStyle w:val="Codetext"/>
        </w:rPr>
        <w:t>...</w:t>
      </w:r>
      <w:r>
        <w:t xml:space="preserve"> </w:t>
      </w:r>
    </w:p>
    <w:p w14:paraId="5B78D60D" w14:textId="77777777">
      <w:pPr>
        <w:pStyle w:val="Lista3"/>
      </w:pPr>
      <w:r>
        <w:t xml:space="preserve">corresponding to </w:t>
      </w:r>
      <w:r>
        <w:rPr>
          <w:rStyle w:val="Codetext"/>
        </w:rPr>
        <w:t xml:space="preserve">...vaṭatīrthaṁ nāma grāmaḥ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/&gt;</w:t>
      </w:r>
      <w:r>
        <w:t xml:space="preserve"> in the edition</w:t>
      </w:r>
    </w:p>
    <w:p w14:paraId="45B89B58" w14:textId="77777777">
      <w:pPr>
        <w:pStyle w:val="Lista3"/>
      </w:pPr>
      <w:r>
        <w:t xml:space="preserve">as well as to </w:t>
      </w:r>
      <w:r>
        <w:rPr>
          <w:rStyle w:val="Codetext"/>
        </w:rPr>
        <w:t xml:space="preserve">...vaṭatīrthaṁ nāma grāmaḥ </w:t>
      </w:r>
      <w:r>
        <w:rPr>
          <w:rStyle w:val="Code"/>
        </w:rPr>
        <w:t xml:space="preserve">&lt;gap </w:t>
      </w:r>
      <w:r>
        <w:rPr>
          <w:rStyle w:val="Codeattribute"/>
        </w:rPr>
        <w:t>reason</w:t>
      </w:r>
      <w:r>
        <w:rPr>
          <w:rStyle w:val="Code"/>
        </w:rPr>
        <w:t>=</w:t>
      </w:r>
      <w:r>
        <w:rPr>
          <w:rStyle w:val="Codevalue"/>
        </w:rPr>
        <w:t>"illegible"</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/&gt;</w:t>
      </w:r>
      <w:r>
        <w:t xml:space="preserve"> in the edition</w:t>
      </w:r>
    </w:p>
    <w:p w14:paraId="562C6B04"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restorations by using </w:t>
      </w:r>
      <w:r>
        <w:rPr>
          <w:rStyle w:val="Codeattribute"/>
        </w:rPr>
        <w:t>@cert</w:t>
      </w:r>
      <w:r>
        <w:rPr>
          <w:rStyle w:val="Code"/>
        </w:rPr>
        <w:t>=</w:t>
      </w:r>
      <w:r>
        <w:rPr>
          <w:rStyle w:val="Codevalue"/>
        </w:rPr>
        <w:t>"low"</w:t>
      </w:r>
      <w:r>
        <w:t xml:space="preserve"> </w:t>
      </w:r>
    </w:p>
    <w:p w14:paraId="01124F73" w14:textId="77777777">
      <w:pPr>
        <w:pStyle w:val="Cmsor4"/>
      </w:pPr>
      <w:r>
        <w:t>Restoration of omitted text</w:t>
      </w:r>
    </w:p>
    <w:p w14:paraId="367E9DD5" w14:textId="77777777">
      <w:pPr>
        <w:rPr>
          <w:lang w:eastAsia="en-US" w:bidi="ar-SA"/>
        </w:rPr>
      </w:pPr>
      <w:r>
        <w:rPr>
          <w:lang w:eastAsia="en-US" w:bidi="ar-SA"/>
        </w:rPr>
        <w:t>From the perspective of the translation, omitted text is any meaningful and translatable segment that is not present in the source as received but, according to the editor, should have been written and was omitted due to scribal mistake. As with the restoration of lost text (§</w:t>
      </w:r>
      <w:r>
        <w:rPr>
          <w:lang w:eastAsia="en-US" w:bidi="ar-SA"/>
        </w:rPr>
        <w:fldChar w:fldCharType="begin"/>
      </w:r>
      <w:r>
        <w:rPr>
          <w:lang w:eastAsia="en-US" w:bidi="ar-SA"/>
        </w:rPr>
        <w:instrText xml:space="preserve"> REF _Ref233292320 \r \h </w:instrText>
      </w:r>
      <w:r>
        <w:rPr>
          <w:lang w:eastAsia="en-US" w:bidi="ar-SA"/>
        </w:rPr>
      </w:r>
      <w:r>
        <w:rPr>
          <w:lang w:eastAsia="en-US" w:bidi="ar-SA"/>
        </w:rPr>
        <w:fldChar w:fldCharType="separate"/>
      </w:r>
      <w:r>
        <w:rPr>
          <w:lang w:eastAsia="en-US" w:bidi="ar-SA"/>
        </w:rPr>
        <w:t>11.4.2.3</w:t>
      </w:r>
      <w:r>
        <w:rPr>
          <w:lang w:eastAsia="en-US" w:bidi="ar-SA"/>
        </w:rPr>
        <w:fldChar w:fldCharType="end"/>
      </w:r>
      <w:r>
        <w:rPr>
          <w:lang w:eastAsia="en-US" w:bidi="ar-SA"/>
        </w:rPr>
        <w:t>), omissions smaller than words do not necessarily require markup in translation, and words may be restored in a translation even if they are not restored in the edition.</w:t>
      </w:r>
    </w:p>
    <w:p w14:paraId="3279D0EB" w14:textId="77777777">
      <w:pPr>
        <w:pStyle w:val="Lista"/>
      </w:pPr>
      <w:r>
        <w:t xml:space="preserve">for omitted text restored in the translation, use </w:t>
      </w:r>
      <w:r>
        <w:rPr>
          <w:rStyle w:val="Code"/>
        </w:rPr>
        <w:t xml:space="preserve">&lt;supplied </w:t>
      </w:r>
      <w:r>
        <w:rPr>
          <w:rStyle w:val="Codeattribute"/>
        </w:rPr>
        <w:t>reason</w:t>
      </w:r>
      <w:r>
        <w:rPr>
          <w:rStyle w:val="Code"/>
        </w:rPr>
        <w:t>=</w:t>
      </w:r>
      <w:r>
        <w:rPr>
          <w:rStyle w:val="Codevalue"/>
        </w:rPr>
        <w:t>"omitted"</w:t>
      </w:r>
      <w:r>
        <w:rPr>
          <w:rStyle w:val="Code"/>
        </w:rPr>
        <w:t>&gt;</w:t>
      </w:r>
      <w:r>
        <w:t>, for example</w:t>
      </w:r>
    </w:p>
    <w:p w14:paraId="065092D4" w14:textId="77777777">
      <w:pPr>
        <w:pStyle w:val="Lista2"/>
      </w:pPr>
      <w:r>
        <w:rPr>
          <w:rStyle w:val="Codetext"/>
        </w:rPr>
        <w:t xml:space="preserve">The truest of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kings</w:t>
      </w:r>
      <w:r>
        <w:rPr>
          <w:rStyle w:val="Code"/>
        </w:rPr>
        <w:t>&lt;/supplied&gt;</w:t>
      </w:r>
      <w:r>
        <w:rPr>
          <w:rStyle w:val="Codetext"/>
        </w:rPr>
        <w:t>...</w:t>
      </w:r>
      <w:r>
        <w:t xml:space="preserve"> </w:t>
      </w:r>
    </w:p>
    <w:p w14:paraId="5C1D7F1E" w14:textId="77777777">
      <w:pPr>
        <w:pStyle w:val="Lista3"/>
      </w:pPr>
      <w:r>
        <w:t xml:space="preserve">corresponding to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nr̥pa</w:t>
      </w:r>
      <w:r>
        <w:rPr>
          <w:rStyle w:val="Code"/>
        </w:rPr>
        <w:t>&lt;/supplied&gt;</w:t>
      </w:r>
      <w:r>
        <w:rPr>
          <w:rStyle w:val="Codetext"/>
        </w:rPr>
        <w:t>-sattamaḥ</w:t>
      </w:r>
      <w:r>
        <w:t xml:space="preserve"> in the edition</w:t>
      </w:r>
    </w:p>
    <w:p w14:paraId="72A29343" w14:textId="77777777">
      <w:pPr>
        <w:pStyle w:val="Lista"/>
      </w:pPr>
      <w:r>
        <w:t>as per §</w:t>
      </w:r>
      <w:r>
        <w:fldChar w:fldCharType="begin"/>
      </w:r>
      <w:r>
        <w:instrText xml:space="preserve"> REF _Ref233988179 \r \h </w:instrText>
      </w:r>
      <w:r>
        <w:fldChar w:fldCharType="separate"/>
      </w:r>
      <w:r>
        <w:t>11.4.4</w:t>
      </w:r>
      <w:r>
        <w:fldChar w:fldCharType="end"/>
      </w:r>
      <w:r>
        <w:t xml:space="preserve">, distinguish tentative restorations by using </w:t>
      </w:r>
      <w:r>
        <w:rPr>
          <w:rStyle w:val="Codeattribute"/>
        </w:rPr>
        <w:t>@cert</w:t>
      </w:r>
      <w:r>
        <w:rPr>
          <w:rStyle w:val="Code"/>
        </w:rPr>
        <w:t>=</w:t>
      </w:r>
      <w:r>
        <w:rPr>
          <w:rStyle w:val="Codevalue"/>
        </w:rPr>
        <w:t>"low"</w:t>
      </w:r>
      <w:r>
        <w:t xml:space="preserve"> </w:t>
      </w:r>
    </w:p>
    <w:p w14:paraId="61F86AB9" w14:textId="77777777">
      <w:pPr>
        <w:pStyle w:val="Cmsor3"/>
      </w:pPr>
      <w:bookmarkStart w:id="874" w:name="_Ref43990112"/>
      <w:bookmarkStart w:id="875" w:name="_Toc243900409"/>
      <w:r>
        <w:t>Gaps in the translation</w:t>
      </w:r>
      <w:bookmarkEnd w:id="874"/>
      <w:bookmarkEnd w:id="875"/>
    </w:p>
    <w:p w14:paraId="12231EF1" w14:textId="77777777">
      <w:pPr>
        <w:rPr>
          <w:lang w:eastAsia="en-US" w:bidi="ar-SA"/>
        </w:rPr>
      </w:pPr>
      <w:r>
        <w:rPr>
          <w:lang w:eastAsia="en-US" w:bidi="ar-SA"/>
        </w:rPr>
        <w:t xml:space="preserve">Gaps in the translation, i.e. spots where there is no translated text even though text is or once was present in the source, are encoded using the element </w:t>
      </w:r>
      <w:r>
        <w:rPr>
          <w:rStyle w:val="Code"/>
        </w:rPr>
        <w:t>&lt;gap&gt;</w:t>
      </w:r>
      <w:r>
        <w:t>, with attributes as described in the following subsections.</w:t>
      </w:r>
    </w:p>
    <w:p w14:paraId="6866ADF5" w14:textId="77777777">
      <w:pPr>
        <w:pStyle w:val="Cmsor4"/>
      </w:pPr>
      <w:r>
        <w:lastRenderedPageBreak/>
        <w:t>Lacunae in the translated text</w:t>
      </w:r>
    </w:p>
    <w:p w14:paraId="462C88DD" w14:textId="77777777">
      <w:pPr>
        <w:pStyle w:val="Lista"/>
      </w:pPr>
      <w:r>
        <w:t xml:space="preserve">when a translation has a gap because there is a lacuna in the source, use the element </w:t>
      </w:r>
      <w:r>
        <w:rPr>
          <w:rStyle w:val="Code"/>
        </w:rPr>
        <w:t>&lt;gap&gt;</w:t>
      </w:r>
      <w:r>
        <w:t xml:space="preserve"> with the same values of </w:t>
      </w:r>
      <w:r>
        <w:rPr>
          <w:rStyle w:val="Codeattribute"/>
        </w:rPr>
        <w:t>@reason</w:t>
      </w:r>
      <w:r>
        <w:t xml:space="preserve"> as those encoded on the lacuna in the edition (as per §</w:t>
      </w:r>
      <w:r>
        <w:fldChar w:fldCharType="begin"/>
      </w:r>
      <w:r>
        <w:instrText xml:space="preserve"> REF _Ref43987758 \w \h  \* MERGEFORMAT </w:instrText>
      </w:r>
      <w:r>
        <w:fldChar w:fldCharType="separate"/>
      </w:r>
      <w:r>
        <w:t>6.5.1.1</w:t>
      </w:r>
      <w:r>
        <w:fldChar w:fldCharType="end"/>
      </w:r>
      <w:r>
        <w:t xml:space="preserve">), namely </w:t>
      </w:r>
      <w:r>
        <w:rPr>
          <w:rStyle w:val="Codevalue"/>
        </w:rPr>
        <w:t>"lost"</w:t>
      </w:r>
      <w:r>
        <w:t xml:space="preserve">, </w:t>
      </w:r>
      <w:r>
        <w:rPr>
          <w:rStyle w:val="Codevalue"/>
        </w:rPr>
        <w:t>"illegible"</w:t>
      </w:r>
      <w:r>
        <w:t xml:space="preserve"> or </w:t>
      </w:r>
      <w:r>
        <w:rPr>
          <w:rStyle w:val="Codevalue"/>
        </w:rPr>
        <w:t>"undefined"</w:t>
      </w:r>
    </w:p>
    <w:p w14:paraId="358B5F9A" w14:textId="77777777">
      <w:pPr>
        <w:pStyle w:val="Lista2"/>
      </w:pPr>
      <w:r>
        <w:t xml:space="preserve">it is not mandatory to encode the size of the lacuna in the edition, so </w:t>
      </w:r>
      <w:r>
        <w:rPr>
          <w:rStyle w:val="Code"/>
        </w:rPr>
        <w:t>&lt;gap&gt;</w:t>
      </w:r>
      <w:r>
        <w:t xml:space="preserve"> may be used without any additional attributes</w:t>
      </w:r>
    </w:p>
    <w:p w14:paraId="3EDF5E34" w14:textId="77777777">
      <w:pPr>
        <w:pStyle w:val="Lista2"/>
      </w:pPr>
      <w:r>
        <w:t xml:space="preserve">however, when you deem it essential to present accurate details of a lacuna in the translated text, you may optionally use the attributes </w:t>
      </w:r>
      <w:r>
        <w:rPr>
          <w:rStyle w:val="Codeattribute"/>
        </w:rPr>
        <w:t>@unit</w:t>
      </w:r>
      <w:r>
        <w:t xml:space="preserve">, </w:t>
      </w:r>
      <w:r>
        <w:rPr>
          <w:rStyle w:val="Codeattribute"/>
        </w:rPr>
        <w:t>@quantity</w:t>
      </w:r>
      <w:r>
        <w:t xml:space="preserve"> and </w:t>
      </w:r>
      <w:r>
        <w:rPr>
          <w:rStyle w:val="Codeattribute"/>
        </w:rPr>
        <w:t>@precision</w:t>
      </w:r>
      <w:r>
        <w:t xml:space="preserve"> as set out in §</w:t>
      </w:r>
      <w:r>
        <w:fldChar w:fldCharType="begin"/>
      </w:r>
      <w:r>
        <w:instrText xml:space="preserve"> REF _Ref228262228 \r \h </w:instrText>
      </w:r>
      <w:r>
        <w:fldChar w:fldCharType="separate"/>
      </w:r>
      <w:r>
        <w:t>6.5.1.2</w:t>
      </w:r>
      <w:r>
        <w:fldChar w:fldCharType="end"/>
      </w:r>
      <w:r>
        <w:t>, with the following additional considerations:</w:t>
      </w:r>
    </w:p>
    <w:p w14:paraId="1A2DC0C4" w14:textId="77777777">
      <w:pPr>
        <w:pStyle w:val="Lista3"/>
      </w:pPr>
      <w:r>
        <w:t xml:space="preserve">fractional numbers </w:t>
      </w:r>
      <w:r>
        <w:rPr>
          <w:noProof/>
        </w:rPr>
        <w:t>(</w:t>
      </w:r>
      <w:r>
        <w:t xml:space="preserve">decimal fractions) for </w:t>
      </w:r>
      <w:r>
        <w:rPr>
          <w:rStyle w:val="Codeattribute"/>
        </w:rPr>
        <w:t>@quantity</w:t>
      </w:r>
      <w:r>
        <w:t xml:space="preserve"> are permitted in this case, even though they cannot be used in the edition</w:t>
      </w:r>
    </w:p>
    <w:p w14:paraId="6848EACE" w14:textId="77777777">
      <w:pPr>
        <w:pStyle w:val="Lista3"/>
      </w:pPr>
      <w:r>
        <w:rPr>
          <w:rStyle w:val="Codeattribute"/>
        </w:rPr>
        <w:t>@unit</w:t>
      </w:r>
      <w:r>
        <w:t xml:space="preserve"> may be </w:t>
      </w:r>
      <w:r>
        <w:rPr>
          <w:rStyle w:val="Codevalue"/>
        </w:rPr>
        <w:t>"line"</w:t>
      </w:r>
      <w:r>
        <w:t xml:space="preserve"> even if a multiline lacuna is represented in the edition as a series of inline lacunae</w:t>
      </w:r>
    </w:p>
    <w:p w14:paraId="5064C53D" w14:textId="77777777">
      <w:pPr>
        <w:pStyle w:val="Lista3"/>
      </w:pPr>
      <w:r>
        <w:t xml:space="preserve">no other methods of lacuna markup shall be used in translations, i.e. avoid the use of </w:t>
      </w:r>
      <w:r>
        <w:rPr>
          <w:rStyle w:val="Codeattribute"/>
        </w:rPr>
        <w:t>@extent</w:t>
      </w:r>
      <w:r>
        <w:t xml:space="preserve"> and the encoding of </w:t>
      </w:r>
      <w:r>
        <w:rPr>
          <w:noProof/>
        </w:rPr>
        <w:t>sub-</w:t>
      </w:r>
      <w:r>
        <w:rPr>
          <w:rStyle w:val="Foreign"/>
        </w:rPr>
        <w:t>akṣara</w:t>
      </w:r>
      <w:r>
        <w:t xml:space="preserve"> lacunae</w:t>
      </w:r>
    </w:p>
    <w:p w14:paraId="44EF9E49" w14:textId="77777777">
      <w:pPr>
        <w:pStyle w:val="Cmsor4"/>
      </w:pPr>
      <w:bookmarkStart w:id="876" w:name="_Ref233295555"/>
      <w:r>
        <w:t>Unintelligible source text</w:t>
      </w:r>
      <w:bookmarkEnd w:id="876"/>
    </w:p>
    <w:p w14:paraId="37982A4A" w14:textId="77777777">
      <w:pPr>
        <w:pStyle w:val="Lista"/>
      </w:pPr>
      <w:r>
        <w:t xml:space="preserve">when a translation has a gap because part of the source text cannot be interpreted to produce even a tentative translation, use the element </w:t>
      </w:r>
      <w:r>
        <w:rPr>
          <w:rStyle w:val="Code"/>
        </w:rPr>
        <w:t>&lt;gap&gt;</w:t>
      </w:r>
      <w:r>
        <w:t xml:space="preserve"> with </w:t>
      </w:r>
      <w:r>
        <w:rPr>
          <w:rStyle w:val="Codeattribute"/>
        </w:rPr>
        <w:t>@reason=</w:t>
      </w:r>
      <w:r>
        <w:rPr>
          <w:rStyle w:val="Codevalue"/>
        </w:rPr>
        <w:t>"ellipsis"</w:t>
      </w:r>
      <w:r>
        <w:t xml:space="preserve">, without any further attributes </w:t>
      </w:r>
    </w:p>
    <w:p w14:paraId="639B3591" w14:textId="77777777">
      <w:pPr>
        <w:pStyle w:val="Lista"/>
      </w:pPr>
      <w:r>
        <w:t>after this element, insert either or both of the following</w:t>
      </w:r>
    </w:p>
    <w:p w14:paraId="5462EFF7" w14:textId="77777777">
      <w:pPr>
        <w:pStyle w:val="Lista2"/>
      </w:pPr>
      <w:r>
        <w:t>the verbatim received text encoded as an explanatory addition to the translation (§</w:t>
      </w:r>
      <w:r>
        <w:fldChar w:fldCharType="begin"/>
      </w:r>
      <w:r>
        <w:instrText xml:space="preserve"> REF _Ref233288292 \r \h </w:instrText>
      </w:r>
      <w:r>
        <w:fldChar w:fldCharType="separate"/>
      </w:r>
      <w:r>
        <w:t>11.4.2.2</w:t>
      </w:r>
      <w:r>
        <w:fldChar w:fldCharType="end"/>
      </w:r>
      <w:r>
        <w:t>)</w:t>
      </w:r>
    </w:p>
    <w:p w14:paraId="729CACF8" w14:textId="77777777">
      <w:pPr>
        <w:pStyle w:val="Lista3"/>
      </w:pPr>
      <w:r>
        <w:t xml:space="preserve">e.g. </w:t>
      </w:r>
      <w:r>
        <w:rPr>
          <w:rStyle w:val="Codetext"/>
        </w:rPr>
        <w:t>To the east, the</w:t>
      </w:r>
      <w:r>
        <w:rPr>
          <w:rStyle w:val="Code"/>
        </w:rPr>
        <w:t xml:space="preserve"> &lt;gap </w:t>
      </w:r>
      <w:r>
        <w:rPr>
          <w:rStyle w:val="Codeattribute"/>
        </w:rPr>
        <w:t>reason=</w:t>
      </w:r>
      <w:r>
        <w:rPr>
          <w:rStyle w:val="Codevalue"/>
        </w:rPr>
        <w:t>"ellipsis"</w:t>
      </w:r>
      <w:r>
        <w:rPr>
          <w:rStyle w:val="Code"/>
        </w:rPr>
        <w:t>/&gt;</w:t>
      </w:r>
      <w:r>
        <w:rPr>
          <w:rStyle w:val="Codetext"/>
        </w:rPr>
        <w:t xml:space="preserve"> </w:t>
      </w:r>
      <w:r>
        <w:rPr>
          <w:rStyle w:val="Code"/>
        </w:rPr>
        <w:t xml:space="preserve">&lt;supplied </w:t>
      </w:r>
      <w:r>
        <w:rPr>
          <w:rStyle w:val="Codeattribute"/>
        </w:rPr>
        <w:t>reason=</w:t>
      </w:r>
      <w:r>
        <w:rPr>
          <w:rStyle w:val="Codevalue"/>
        </w:rPr>
        <w:t>"explanation"</w:t>
      </w:r>
      <w:r>
        <w:rPr>
          <w:rStyle w:val="Code"/>
        </w:rPr>
        <w:t>&gt;&lt;foreign&gt;majjaya-paṭu&lt;/foreign&gt;&lt;/supplied&gt;</w:t>
      </w:r>
      <w:r>
        <w:rPr>
          <w:rStyle w:val="Codetext"/>
        </w:rPr>
        <w:t xml:space="preserve"> of Badirāla</w:t>
      </w:r>
    </w:p>
    <w:p w14:paraId="7FA4A8EA" w14:textId="77777777">
      <w:pPr>
        <w:pStyle w:val="Lista2"/>
      </w:pPr>
      <w:r>
        <w:t xml:space="preserve">a </w:t>
      </w:r>
      <w:r>
        <w:rPr>
          <w:rStyle w:val="Code"/>
        </w:rPr>
        <w:t>&lt;note&gt;</w:t>
      </w:r>
      <w:r>
        <w:t xml:space="preserve"> element (§</w:t>
      </w:r>
      <w:r>
        <w:fldChar w:fldCharType="begin"/>
      </w:r>
      <w:r>
        <w:instrText xml:space="preserve"> REF _Ref43989684 \r \h </w:instrText>
      </w:r>
      <w:r>
        <w:fldChar w:fldCharType="separate"/>
      </w:r>
      <w:r>
        <w:t>14.5</w:t>
      </w:r>
      <w:r>
        <w:fldChar w:fldCharType="end"/>
      </w:r>
      <w:r>
        <w:t>) to explain the nature of the unintelligible segment</w:t>
      </w:r>
    </w:p>
    <w:p w14:paraId="6AF11EE7" w14:textId="77777777">
      <w:pPr>
        <w:pStyle w:val="Cmsor4"/>
      </w:pPr>
      <w:bookmarkStart w:id="877" w:name="_Ref233298630"/>
      <w:r>
        <w:t>Passages omitted from translation</w:t>
      </w:r>
      <w:bookmarkEnd w:id="877"/>
    </w:p>
    <w:p w14:paraId="3F3B7489" w14:textId="77777777">
      <w:r>
        <w:rPr>
          <w:lang w:eastAsia="en-US" w:bidi="ar-SA"/>
        </w:rPr>
        <w:t xml:space="preserve">Translations, especially previously published translations, may contain gaps for no particular reason, primarily when a segment of the text was considered </w:t>
      </w:r>
      <w:r>
        <w:t>too trivial to translate.</w:t>
      </w:r>
    </w:p>
    <w:p w14:paraId="66F285E8" w14:textId="77777777">
      <w:pPr>
        <w:pStyle w:val="Lista"/>
      </w:pPr>
      <w:r>
        <w:t xml:space="preserve">when a translation has a gap for reasons other than a lacuna in the source or unintelligible source text, use the element </w:t>
      </w:r>
      <w:r>
        <w:rPr>
          <w:rStyle w:val="Code"/>
        </w:rPr>
        <w:t>&lt;gap&gt;</w:t>
      </w:r>
      <w:r>
        <w:t xml:space="preserve"> with </w:t>
      </w:r>
      <w:r>
        <w:rPr>
          <w:rStyle w:val="Codeattribute"/>
        </w:rPr>
        <w:t>@reason=</w:t>
      </w:r>
      <w:r>
        <w:rPr>
          <w:rStyle w:val="Codevalue"/>
        </w:rPr>
        <w:t>"ellipsis"</w:t>
      </w:r>
      <w:r>
        <w:t>, without any further attributes</w:t>
      </w:r>
    </w:p>
    <w:p w14:paraId="010802D5" w14:textId="77777777">
      <w:pPr>
        <w:pStyle w:val="Lista"/>
      </w:pPr>
      <w:r>
        <w:t xml:space="preserve">preferably, after the </w:t>
      </w:r>
      <w:r>
        <w:rPr>
          <w:rStyle w:val="Code"/>
        </w:rPr>
        <w:t>&lt;supplied&gt;</w:t>
      </w:r>
      <w:r>
        <w:t xml:space="preserve"> element, add a </w:t>
      </w:r>
      <w:r>
        <w:rPr>
          <w:rStyle w:val="Code"/>
        </w:rPr>
        <w:t>&lt;note&gt;</w:t>
      </w:r>
      <w:r>
        <w:t xml:space="preserve"> element (§</w:t>
      </w:r>
      <w:r>
        <w:fldChar w:fldCharType="begin"/>
      </w:r>
      <w:r>
        <w:instrText xml:space="preserve"> REF _Ref43989684 \r \h </w:instrText>
      </w:r>
      <w:r>
        <w:fldChar w:fldCharType="separate"/>
      </w:r>
      <w:r>
        <w:t>14.5</w:t>
      </w:r>
      <w:r>
        <w:fldChar w:fldCharType="end"/>
      </w:r>
      <w:r>
        <w:t>) with an explanation of why the text has not been translated</w:t>
      </w:r>
    </w:p>
    <w:p w14:paraId="2B6147EC" w14:textId="77777777">
      <w:pPr>
        <w:pStyle w:val="Cmsor3"/>
      </w:pPr>
      <w:bookmarkStart w:id="878" w:name="_ch9cnmcz0pvb" w:colFirst="0" w:colLast="0"/>
      <w:bookmarkStart w:id="879" w:name="_lqyt4grwngxw" w:colFirst="0" w:colLast="0"/>
      <w:bookmarkStart w:id="880" w:name="_Ref233988179"/>
      <w:bookmarkStart w:id="881" w:name="_Toc243900410"/>
      <w:bookmarkEnd w:id="865"/>
      <w:bookmarkEnd w:id="878"/>
      <w:bookmarkEnd w:id="879"/>
      <w:r>
        <w:t>Tentative translation</w:t>
      </w:r>
      <w:bookmarkEnd w:id="880"/>
      <w:bookmarkEnd w:id="881"/>
    </w:p>
    <w:p w14:paraId="4E10F875" w14:textId="77777777">
      <w:pPr>
        <w:rPr>
          <w:lang w:eastAsia="en-US" w:bidi="ar-SA"/>
        </w:rPr>
      </w:pPr>
      <w:r>
        <w:rPr>
          <w:lang w:eastAsia="en-US" w:bidi="ar-SA"/>
        </w:rPr>
        <w:t>When the source is difficult to interpret and a word, phrase or passage of your translation is tentative or reflects only one of several possible interpretations, encode this as follows.</w:t>
      </w:r>
    </w:p>
    <w:p w14:paraId="7C189008" w14:textId="77777777">
      <w:pPr>
        <w:pStyle w:val="Lista"/>
      </w:pPr>
      <w:r>
        <w:t xml:space="preserve">for the tentative translation of words and phrases present in the source as received, wrap the relevant part of the translation in the element </w:t>
      </w:r>
      <w:r>
        <w:rPr>
          <w:rStyle w:val="Code"/>
        </w:rPr>
        <w:t>&lt;seg&gt;</w:t>
      </w:r>
      <w:r>
        <w:t xml:space="preserve"> with the mandatory attribute </w:t>
      </w:r>
      <w:r>
        <w:rPr>
          <w:rStyle w:val="Codeattribute"/>
        </w:rPr>
        <w:t>@cert</w:t>
      </w:r>
      <w:r>
        <w:rPr>
          <w:rStyle w:val="Code"/>
        </w:rPr>
        <w:t>=</w:t>
      </w:r>
      <w:r>
        <w:rPr>
          <w:rStyle w:val="Codevalue"/>
        </w:rPr>
        <w:t>"low"</w:t>
      </w:r>
    </w:p>
    <w:p w14:paraId="555A7E3D" w14:textId="77777777">
      <w:pPr>
        <w:pStyle w:val="Lista2"/>
      </w:pPr>
      <w:r>
        <w:t xml:space="preserve">e.g.  </w:t>
      </w:r>
      <w:r>
        <w:rPr>
          <w:rStyle w:val="Code"/>
        </w:rPr>
        <w:t>&lt;p&gt;</w:t>
      </w:r>
      <w:r>
        <w:rPr>
          <w:rStyle w:val="Codetext"/>
        </w:rPr>
        <w:t xml:space="preserve">Out of the hundred and </w:t>
      </w:r>
      <w:r>
        <w:rPr>
          <w:rStyle w:val="Code"/>
        </w:rPr>
        <w:t xml:space="preserve">&lt;seg </w:t>
      </w:r>
      <w:r>
        <w:rPr>
          <w:rStyle w:val="Codeattribute"/>
        </w:rPr>
        <w:t>cert</w:t>
      </w:r>
      <w:r>
        <w:rPr>
          <w:rStyle w:val="Code"/>
        </w:rPr>
        <w:t>=</w:t>
      </w:r>
      <w:r>
        <w:rPr>
          <w:rStyle w:val="Codevalue"/>
        </w:rPr>
        <w:t>"low"</w:t>
      </w:r>
      <w:r>
        <w:rPr>
          <w:rStyle w:val="Code"/>
        </w:rPr>
        <w:t>&gt;</w:t>
      </w:r>
      <w:r>
        <w:rPr>
          <w:rStyle w:val="Codetext"/>
        </w:rPr>
        <w:t>twenty</w:t>
      </w:r>
      <w:r>
        <w:rPr>
          <w:rStyle w:val="Code"/>
        </w:rPr>
        <w:t>&lt;/seg&gt;</w:t>
      </w:r>
      <w:r>
        <w:rPr>
          <w:rStyle w:val="Codetext"/>
        </w:rPr>
        <w:t xml:space="preserve"> shares comprising this village ... </w:t>
      </w:r>
      <w:r>
        <w:rPr>
          <w:rStyle w:val="Code"/>
        </w:rPr>
        <w:t>&lt;/p&gt;</w:t>
      </w:r>
    </w:p>
    <w:p w14:paraId="0BA9C367" w14:textId="77777777">
      <w:pPr>
        <w:pStyle w:val="Lista2"/>
      </w:pPr>
      <w:r>
        <w:t xml:space="preserve">use this method regardless of whether the tentativeness of your translation stems from the condition of the original </w:t>
      </w:r>
      <w:r>
        <w:rPr>
          <w:noProof/>
        </w:rPr>
        <w:t>(</w:t>
      </w:r>
      <w:r>
        <w:t>e.g. partly or wholly unclear, illegible or restored) or from the obscurity of its language</w:t>
      </w:r>
    </w:p>
    <w:p w14:paraId="0ABA06B6" w14:textId="77777777">
      <w:pPr>
        <w:pStyle w:val="Lista"/>
      </w:pPr>
      <w:r>
        <w:t>for words and phrases not present in the received source but supplied in the translation (§</w:t>
      </w:r>
      <w:r>
        <w:fldChar w:fldCharType="begin"/>
      </w:r>
      <w:r>
        <w:instrText xml:space="preserve"> REF _Ref233295943 \r \h </w:instrText>
      </w:r>
      <w:r>
        <w:fldChar w:fldCharType="separate"/>
      </w:r>
      <w:r>
        <w:t>11.4.2</w:t>
      </w:r>
      <w:r>
        <w:fldChar w:fldCharType="end"/>
      </w:r>
      <w:r>
        <w:t xml:space="preserve">), add </w:t>
      </w:r>
      <w:bookmarkStart w:id="882" w:name="_Hlk233290745"/>
      <w:r>
        <w:rPr>
          <w:rStyle w:val="Codeattribute"/>
        </w:rPr>
        <w:t>@cert</w:t>
      </w:r>
      <w:r>
        <w:rPr>
          <w:rStyle w:val="Code"/>
        </w:rPr>
        <w:t>=</w:t>
      </w:r>
      <w:r>
        <w:rPr>
          <w:rStyle w:val="Codevalue"/>
        </w:rPr>
        <w:t>"low"</w:t>
      </w:r>
      <w:bookmarkEnd w:id="882"/>
      <w:r>
        <w:t xml:space="preserve"> to the relevant </w:t>
      </w:r>
      <w:r>
        <w:rPr>
          <w:rStyle w:val="Code"/>
        </w:rPr>
        <w:t>&lt;supplied&gt;</w:t>
      </w:r>
      <w:r>
        <w:t xml:space="preserve"> element to indicate its tentative nature</w:t>
      </w:r>
    </w:p>
    <w:p w14:paraId="1DA021C0" w14:textId="77777777">
      <w:pPr>
        <w:pStyle w:val="Lista2"/>
      </w:pPr>
      <w:r>
        <w:t xml:space="preserve">e.g. </w:t>
      </w:r>
      <w:r>
        <w:rPr>
          <w:rStyle w:val="Code"/>
        </w:rPr>
        <w:t>&lt;p&gt;</w:t>
      </w:r>
      <w:r>
        <w:rPr>
          <w:rStyle w:val="Codetext"/>
        </w:rPr>
        <w:t xml:space="preserve">On this day he </w:t>
      </w:r>
      <w:r>
        <w:rPr>
          <w:rStyle w:val="Code"/>
        </w:rPr>
        <w:t xml:space="preserve">&lt;supplied </w:t>
      </w:r>
      <w:r>
        <w:rPr>
          <w:rStyle w:val="Codeattribute"/>
        </w:rPr>
        <w:t>reason</w:t>
      </w:r>
      <w:r>
        <w:rPr>
          <w:rStyle w:val="Code"/>
        </w:rPr>
        <w:t>=</w:t>
      </w:r>
      <w:r>
        <w:rPr>
          <w:rStyle w:val="Codevalue"/>
        </w:rPr>
        <w:t>"explanation"</w:t>
      </w:r>
      <w:r>
        <w:rPr>
          <w:rStyle w:val="Code"/>
        </w:rPr>
        <w:t xml:space="preserve"> </w:t>
      </w:r>
      <w:r>
        <w:rPr>
          <w:rStyle w:val="Codeattribute"/>
        </w:rPr>
        <w:t>cert</w:t>
      </w:r>
      <w:r>
        <w:rPr>
          <w:rStyle w:val="Code"/>
        </w:rPr>
        <w:t>=</w:t>
      </w:r>
      <w:r>
        <w:rPr>
          <w:rStyle w:val="Codevalue"/>
        </w:rPr>
        <w:t>"low"</w:t>
      </w:r>
      <w:r>
        <w:rPr>
          <w:rStyle w:val="Code"/>
        </w:rPr>
        <w:t>&gt;</w:t>
      </w:r>
      <w:r>
        <w:rPr>
          <w:rStyle w:val="Codetext"/>
        </w:rPr>
        <w:t>Viṣṇuvardhana III</w:t>
      </w:r>
      <w:r>
        <w:rPr>
          <w:rStyle w:val="Code"/>
        </w:rPr>
        <w:t>&lt;/supplied&gt;</w:t>
      </w:r>
      <w:r>
        <w:rPr>
          <w:rStyle w:val="Codetext"/>
        </w:rPr>
        <w:t xml:space="preserve"> donated … </w:t>
      </w:r>
      <w:r>
        <w:rPr>
          <w:rStyle w:val="Code"/>
        </w:rPr>
        <w:t>&lt;/p&gt;</w:t>
      </w:r>
    </w:p>
    <w:p w14:paraId="233B8DFB" w14:textId="77777777">
      <w:pPr>
        <w:pStyle w:val="Cmsor3"/>
      </w:pPr>
      <w:bookmarkStart w:id="883" w:name="_7koll7kvgjet" w:colFirst="0" w:colLast="0"/>
      <w:bookmarkStart w:id="884" w:name="_Ref43990147"/>
      <w:bookmarkStart w:id="885" w:name="_Toc243900411"/>
      <w:bookmarkEnd w:id="883"/>
      <w:r>
        <w:lastRenderedPageBreak/>
        <w:t>Incorrect or unexpected text</w:t>
      </w:r>
      <w:bookmarkEnd w:id="884"/>
      <w:bookmarkEnd w:id="885"/>
    </w:p>
    <w:p w14:paraId="3EC297BF" w14:textId="77777777">
      <w:r>
        <w:t xml:space="preserve">When the source text is semantically inappropriate, incorrect or unexpected (e.g. on the basis of parallel texts) and you translate it literally, optionally wrap the corresponding translation in the element </w:t>
      </w:r>
      <w:r>
        <w:rPr>
          <w:rStyle w:val="Code"/>
        </w:rPr>
        <w:t>&lt;sic&gt;</w:t>
      </w:r>
      <w:r>
        <w:t xml:space="preserve"> to indicate that the translation corresponds to the source even though it is problematic.</w:t>
      </w:r>
    </w:p>
    <w:p w14:paraId="4A4451C1" w14:textId="77777777">
      <w:pPr>
        <w:pStyle w:val="Cmsor3"/>
      </w:pPr>
      <w:bookmarkStart w:id="886" w:name="_nmj09iowt53z" w:colFirst="0" w:colLast="0"/>
      <w:bookmarkStart w:id="887" w:name="_uuedk8qhkcii" w:colFirst="0" w:colLast="0"/>
      <w:bookmarkStart w:id="888" w:name="_Toc243900412"/>
      <w:bookmarkEnd w:id="886"/>
      <w:bookmarkEnd w:id="887"/>
      <w:r>
        <w:t>Bitextual translation</w:t>
      </w:r>
      <w:bookmarkEnd w:id="888"/>
    </w:p>
    <w:p w14:paraId="3A012B03" w14:textId="77777777">
      <w:r>
        <w:rPr>
          <w:lang w:eastAsia="en-US" w:bidi="ar-SA"/>
        </w:rPr>
        <w:t xml:space="preserve">Our source texts frequently employ </w:t>
      </w:r>
      <w:r>
        <w:t xml:space="preserve">bitextuality </w:t>
      </w:r>
      <w:r>
        <w:rPr>
          <w:noProof/>
        </w:rPr>
        <w:t xml:space="preserve">(double entendre, </w:t>
      </w:r>
      <w:r>
        <w:rPr>
          <w:rStyle w:val="Foreign"/>
        </w:rPr>
        <w:t>śleṣa</w:t>
      </w:r>
      <w:r>
        <w:t xml:space="preserve">) as a poetic device. Depending on the nature of the bitextual phrase at hand and your personal translation style, double (or additional) meanings may be rendered in translation either as alternatives to specific parts of the translated text (as in </w:t>
      </w:r>
      <w:r>
        <w:fldChar w:fldCharType="begin"/>
      </w:r>
      <w:r>
        <w:instrText xml:space="preserve"> REF _Ref233296405 \h </w:instrText>
      </w:r>
      <w:r>
        <w:fldChar w:fldCharType="separate"/>
      </w:r>
      <w:r>
        <w:t xml:space="preserve">Exhibit </w:t>
      </w:r>
      <w:r>
        <w:rPr>
          <w:noProof/>
        </w:rPr>
        <w:t>11.4</w:t>
      </w:r>
      <w:r>
        <w:t>.</w:t>
      </w:r>
      <w:r>
        <w:rPr>
          <w:noProof/>
        </w:rPr>
        <w:t>B</w:t>
      </w:r>
      <w:r>
        <w:fldChar w:fldCharType="end"/>
      </w:r>
      <w:r>
        <w:t xml:space="preserve">) or integrated into a semantic whole (as in </w:t>
      </w:r>
      <w:r>
        <w:fldChar w:fldCharType="begin"/>
      </w:r>
      <w:r>
        <w:instrText xml:space="preserve"> REF _Ref233296432 \h </w:instrText>
      </w:r>
      <w:r>
        <w:fldChar w:fldCharType="separate"/>
      </w:r>
      <w:r>
        <w:t xml:space="preserve">Exhibit </w:t>
      </w:r>
      <w:r>
        <w:rPr>
          <w:noProof/>
        </w:rPr>
        <w:t>11.4</w:t>
      </w:r>
      <w:r>
        <w:t>.</w:t>
      </w:r>
      <w:r>
        <w:rPr>
          <w:noProof/>
        </w:rPr>
        <w:t>C</w:t>
      </w:r>
      <w:r>
        <w:fldChar w:fldCharType="end"/>
      </w:r>
      <w:r>
        <w:t>). Because of the potential complexity of such poetic expressions, we provide a single method for encoding the translation of bitextual readings. This encoding will not be machine-actionable and will occasionally leave some ambiguity that will have to be resolved by the human reader.</w:t>
      </w:r>
    </w:p>
    <w:p w14:paraId="59DBDA05" w14:textId="77777777">
      <w:pPr>
        <w:pStyle w:val="Lista"/>
      </w:pPr>
      <w:r>
        <w:t>in your translation, select one translation of the double entendre as the primary or more literal one</w:t>
      </w:r>
    </w:p>
    <w:p w14:paraId="6247DA0A" w14:textId="77777777">
      <w:pPr>
        <w:pStyle w:val="Lista2"/>
      </w:pPr>
      <w:r>
        <w:t>apply no markup to the primary translation</w:t>
      </w:r>
    </w:p>
    <w:p w14:paraId="7984A4DF" w14:textId="77777777">
      <w:pPr>
        <w:pStyle w:val="Lista"/>
      </w:pPr>
      <w:r>
        <w:t>any alternative translations of the same word or phrase will be designated as secondary</w:t>
      </w:r>
    </w:p>
    <w:p w14:paraId="0D639CE4" w14:textId="1D093B2C">
      <w:pPr>
        <w:pStyle w:val="Lista2"/>
      </w:pPr>
      <w:r>
        <w:rPr>
          <w:noProof/>
        </w:rPr>
        <w:t xml:space="preserve">wrap the translations of all </w:t>
      </w:r>
      <w:r>
        <w:t xml:space="preserve">secondary meanings in </w:t>
      </w:r>
      <w:r>
        <w:rPr>
          <w:rStyle w:val="Code"/>
        </w:rPr>
        <w:t xml:space="preserve">&lt;seg </w:t>
      </w:r>
      <w:r>
        <w:rPr>
          <w:rStyle w:val="Codeattribute"/>
        </w:rPr>
        <w:t>rend</w:t>
      </w:r>
      <w:r>
        <w:rPr>
          <w:rStyle w:val="Code"/>
        </w:rPr>
        <w:t>=</w:t>
      </w:r>
      <w:r>
        <w:rPr>
          <w:rStyle w:val="Codevalue"/>
        </w:rPr>
        <w:t>"pun"</w:t>
      </w:r>
      <w:r>
        <w:rPr>
          <w:rStyle w:val="Code"/>
        </w:rPr>
        <w:t>&gt;</w:t>
      </w:r>
    </w:p>
    <w:tbl>
      <w:tblPr>
        <w:tblStyle w:val="CodeSampleTable"/>
        <w:tblW w:w="5000" w:type="pct"/>
        <w:tblLook w:val="04A0" w:firstRow="1" w:lastRow="0" w:firstColumn="1" w:lastColumn="0" w:noHBand="0" w:noVBand="1"/>
      </w:tblPr>
      <w:tblGrid>
        <w:gridCol w:w="9628"/>
      </w:tblGrid>
      <w:tr w14:paraId="628E575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18691A6" w14:textId="77777777">
            <w:pPr>
              <w:pStyle w:val="Kpalrs"/>
            </w:pPr>
            <w:bookmarkStart w:id="889" w:name="_Ref233296405"/>
            <w:r>
              <w:t xml:space="preserve">Exhibit </w:t>
            </w:r>
            <w:fldSimple w:instr=" STYLEREF 2 \s ">
              <w:r>
                <w:rPr>
                  <w:noProof/>
                </w:rPr>
                <w:t>11.4</w:t>
              </w:r>
            </w:fldSimple>
            <w:r>
              <w:t>.</w:t>
            </w:r>
            <w:fldSimple w:instr=" SEQ Exhibit \* ALPHABETIC \s 2 ">
              <w:r>
                <w:rPr>
                  <w:noProof/>
                </w:rPr>
                <w:t>B</w:t>
              </w:r>
            </w:fldSimple>
            <w:bookmarkEnd w:id="889"/>
            <w:r>
              <w:t>: translation with bitextual words dispersed across a stretch of text</w:t>
            </w:r>
          </w:p>
        </w:tc>
      </w:tr>
      <w:tr w14:paraId="235B92FF" w14:textId="77777777">
        <w:tc>
          <w:tcPr>
            <w:tcW w:w="5000" w:type="pct"/>
          </w:tcPr>
          <w:p w14:paraId="09B94368" w14:textId="77777777">
            <w:pPr>
              <w:pStyle w:val="Tabletext"/>
              <w:rPr>
                <w:rStyle w:val="Foreign"/>
              </w:rPr>
            </w:pPr>
            <w:r>
              <w:rPr>
                <w:rStyle w:val="Foreign"/>
              </w:rPr>
              <w:t>meruṁ vividha-budha-samāśrayatayānukurvvaN</w:t>
            </w:r>
          </w:p>
        </w:tc>
      </w:tr>
      <w:tr w14:paraId="5AA4E40C" w14:textId="77777777">
        <w:tc>
          <w:tcPr>
            <w:tcW w:w="5000" w:type="pct"/>
          </w:tcPr>
          <w:p w14:paraId="0B230C8B" w14:textId="77777777">
            <w:pPr>
              <w:pStyle w:val="CodeParagraph"/>
            </w:pPr>
            <w:r>
              <w:rPr>
                <w:rStyle w:val="Codetext"/>
              </w:rPr>
              <w:t xml:space="preserve">... he resembles Mount Meru in being a supporter </w:t>
            </w:r>
            <w:r>
              <w:rPr>
                <w:rStyle w:val="Code"/>
              </w:rPr>
              <w:t xml:space="preserve">&lt;seg </w:t>
            </w:r>
            <w:r>
              <w:rPr>
                <w:rStyle w:val="Codeattribute"/>
              </w:rPr>
              <w:t>rend</w:t>
            </w:r>
            <w:r>
              <w:rPr>
                <w:rStyle w:val="Code"/>
              </w:rPr>
              <w:t>=</w:t>
            </w:r>
            <w:r>
              <w:rPr>
                <w:rStyle w:val="Codevalue"/>
              </w:rPr>
              <w:t>"pun"</w:t>
            </w:r>
            <w:r>
              <w:rPr>
                <w:rStyle w:val="Code"/>
              </w:rPr>
              <w:t>&gt;</w:t>
            </w:r>
            <w:r>
              <w:rPr>
                <w:rStyle w:val="Codetext"/>
              </w:rPr>
              <w:t>the abode</w:t>
            </w:r>
            <w:r>
              <w:rPr>
                <w:rStyle w:val="Code"/>
              </w:rPr>
              <w:t>&lt;/seg&gt;</w:t>
            </w:r>
            <w:r>
              <w:rPr>
                <w:rStyle w:val="Codetext"/>
              </w:rPr>
              <w:t xml:space="preserve"> of diverse learned men </w:t>
            </w:r>
            <w:r>
              <w:rPr>
                <w:rStyle w:val="Code"/>
              </w:rPr>
              <w:t xml:space="preserve">&lt;seg </w:t>
            </w:r>
            <w:r>
              <w:rPr>
                <w:rStyle w:val="Codeattribute"/>
              </w:rPr>
              <w:t>rend</w:t>
            </w:r>
            <w:r>
              <w:rPr>
                <w:rStyle w:val="Code"/>
              </w:rPr>
              <w:t>=</w:t>
            </w:r>
            <w:r>
              <w:rPr>
                <w:rStyle w:val="Codevalue"/>
              </w:rPr>
              <w:t>"pun"</w:t>
            </w:r>
            <w:r>
              <w:rPr>
                <w:rStyle w:val="Code"/>
              </w:rPr>
              <w:t>&gt;</w:t>
            </w:r>
            <w:r>
              <w:rPr>
                <w:rStyle w:val="Codetext"/>
              </w:rPr>
              <w:t>gods</w:t>
            </w:r>
            <w:r>
              <w:rPr>
                <w:rStyle w:val="Code"/>
              </w:rPr>
              <w:t>&lt;/seg&gt; ...</w:t>
            </w:r>
          </w:p>
        </w:tc>
      </w:tr>
      <w:tr w14:paraId="1FA7CA45" w14:textId="77777777">
        <w:tc>
          <w:tcPr>
            <w:tcW w:w="5000" w:type="pct"/>
          </w:tcPr>
          <w:p w14:paraId="02CD7901" w14:textId="77777777">
            <w:pPr>
              <w:pStyle w:val="TableNote"/>
            </w:pPr>
            <w:r>
              <w:t>display: … he resembles Mount Meru in being a supporter {the abode} of diverse learned men {gods} …</w:t>
            </w:r>
          </w:p>
        </w:tc>
      </w:tr>
    </w:tbl>
    <w:p w14:paraId="030787AC" w14:textId="77777777"/>
    <w:tbl>
      <w:tblPr>
        <w:tblStyle w:val="CodeSampleTable"/>
        <w:tblW w:w="5000" w:type="pct"/>
        <w:tblLook w:val="04A0" w:firstRow="1" w:lastRow="0" w:firstColumn="1" w:lastColumn="0" w:noHBand="0" w:noVBand="1"/>
      </w:tblPr>
      <w:tblGrid>
        <w:gridCol w:w="9628"/>
      </w:tblGrid>
      <w:tr w14:paraId="578499B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2EC8A5B" w14:textId="77777777">
            <w:pPr>
              <w:pStyle w:val="Kpalrs"/>
            </w:pPr>
            <w:bookmarkStart w:id="890" w:name="_Ref233296432"/>
            <w:r>
              <w:t xml:space="preserve">Exhibit </w:t>
            </w:r>
            <w:fldSimple w:instr=" STYLEREF 2 \s ">
              <w:r>
                <w:rPr>
                  <w:noProof/>
                </w:rPr>
                <w:t>11.4</w:t>
              </w:r>
            </w:fldSimple>
            <w:r>
              <w:t>.</w:t>
            </w:r>
            <w:fldSimple w:instr=" SEQ Exhibit \* ALPHABETIC \s 2 ">
              <w:r>
                <w:rPr>
                  <w:noProof/>
                </w:rPr>
                <w:t>C</w:t>
              </w:r>
            </w:fldSimple>
            <w:bookmarkEnd w:id="890"/>
            <w:r>
              <w:t>: translation with bitextual interpretation integrated into one sentence</w:t>
            </w:r>
          </w:p>
        </w:tc>
      </w:tr>
      <w:tr w14:paraId="4C570B4D" w14:textId="77777777">
        <w:tc>
          <w:tcPr>
            <w:tcW w:w="5000" w:type="pct"/>
          </w:tcPr>
          <w:p w14:paraId="150A6F28" w14:textId="77777777">
            <w:pPr>
              <w:pStyle w:val="Tabletext"/>
              <w:rPr>
                <w:rStyle w:val="Foreign"/>
              </w:rPr>
            </w:pPr>
            <w:r>
              <w:rPr>
                <w:rStyle w:val="Foreign"/>
              </w:rPr>
              <w:t>droṇa Iva kr̥pānugataḥ</w:t>
            </w:r>
          </w:p>
        </w:tc>
      </w:tr>
      <w:tr w14:paraId="7A72B442" w14:textId="77777777">
        <w:tc>
          <w:tcPr>
            <w:tcW w:w="5000" w:type="pct"/>
          </w:tcPr>
          <w:p w14:paraId="42596489" w14:textId="77777777">
            <w:pPr>
              <w:pStyle w:val="CodeParagraph"/>
              <w:keepNext/>
            </w:pPr>
            <w:r>
              <w:rPr>
                <w:rStyle w:val="Codetext"/>
              </w:rPr>
              <w:t xml:space="preserve">... who is attended by mercy just as Droṇa </w:t>
            </w:r>
            <w:r>
              <w:rPr>
                <w:rStyle w:val="Code"/>
              </w:rPr>
              <w:t xml:space="preserve">&lt;seg </w:t>
            </w:r>
            <w:r>
              <w:rPr>
                <w:rStyle w:val="Codeattribute"/>
              </w:rPr>
              <w:t>rend</w:t>
            </w:r>
            <w:r>
              <w:rPr>
                <w:rStyle w:val="Code"/>
              </w:rPr>
              <w:t>=</w:t>
            </w:r>
            <w:r>
              <w:rPr>
                <w:rStyle w:val="Codevalue"/>
              </w:rPr>
              <w:t>"pun"</w:t>
            </w:r>
            <w:r>
              <w:rPr>
                <w:rStyle w:val="Code"/>
              </w:rPr>
              <w:t>&gt;</w:t>
            </w:r>
            <w:r>
              <w:rPr>
                <w:rStyle w:val="Codetext"/>
              </w:rPr>
              <w:t>is followed by Kr̥pā</w:t>
            </w:r>
            <w:r>
              <w:rPr>
                <w:rStyle w:val="Code"/>
              </w:rPr>
              <w:t>&lt;/seg&gt; ...</w:t>
            </w:r>
          </w:p>
        </w:tc>
      </w:tr>
      <w:tr w14:paraId="7469DE53" w14:textId="77777777">
        <w:tc>
          <w:tcPr>
            <w:tcW w:w="5000" w:type="pct"/>
          </w:tcPr>
          <w:p w14:paraId="1D7A35AD" w14:textId="77777777">
            <w:pPr>
              <w:pStyle w:val="TableNote"/>
            </w:pPr>
            <w:r>
              <w:t xml:space="preserve">display: … who is attended by mercy just as </w:t>
            </w:r>
            <w:r>
              <w:rPr>
                <w:rStyle w:val="ForeignIndic"/>
              </w:rPr>
              <w:t>Droṇa</w:t>
            </w:r>
            <w:r>
              <w:t xml:space="preserve"> {is followed by </w:t>
            </w:r>
            <w:r>
              <w:rPr>
                <w:rStyle w:val="ForeignIndic"/>
              </w:rPr>
              <w:t>Kr̥pā</w:t>
            </w:r>
            <w:r>
              <w:t>} …</w:t>
            </w:r>
          </w:p>
        </w:tc>
      </w:tr>
    </w:tbl>
    <w:p w14:paraId="1C830400" w14:textId="77777777">
      <w:pPr>
        <w:pStyle w:val="Cmsor3"/>
      </w:pPr>
      <w:bookmarkStart w:id="891" w:name="_r5nlq6s8z4nw" w:colFirst="0" w:colLast="0"/>
      <w:bookmarkStart w:id="892" w:name="_Toc243900413"/>
      <w:bookmarkStart w:id="893" w:name="_Ref53128241"/>
      <w:bookmarkStart w:id="894" w:name="_Ref43978788"/>
      <w:bookmarkEnd w:id="891"/>
      <w:r>
        <w:t>Original space in the translation</w:t>
      </w:r>
      <w:bookmarkEnd w:id="892"/>
    </w:p>
    <w:p w14:paraId="693D3290" w14:textId="77777777">
      <w:r>
        <w:t>Spaces encoded in the edition (§</w:t>
      </w:r>
      <w:r>
        <w:fldChar w:fldCharType="begin"/>
      </w:r>
      <w:r>
        <w:instrText xml:space="preserve"> REF _Ref43989284 \r \h </w:instrText>
      </w:r>
      <w:r>
        <w:fldChar w:fldCharType="separate"/>
      </w:r>
      <w:r>
        <w:t>5.3.5</w:t>
      </w:r>
      <w:r>
        <w:fldChar w:fldCharType="end"/>
      </w:r>
      <w:r>
        <w:t>) generally need not and must not be preserved in the translation. However, spaces left blank in the original with the intent of subsequent filling (</w:t>
      </w:r>
      <w:r>
        <w:rPr>
          <w:rStyle w:val="Foreign"/>
        </w:rPr>
        <w:t>vacat</w:t>
      </w:r>
      <w:r>
        <w:t>, §</w:t>
      </w:r>
      <w:r>
        <w:fldChar w:fldCharType="begin"/>
      </w:r>
      <w:r>
        <w:instrText xml:space="preserve"> REF _Ref43987728 \r \h </w:instrText>
      </w:r>
      <w:r>
        <w:fldChar w:fldCharType="separate"/>
      </w:r>
      <w:r>
        <w:t>5.4.2.1</w:t>
      </w:r>
      <w:r>
        <w:fldChar w:fldCharType="end"/>
      </w:r>
      <w:r>
        <w:t>) may be optionally represented in the translation if you feel that this serves a useful purpose.</w:t>
      </w:r>
    </w:p>
    <w:p w14:paraId="6BC9B1D9" w14:textId="77777777">
      <w:pPr>
        <w:pStyle w:val="Lista"/>
      </w:pPr>
      <w:r>
        <w:t xml:space="preserve">in this case, use the </w:t>
      </w:r>
      <w:r>
        <w:rPr>
          <w:rStyle w:val="Code"/>
        </w:rPr>
        <w:t>&lt;space/&gt;</w:t>
      </w:r>
      <w:r>
        <w:t xml:space="preserve"> element exactly as encoded in the edition division, e.g. </w:t>
      </w:r>
      <w:r>
        <w:rPr>
          <w:rStyle w:val="Code"/>
        </w:rPr>
        <w:t xml:space="preserve">&lt;space </w:t>
      </w:r>
      <w:r>
        <w:rPr>
          <w:rStyle w:val="Codeattribute"/>
        </w:rPr>
        <w:t>type</w:t>
      </w:r>
      <w:r>
        <w:rPr>
          <w:rStyle w:val="Code"/>
        </w:rPr>
        <w:t>=</w:t>
      </w:r>
      <w:r>
        <w:rPr>
          <w:rStyle w:val="Codevalue"/>
        </w:rPr>
        <w:t>"vacat"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"character"</w:t>
      </w:r>
      <w:r>
        <w:rPr>
          <w:rStyle w:val="Code"/>
        </w:rPr>
        <w:t>/&gt;</w:t>
      </w:r>
    </w:p>
    <w:p w14:paraId="33B8D57B" w14:textId="77777777">
      <w:pPr>
        <w:pStyle w:val="Cmsor2"/>
      </w:pPr>
      <w:bookmarkStart w:id="895" w:name="_Ref43990725"/>
      <w:bookmarkStart w:id="896" w:name="_Toc243900414"/>
      <w:bookmarkEnd w:id="893"/>
      <w:r>
        <w:t>Reproducing a published translation</w:t>
      </w:r>
      <w:bookmarkEnd w:id="895"/>
      <w:bookmarkEnd w:id="896"/>
    </w:p>
    <w:p w14:paraId="54E2AF11" w14:textId="77777777">
      <w:pPr>
        <w:pStyle w:val="Cmsor3"/>
      </w:pPr>
      <w:bookmarkStart w:id="897" w:name="_Ref233299001"/>
      <w:bookmarkStart w:id="898" w:name="_Toc243900415"/>
      <w:r>
        <w:t>Adapting a previous translation</w:t>
      </w:r>
      <w:bookmarkEnd w:id="897"/>
      <w:bookmarkEnd w:id="898"/>
    </w:p>
    <w:p w14:paraId="176301C9" w14:textId="77777777">
      <w:pPr>
        <w:rPr>
          <w:lang w:eastAsia="en-US" w:bidi="ar-SA"/>
        </w:rPr>
      </w:pPr>
      <w:r>
        <w:rPr>
          <w:lang w:eastAsia="en-US" w:bidi="ar-SA"/>
        </w:rPr>
        <w:t>When you make any improvement to a previously published translation, for instance by adding parts not translated there, revising parts based on a reading you have revised in the edition or on a new interpretation of the same reading, or simply increasing its accuracy or fluency, then for practical purposes you are the intellectual author of the new translation.</w:t>
      </w:r>
    </w:p>
    <w:p w14:paraId="4C4830FE" w14:textId="77777777">
      <w:pPr>
        <w:pStyle w:val="Lista"/>
        <w:rPr>
          <w:lang w:eastAsia="en-US" w:bidi="ar-SA"/>
        </w:rPr>
      </w:pPr>
      <w:r>
        <w:rPr>
          <w:lang w:eastAsia="en-US" w:bidi="ar-SA"/>
        </w:rPr>
        <w:t xml:space="preserve">encode your authorship with </w:t>
      </w:r>
      <w:r>
        <w:rPr>
          <w:rStyle w:val="Codeattribute"/>
        </w:rPr>
        <w:t>@resp</w:t>
      </w:r>
      <w:r>
        <w:t xml:space="preserve"> (</w:t>
      </w:r>
      <w:r>
        <w:rPr>
          <w:lang w:eastAsia="en-US" w:bidi="ar-SA"/>
        </w:rPr>
        <w:t>§</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t>) and add a credit note (§</w:t>
      </w:r>
      <w:r>
        <w:fldChar w:fldCharType="begin"/>
      </w:r>
      <w:r>
        <w:instrText xml:space="preserve"> REF _Ref242888161 \r \h </w:instrText>
      </w:r>
      <w:r>
        <w:fldChar w:fldCharType="separate"/>
      </w:r>
      <w:r>
        <w:t>11.1.2.1</w:t>
      </w:r>
      <w:r>
        <w:fldChar w:fldCharType="end"/>
      </w:r>
      <w:r>
        <w:t>) to name the original translator and clarify the nature and extent of your contribution</w:t>
      </w:r>
    </w:p>
    <w:p w14:paraId="088C6A3A" w14:textId="77777777">
      <w:pPr>
        <w:pStyle w:val="Cmsor3"/>
      </w:pPr>
      <w:bookmarkStart w:id="899" w:name="_Ref233887001"/>
      <w:bookmarkStart w:id="900" w:name="_Toc243900416"/>
      <w:r>
        <w:t>Adopting a previous translation verbatim</w:t>
      </w:r>
      <w:bookmarkEnd w:id="899"/>
      <w:bookmarkEnd w:id="900"/>
    </w:p>
    <w:p w14:paraId="0DD3E068" w14:textId="77777777">
      <w:pPr>
        <w:rPr>
          <w:lang w:eastAsia="en-US" w:bidi="ar-SA"/>
        </w:rPr>
      </w:pPr>
      <w:r>
        <w:rPr>
          <w:lang w:eastAsia="en-US" w:bidi="ar-SA"/>
        </w:rPr>
        <w:t>It is sometimes desirable to create a “digital facsimile” of a previously published translation. When doing so, be mindful of the following considerations.</w:t>
      </w:r>
    </w:p>
    <w:p w14:paraId="1454A524" w14:textId="77777777">
      <w:pPr>
        <w:pStyle w:val="Lista"/>
      </w:pPr>
      <w:r>
        <w:t xml:space="preserve">the author of the translation must be credited with the attribute </w:t>
      </w:r>
      <w:r>
        <w:rPr>
          <w:rStyle w:val="Codeattribute"/>
        </w:rPr>
        <w:t>@source</w:t>
      </w:r>
      <w:r>
        <w:t xml:space="preserve"> as per §</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rPr>
          <w:lang w:eastAsia="en-US" w:bidi="ar-SA"/>
        </w:rPr>
        <w:t xml:space="preserve"> and </w:t>
      </w:r>
      <w:r>
        <w:t>§</w:t>
      </w:r>
      <w:r>
        <w:fldChar w:fldCharType="begin"/>
      </w:r>
      <w:r>
        <w:instrText xml:space="preserve"> REF _Ref43989551 \w \h  \* MERGEFORMAT </w:instrText>
      </w:r>
      <w:r>
        <w:fldChar w:fldCharType="separate"/>
      </w:r>
      <w:r>
        <w:t>14.6.2</w:t>
      </w:r>
      <w:r>
        <w:fldChar w:fldCharType="end"/>
      </w:r>
    </w:p>
    <w:p w14:paraId="0E5001C4" w14:textId="77777777">
      <w:pPr>
        <w:pStyle w:val="Lista"/>
      </w:pPr>
      <w:r>
        <w:lastRenderedPageBreak/>
        <w:t>any character-based markup (brackets, etc.) in the translation must be converted to its encoding equivalent as far as feasible</w:t>
      </w:r>
    </w:p>
    <w:p w14:paraId="2E606BB6" w14:textId="77777777">
      <w:pPr>
        <w:pStyle w:val="Lista2"/>
      </w:pPr>
      <w:r>
        <w:t>translator’s markup for which our encoding provides no equivalent, or which cannot be interpreted confidently, may be exceptionally retained</w:t>
      </w:r>
    </w:p>
    <w:p w14:paraId="4410DEBD" w14:textId="77777777">
      <w:pPr>
        <w:pStyle w:val="Lista3"/>
      </w:pPr>
      <w:r>
        <w:t>clarify any such markup within a credit note (</w:t>
      </w:r>
      <w:r>
        <w:rPr>
          <w:lang w:eastAsia="en-US" w:bidi="ar-SA"/>
        </w:rPr>
        <w:t>§</w:t>
      </w:r>
      <w:r>
        <w:t>§</w:t>
      </w:r>
      <w:r>
        <w:fldChar w:fldCharType="begin"/>
      </w:r>
      <w:r>
        <w:instrText xml:space="preserve"> REF _Ref242888161 \r \h </w:instrText>
      </w:r>
      <w:r>
        <w:fldChar w:fldCharType="separate"/>
      </w:r>
      <w:r>
        <w:t>11.1.2.1</w:t>
      </w:r>
      <w:r>
        <w:fldChar w:fldCharType="end"/>
      </w:r>
      <w:r>
        <w:t>) attached to the translation</w:t>
      </w:r>
    </w:p>
    <w:p w14:paraId="563DC649" w14:textId="77777777">
      <w:pPr>
        <w:pStyle w:val="Lista"/>
      </w:pPr>
      <w:r>
        <w:t>the transliteration of any words in a source language must be silently converted to the DHARMA transliteration whenever feasible</w:t>
      </w:r>
    </w:p>
    <w:p w14:paraId="1AECBF41" w14:textId="77777777">
      <w:pPr>
        <w:pStyle w:val="Lista"/>
      </w:pPr>
      <w:r>
        <w:t>when a published translation you are encoding omits a stretch of the text (for example because it is unintelligible or because the original translator considered a part of the text not worthy of attention), this shall be indicated in your encoding as per §</w:t>
      </w:r>
      <w:r>
        <w:fldChar w:fldCharType="begin"/>
      </w:r>
      <w:r>
        <w:instrText xml:space="preserve"> REF _Ref233298630 \r \h </w:instrText>
      </w:r>
      <w:r>
        <w:fldChar w:fldCharType="separate"/>
      </w:r>
      <w:r>
        <w:t>11.4.3.3</w:t>
      </w:r>
      <w:r>
        <w:fldChar w:fldCharType="end"/>
      </w:r>
    </w:p>
    <w:p w14:paraId="0771E733" w14:textId="77777777">
      <w:pPr>
        <w:pStyle w:val="Lista"/>
      </w:pPr>
      <w:r>
        <w:t>if a published translation is based on a reading, restoration or emendation different from what you show in your edition, it is highly recommended that you point this out in a note of your own (§</w:t>
      </w:r>
      <w:r>
        <w:fldChar w:fldCharType="begin"/>
      </w:r>
      <w:r>
        <w:instrText xml:space="preserve"> REF _Ref233298582 \r \h </w:instrText>
      </w:r>
      <w:r>
        <w:fldChar w:fldCharType="separate"/>
      </w:r>
      <w:r>
        <w:t>11.5.3</w:t>
      </w:r>
      <w:r>
        <w:fldChar w:fldCharType="end"/>
      </w:r>
      <w:r>
        <w:t>), attached to the spot where the translation is based on divergent text</w:t>
      </w:r>
    </w:p>
    <w:p w14:paraId="37BF470D" w14:textId="77777777">
      <w:pPr>
        <w:pStyle w:val="Lista"/>
      </w:pPr>
      <w:r>
        <w:t>obvious typographic mistakes and errors of transliteration in a previous translation should be corrected silently in your digital version</w:t>
      </w:r>
    </w:p>
    <w:p w14:paraId="4015880D" w14:textId="77777777">
      <w:pPr>
        <w:pStyle w:val="Lista2"/>
      </w:pPr>
      <w:r>
        <w:t>unusual mistakes or anomalies, especially if they affect the interpretation of the text, should be left as in the original translation and preferably accompanied by a note of your own (§</w:t>
      </w:r>
      <w:r>
        <w:fldChar w:fldCharType="begin"/>
      </w:r>
      <w:r>
        <w:instrText xml:space="preserve"> REF _Ref233298582 \r \h </w:instrText>
      </w:r>
      <w:r>
        <w:fldChar w:fldCharType="separate"/>
      </w:r>
      <w:r>
        <w:t>11.5.3</w:t>
      </w:r>
      <w:r>
        <w:fldChar w:fldCharType="end"/>
      </w:r>
      <w:r>
        <w:t>)</w:t>
      </w:r>
    </w:p>
    <w:p w14:paraId="15113BC2" w14:textId="77777777">
      <w:pPr>
        <w:pStyle w:val="Cmsor3"/>
      </w:pPr>
      <w:bookmarkStart w:id="901" w:name="_Ref233298582"/>
      <w:bookmarkStart w:id="902" w:name="_Toc243900417"/>
      <w:r>
        <w:t>Adopting and adapting notes to a translation</w:t>
      </w:r>
      <w:bookmarkEnd w:id="901"/>
      <w:bookmarkEnd w:id="902"/>
    </w:p>
    <w:p w14:paraId="512E3D91" w14:textId="77777777">
      <w:r>
        <w:rPr>
          <w:lang w:eastAsia="en-US" w:bidi="ar-SA"/>
        </w:rPr>
        <w:t xml:space="preserve">Any notes in a translation will by default be considered to have been written by the author of the translation indicated with </w:t>
      </w:r>
      <w:r>
        <w:rPr>
          <w:rStyle w:val="Codeattribute"/>
        </w:rPr>
        <w:t>@source</w:t>
      </w:r>
      <w:r>
        <w:t xml:space="preserve"> </w:t>
      </w:r>
      <w:r>
        <w:rPr>
          <w:noProof/>
        </w:rPr>
        <w:t xml:space="preserve">or </w:t>
      </w:r>
      <w:r>
        <w:rPr>
          <w:rStyle w:val="Codeattribute"/>
        </w:rPr>
        <w:t>@resp</w:t>
      </w:r>
      <w:r>
        <w:t xml:space="preserve"> on the translation division (§</w:t>
      </w:r>
      <w:r>
        <w:fldChar w:fldCharType="begin"/>
      </w:r>
      <w:r>
        <w:instrText xml:space="preserve"> REF _Ref233276652 \r \h </w:instrText>
      </w:r>
      <w:r>
        <w:fldChar w:fldCharType="separate"/>
      </w:r>
      <w:r>
        <w:t>11.1.2</w:t>
      </w:r>
      <w:r>
        <w:fldChar w:fldCharType="end"/>
      </w:r>
      <w:r>
        <w:t>). Complications shall be handled as follows.</w:t>
      </w:r>
    </w:p>
    <w:p w14:paraId="75FCD770" w14:textId="77777777">
      <w:pPr>
        <w:pStyle w:val="Lista"/>
        <w:rPr>
          <w:lang w:eastAsia="en-US" w:bidi="ar-SA"/>
        </w:rPr>
      </w:pPr>
      <w:r>
        <w:t>if you are technically the author of the translation (either because the translation is fully yours or because you have adapted a previous translation as per §</w:t>
      </w:r>
      <w:r>
        <w:fldChar w:fldCharType="begin"/>
      </w:r>
      <w:r>
        <w:instrText xml:space="preserve"> REF _Ref233299001 \r \h </w:instrText>
      </w:r>
      <w:r>
        <w:fldChar w:fldCharType="separate"/>
      </w:r>
      <w:r>
        <w:t>11.5.1</w:t>
      </w:r>
      <w:r>
        <w:fldChar w:fldCharType="end"/>
      </w:r>
      <w:r>
        <w:t>), but you wish to include a note written by someone else (who may be, but need not be the author of a translation you are adapting)</w:t>
      </w:r>
    </w:p>
    <w:p w14:paraId="7FE1D5E0" w14:textId="77777777">
      <w:pPr>
        <w:pStyle w:val="Lista2"/>
        <w:rPr>
          <w:lang w:eastAsia="en-US" w:bidi="ar-SA"/>
        </w:rPr>
      </w:pPr>
      <w:r>
        <w:rPr>
          <w:lang w:eastAsia="en-US" w:bidi="ar-SA"/>
        </w:rPr>
        <w:t>preferably paraphrase the note instead of using it verbatim, thus making it your own note</w:t>
      </w:r>
    </w:p>
    <w:p w14:paraId="15D6EBB0" w14:textId="77777777">
      <w:pPr>
        <w:pStyle w:val="Lista3"/>
        <w:rPr>
          <w:lang w:eastAsia="en-US" w:bidi="ar-SA"/>
        </w:rPr>
      </w:pPr>
      <w:r>
        <w:rPr>
          <w:lang w:eastAsia="en-US" w:bidi="ar-SA"/>
        </w:rPr>
        <w:t>in the paraphrased note, credit the original author of the note</w:t>
      </w:r>
    </w:p>
    <w:p w14:paraId="711C7568" w14:textId="77777777">
      <w:pPr>
        <w:pStyle w:val="Lista4"/>
        <w:rPr>
          <w:lang w:eastAsia="en-US" w:bidi="ar-SA"/>
        </w:rPr>
      </w:pPr>
      <w:r>
        <w:rPr>
          <w:lang w:eastAsia="en-US" w:bidi="ar-SA"/>
        </w:rPr>
        <w:t>simply by name if the note is from a published translation you are adapting and have specified in the credit note of your translation</w:t>
      </w:r>
      <w:r>
        <w:t>, e.g. “Fleet observes that…”</w:t>
      </w:r>
    </w:p>
    <w:p w14:paraId="6BD11901" w14:textId="77777777">
      <w:pPr>
        <w:pStyle w:val="Lista4"/>
        <w:rPr>
          <w:lang w:eastAsia="en-US" w:bidi="ar-SA"/>
        </w:rPr>
      </w:pPr>
      <w:r>
        <w:t>by an encoded bibliographic citation (§</w:t>
      </w:r>
      <w:r>
        <w:fldChar w:fldCharType="begin"/>
      </w:r>
      <w:r>
        <w:instrText xml:space="preserve"> REF _Ref233877601 \r \h </w:instrText>
      </w:r>
      <w:r>
        <w:fldChar w:fldCharType="separate"/>
      </w:r>
      <w:r>
        <w:t>14.6.1</w:t>
      </w:r>
      <w:r>
        <w:fldChar w:fldCharType="end"/>
      </w:r>
      <w:r>
        <w:t>) otherwise</w:t>
      </w:r>
    </w:p>
    <w:p w14:paraId="4FB92FE0" w14:textId="77777777">
      <w:pPr>
        <w:pStyle w:val="Lista2"/>
        <w:rPr>
          <w:lang w:eastAsia="en-US" w:bidi="ar-SA"/>
        </w:rPr>
      </w:pPr>
      <w:r>
        <w:rPr>
          <w:lang w:eastAsia="en-US" w:bidi="ar-SA"/>
        </w:rPr>
        <w:t xml:space="preserve">if you wish to reproduce a note from a previous translation verbatim, you must add </w:t>
      </w:r>
      <w:r>
        <w:rPr>
          <w:rStyle w:val="Codeattribute"/>
        </w:rPr>
        <w:t>@source</w:t>
      </w:r>
      <w:r>
        <w:t xml:space="preserve"> to the </w:t>
      </w:r>
      <w:r>
        <w:rPr>
          <w:rStyle w:val="Code"/>
        </w:rPr>
        <w:t>&lt;note&gt;</w:t>
      </w:r>
      <w:r>
        <w:t xml:space="preserve"> element as per §</w:t>
      </w:r>
      <w:r>
        <w:fldChar w:fldCharType="begin"/>
      </w:r>
      <w:r>
        <w:instrText xml:space="preserve"> REF _Ref44490119 \r \h </w:instrText>
      </w:r>
      <w:r>
        <w:fldChar w:fldCharType="separate"/>
      </w:r>
      <w:r>
        <w:t>14.6.2</w:t>
      </w:r>
      <w:r>
        <w:fldChar w:fldCharType="end"/>
      </w:r>
    </w:p>
    <w:p w14:paraId="0E6E8F9A" w14:textId="77777777">
      <w:pPr>
        <w:pStyle w:val="Lista"/>
      </w:pPr>
      <w:r>
        <w:t xml:space="preserve">if the translation is from a previous publication (encoded as the </w:t>
      </w:r>
      <w:r>
        <w:rPr>
          <w:rStyle w:val="Codeattribute"/>
        </w:rPr>
        <w:t>@source</w:t>
      </w:r>
      <w:r>
        <w:t xml:space="preserve"> of the translation division),</w:t>
      </w:r>
    </w:p>
    <w:p w14:paraId="4287B7A6" w14:textId="77777777">
      <w:pPr>
        <w:pStyle w:val="Lista2"/>
      </w:pPr>
      <w:r>
        <w:t>notes from that publication can and must be duplicated verbatim and without any additional attribution</w:t>
      </w:r>
    </w:p>
    <w:p w14:paraId="6B9D37B0" w14:textId="77777777">
      <w:pPr>
        <w:pStyle w:val="Lista3"/>
      </w:pPr>
      <w:r>
        <w:t>it is, however, not mandatory to reproduce all notes by the original translator</w:t>
      </w:r>
    </w:p>
    <w:p w14:paraId="096E59B8" w14:textId="77777777">
      <w:pPr>
        <w:pStyle w:val="Lista2"/>
      </w:pPr>
      <w:r>
        <w:t xml:space="preserve">notes of your own added to a previously published translation must be credited explicitly to you, using </w:t>
      </w: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each such note</w:t>
      </w:r>
    </w:p>
    <w:p w14:paraId="6974A834" w14:textId="77777777">
      <w:pPr>
        <w:pStyle w:val="Lista2"/>
      </w:pPr>
      <w:r>
        <w:t>should you wish to include notes from a different previously published translation, do one of the following</w:t>
      </w:r>
    </w:p>
    <w:p w14:paraId="3B65D438" w14:textId="77777777">
      <w:pPr>
        <w:pStyle w:val="Lista3"/>
      </w:pPr>
      <w:r>
        <w:t xml:space="preserve">paraphrase the original note, encode it as your own note with </w:t>
      </w:r>
      <w:r>
        <w:rPr>
          <w:rStyle w:val="Codeattribute"/>
        </w:rPr>
        <w:t>@resp</w:t>
      </w:r>
      <w:r>
        <w:t>, and credit its original author with a bibliographic citation</w:t>
      </w:r>
    </w:p>
    <w:p w14:paraId="4C8B2F73" w14:textId="77777777">
      <w:pPr>
        <w:pStyle w:val="Lista3"/>
      </w:pPr>
      <w:r>
        <w:t xml:space="preserve">reproduce the note verbatim and credit it with </w:t>
      </w:r>
      <w:r>
        <w:rPr>
          <w:lang w:eastAsia="en-US" w:bidi="ar-SA"/>
        </w:rPr>
        <w:t xml:space="preserve">add </w:t>
      </w:r>
      <w:r>
        <w:rPr>
          <w:rStyle w:val="Codeattribute"/>
        </w:rPr>
        <w:t>@source</w:t>
      </w:r>
      <w:r>
        <w:t xml:space="preserve"> on the </w:t>
      </w:r>
      <w:r>
        <w:rPr>
          <w:rStyle w:val="Code"/>
        </w:rPr>
        <w:t>&lt;note&gt;</w:t>
      </w:r>
      <w:r>
        <w:t xml:space="preserve"> element</w:t>
      </w:r>
    </w:p>
    <w:p w14:paraId="12A83715" w14:textId="77777777">
      <w:pPr>
        <w:pStyle w:val="Cmsor1"/>
      </w:pPr>
      <w:bookmarkStart w:id="903" w:name="_Ref181352286"/>
      <w:bookmarkStart w:id="904" w:name="_Toc243900418"/>
      <w:r>
        <w:lastRenderedPageBreak/>
        <w:t>The commentary</w:t>
      </w:r>
      <w:bookmarkEnd w:id="894"/>
      <w:bookmarkEnd w:id="903"/>
      <w:bookmarkEnd w:id="904"/>
    </w:p>
    <w:p w14:paraId="5A55CE1C" w14:textId="77777777">
      <w:pPr>
        <w:rPr>
          <w:lang w:eastAsia="en-US" w:bidi="ar-SA"/>
        </w:rPr>
      </w:pPr>
      <w:bookmarkStart w:id="905" w:name="_5cjqjha8yozn" w:colFirst="0" w:colLast="0"/>
      <w:bookmarkEnd w:id="905"/>
      <w:r>
        <w:rPr>
          <w:lang w:eastAsia="en-US" w:bidi="ar-SA"/>
        </w:rPr>
        <w:t>A scholarly commentary on any aspect of the edition may be included as a separate division of the XML file.</w:t>
      </w:r>
    </w:p>
    <w:p w14:paraId="28D0EBD4" w14:textId="77777777">
      <w:pPr>
        <w:pStyle w:val="Lista"/>
      </w:pPr>
      <w:r>
        <w:t>the commentary is not the ideal place for</w:t>
      </w:r>
    </w:p>
    <w:p w14:paraId="71F3EDD1" w14:textId="77777777">
      <w:pPr>
        <w:pStyle w:val="Lista2"/>
      </w:pPr>
      <w:r>
        <w:t>palaeographic observations on the document as a whole</w:t>
      </w:r>
    </w:p>
    <w:p w14:paraId="35F767E8" w14:textId="77777777">
      <w:pPr>
        <w:pStyle w:val="Lista3"/>
      </w:pPr>
      <w:r>
        <w:t xml:space="preserve">which belong in the </w:t>
      </w:r>
      <w:r>
        <w:rPr>
          <w:rStyle w:val="Code"/>
        </w:rPr>
        <w:t>&lt;handDesc&gt;</w:t>
      </w:r>
      <w:r>
        <w:t xml:space="preserve"> section of the TEI header (§</w:t>
      </w:r>
      <w:r>
        <w:fldChar w:fldCharType="begin"/>
      </w:r>
      <w:r>
        <w:instrText xml:space="preserve"> REF _Ref43987455 \w \h  \* MERGEFORMAT </w:instrText>
      </w:r>
      <w:r>
        <w:fldChar w:fldCharType="separate"/>
      </w:r>
      <w:r>
        <w:t>15.2.1</w:t>
      </w:r>
      <w:r>
        <w:fldChar w:fldCharType="end"/>
      </w:r>
      <w:r>
        <w:t>)</w:t>
      </w:r>
    </w:p>
    <w:p w14:paraId="6F5A0838" w14:textId="77777777">
      <w:pPr>
        <w:pStyle w:val="Lista2"/>
      </w:pPr>
      <w:r>
        <w:t>remarks concerning specific small-scale loci in the text</w:t>
      </w:r>
    </w:p>
    <w:p w14:paraId="6BFA3D7C" w14:textId="77777777">
      <w:pPr>
        <w:pStyle w:val="Lista3"/>
      </w:pPr>
      <w:r>
        <w:t xml:space="preserve">which are better recorded in the apparatus as notes </w:t>
      </w:r>
      <w:r>
        <w:rPr>
          <w:noProof/>
        </w:rPr>
        <w:t>(</w:t>
      </w:r>
      <w:r>
        <w:t>§</w:t>
      </w:r>
      <w:r>
        <w:fldChar w:fldCharType="begin"/>
      </w:r>
      <w:r>
        <w:instrText xml:space="preserve"> REF _Ref43988104 \w \h  \* MERGEFORMAT </w:instrText>
      </w:r>
      <w:r>
        <w:fldChar w:fldCharType="separate"/>
      </w:r>
      <w:r>
        <w:t>10.7</w:t>
      </w:r>
      <w:r>
        <w:fldChar w:fldCharType="end"/>
      </w:r>
      <w:r>
        <w:t>), unless they are so long that they would disrupt the apparatus</w:t>
      </w:r>
    </w:p>
    <w:p w14:paraId="7A15A2AC" w14:textId="77777777">
      <w:pPr>
        <w:pStyle w:val="Lista"/>
      </w:pPr>
      <w:r>
        <w:t>typical topics that do belong in the commentary include</w:t>
      </w:r>
    </w:p>
    <w:p w14:paraId="2B0E9E97" w14:textId="77777777">
      <w:pPr>
        <w:pStyle w:val="Lista2"/>
      </w:pPr>
      <w:r>
        <w:t>remarks pertaining to specific loci when they are too long to put in the apparatus</w:t>
      </w:r>
    </w:p>
    <w:p w14:paraId="6AE6D54E" w14:textId="77777777">
      <w:pPr>
        <w:pStyle w:val="Lista2"/>
      </w:pPr>
      <w:r>
        <w:t>discussion of metrical phenomena and uncertainty about verse metres</w:t>
      </w:r>
    </w:p>
    <w:p w14:paraId="3491F1FF" w14:textId="77777777">
      <w:pPr>
        <w:pStyle w:val="Lista2"/>
      </w:pPr>
      <w:r>
        <w:t>discussion of the interpretation as reflected in your translation and any alternatives</w:t>
      </w:r>
    </w:p>
    <w:p w14:paraId="5DFD8366" w14:textId="77777777">
      <w:pPr>
        <w:pStyle w:val="Lista2"/>
      </w:pPr>
      <w:r>
        <w:t>literal translations of phrases more elegantly translated in your translation, but for this reason, possibly obscure</w:t>
      </w:r>
    </w:p>
    <w:p w14:paraId="61A6CFFF" w14:textId="77777777">
      <w:pPr>
        <w:pStyle w:val="Lista2"/>
      </w:pPr>
      <w:r>
        <w:t>pointing out parallel passages in other sources, especially if these are used as the basis of restoration in the present text</w:t>
      </w:r>
    </w:p>
    <w:p w14:paraId="578651B6" w14:textId="77777777">
      <w:pPr>
        <w:pStyle w:val="Cmsor2"/>
      </w:pPr>
      <w:bookmarkStart w:id="906" w:name="_Ref233792738"/>
      <w:bookmarkStart w:id="907" w:name="_Toc243900419"/>
      <w:r>
        <w:t>Encoding the commentary</w:t>
      </w:r>
      <w:bookmarkEnd w:id="906"/>
      <w:bookmarkEnd w:id="907"/>
    </w:p>
    <w:p w14:paraId="56F9986B" w14:textId="77777777">
      <w:pPr>
        <w:pStyle w:val="Lista"/>
      </w:pPr>
      <w:r>
        <w:t xml:space="preserve">the commentary to your text must be wrapped in </w:t>
      </w:r>
      <w:r>
        <w:rPr>
          <w:rStyle w:val="Code"/>
        </w:rPr>
        <w:t xml:space="preserve">&lt;div </w:t>
      </w:r>
      <w:r>
        <w:rPr>
          <w:rStyle w:val="Codeattribute"/>
        </w:rPr>
        <w:t>type</w:t>
      </w:r>
      <w:r>
        <w:rPr>
          <w:rStyle w:val="Code"/>
        </w:rPr>
        <w:t>=</w:t>
      </w:r>
      <w:r>
        <w:rPr>
          <w:rStyle w:val="Codevalue"/>
        </w:rPr>
        <w:t>"commentary"</w:t>
      </w:r>
      <w:r>
        <w:rPr>
          <w:rStyle w:val="Code"/>
        </w:rPr>
        <w:t>&gt;</w:t>
      </w:r>
      <w:r>
        <w:t>, without any attributes</w:t>
      </w:r>
    </w:p>
    <w:p w14:paraId="405930E4" w14:textId="77777777">
      <w:pPr>
        <w:pStyle w:val="Lista2"/>
      </w:pPr>
      <w:r>
        <w:t>this division follows the translation division</w:t>
      </w:r>
      <w:r>
        <w:rPr>
          <w:noProof/>
        </w:rPr>
        <w:t>(</w:t>
      </w:r>
      <w:r>
        <w:t>s) and is already present in our templates</w:t>
      </w:r>
    </w:p>
    <w:p w14:paraId="38B56382" w14:textId="77777777">
      <w:pPr>
        <w:pStyle w:val="Lista"/>
      </w:pPr>
      <w:r>
        <w:t xml:space="preserve">the commentary division shall contain only one or more </w:t>
      </w:r>
      <w:r>
        <w:rPr>
          <w:rStyle w:val="Code"/>
        </w:rPr>
        <w:t>&lt;p&gt;</w:t>
      </w:r>
      <w:r>
        <w:t xml:space="preserve"> elements, which in turn contain freeform discursive English text</w:t>
      </w:r>
    </w:p>
    <w:p w14:paraId="21B75369" w14:textId="77777777">
      <w:pPr>
        <w:pStyle w:val="Cmsor3"/>
      </w:pPr>
      <w:bookmarkStart w:id="908" w:name="_Toc243900420"/>
      <w:r>
        <w:t>Textpart divisions within the commentary</w:t>
      </w:r>
      <w:bookmarkEnd w:id="908"/>
    </w:p>
    <w:p w14:paraId="1107AD2D" w14:textId="77777777">
      <w:r>
        <w:rPr>
          <w:lang w:eastAsia="en-US" w:bidi="ar-SA"/>
        </w:rPr>
        <w:t xml:space="preserve">Unlike the apparatus and the translation, the commentary accompanying an edition segmented into textpart divisions does not have to be likewise segmented. However, textpart divisions may be created as desired to </w:t>
      </w:r>
      <w:r>
        <w:t>break up a long commentary into sections (chapters).</w:t>
      </w:r>
    </w:p>
    <w:p w14:paraId="6E8B5C81" w14:textId="77777777">
      <w:pPr>
        <w:pStyle w:val="Lista"/>
      </w:pPr>
      <w:r>
        <w:t xml:space="preserve">use any arbitrary number of textpart divisions, keeping in mind the requirement of tessellation </w:t>
      </w:r>
      <w:r>
        <w:rPr>
          <w:noProof/>
        </w:rPr>
        <w:t>(</w:t>
      </w:r>
      <w:r>
        <w:t>§</w:t>
      </w:r>
      <w:r>
        <w:fldChar w:fldCharType="begin"/>
      </w:r>
      <w:r>
        <w:instrText xml:space="preserve"> REF _Ref43990385 \r \h  \* MERGEFORMAT </w:instrText>
      </w:r>
      <w:r>
        <w:fldChar w:fldCharType="separate"/>
      </w:r>
      <w:r>
        <w:t>4.7.3.4</w:t>
      </w:r>
      <w:r>
        <w:fldChar w:fldCharType="end"/>
      </w:r>
      <w:r>
        <w:t>), i.e. that if a textpart division is present within your commentary, then all your commentarial text must be contained within textpart divisions</w:t>
      </w:r>
    </w:p>
    <w:p w14:paraId="7368B3CD" w14:textId="77777777">
      <w:pPr>
        <w:pStyle w:val="Lista"/>
      </w:pPr>
      <w:r>
        <w:t xml:space="preserve">always add the attribute </w:t>
      </w:r>
      <w:r>
        <w:rPr>
          <w:rStyle w:val="Codeattribute"/>
        </w:rPr>
        <w:t>@n</w:t>
      </w:r>
      <w:r>
        <w:t xml:space="preserve"> to number commentarial textparts, using plain Arabic numerals as values</w:t>
      </w:r>
    </w:p>
    <w:p w14:paraId="12C6B1E4" w14:textId="77777777">
      <w:pPr>
        <w:pStyle w:val="Lista"/>
      </w:pPr>
      <w:r>
        <w:t xml:space="preserve">always add a heading to commentarial textparts, by creating the element </w:t>
      </w:r>
      <w:r>
        <w:rPr>
          <w:rStyle w:val="Code"/>
        </w:rPr>
        <w:t>&lt;head&gt;</w:t>
      </w:r>
      <w:r>
        <w:t xml:space="preserve"> </w:t>
      </w:r>
      <w:r>
        <w:rPr>
          <w:noProof/>
        </w:rPr>
        <w:t>(</w:t>
      </w:r>
      <w:r>
        <w:t>containing free text to be displayed as a heading) as the first item within each textpart division</w:t>
      </w:r>
    </w:p>
    <w:p w14:paraId="6BA33963" w14:textId="77777777">
      <w:pPr>
        <w:pStyle w:val="Lista2"/>
      </w:pPr>
      <w:r>
        <w:t xml:space="preserve">the attribute </w:t>
      </w:r>
      <w:r>
        <w:rPr>
          <w:rStyle w:val="Codeattribute"/>
        </w:rPr>
        <w:t>@xml:lang</w:t>
      </w:r>
      <w:r>
        <w:t xml:space="preserve"> is not required on these </w:t>
      </w:r>
      <w:r>
        <w:rPr>
          <w:rStyle w:val="Code"/>
        </w:rPr>
        <w:t>&lt;head&gt;</w:t>
      </w:r>
      <w:r>
        <w:t xml:space="preserve"> elements, since they are in the same language as the rest of the commentary</w:t>
      </w:r>
    </w:p>
    <w:p w14:paraId="6FDD88B1" w14:textId="77777777">
      <w:pPr>
        <w:pStyle w:val="Cmsor2"/>
      </w:pPr>
      <w:bookmarkStart w:id="909" w:name="_Toc243900421"/>
      <w:r>
        <w:t>Indicating reference to the text</w:t>
      </w:r>
      <w:bookmarkEnd w:id="909"/>
    </w:p>
    <w:p w14:paraId="20D1E6B6" w14:textId="77777777">
      <w:pPr>
        <w:rPr>
          <w:lang w:eastAsia="en-US" w:bidi="ar-SA"/>
        </w:rPr>
      </w:pPr>
      <w:r>
        <w:rPr>
          <w:lang w:eastAsia="en-US" w:bidi="ar-SA"/>
        </w:rPr>
        <w:t>We are not implementing any machine-actionable linking between the text and the commentary. As and when desired, commentarial passages may include human-readable references to the edition.</w:t>
      </w:r>
    </w:p>
    <w:p w14:paraId="2F8CAA10" w14:textId="77777777">
      <w:pPr>
        <w:pStyle w:val="Lista"/>
      </w:pPr>
      <w:r>
        <w:t xml:space="preserve">as in any written commentary, refer to lines, stanzas, </w:t>
      </w:r>
      <w:r>
        <w:rPr>
          <w:rStyle w:val="Foreign"/>
        </w:rPr>
        <w:t>pāda</w:t>
      </w:r>
      <w:r>
        <w:rPr>
          <w:noProof/>
        </w:rPr>
        <w:t>s</w:t>
      </w:r>
      <w:r>
        <w:t xml:space="preserve"> or particular words/phrases as and when necessary, spelling out such references in a clear human-readable manner</w:t>
      </w:r>
    </w:p>
    <w:p w14:paraId="4264E867" w14:textId="77777777">
      <w:pPr>
        <w:pStyle w:val="Lista"/>
      </w:pPr>
      <w:r>
        <w:t>should you wish to create a structured commentary with entries referred to particular sections of the text, you may employ the human-readable linking method described for translations in §</w:t>
      </w:r>
      <w:r>
        <w:fldChar w:fldCharType="begin"/>
      </w:r>
      <w:r>
        <w:instrText xml:space="preserve"> REF _Ref233620814 \r \h </w:instrText>
      </w:r>
      <w:r>
        <w:fldChar w:fldCharType="separate"/>
      </w:r>
      <w:r>
        <w:t>11.3.1</w:t>
      </w:r>
      <w:r>
        <w:fldChar w:fldCharType="end"/>
      </w:r>
      <w:r>
        <w:t xml:space="preserve"> above, i.e.</w:t>
      </w:r>
    </w:p>
    <w:p w14:paraId="343480EC" w14:textId="77777777">
      <w:pPr>
        <w:pStyle w:val="Lista2"/>
      </w:pPr>
      <w:r>
        <w:t xml:space="preserve">add to any </w:t>
      </w:r>
      <w:r>
        <w:rPr>
          <w:rStyle w:val="Code"/>
        </w:rPr>
        <w:t>&lt;p&gt;</w:t>
      </w:r>
      <w:r>
        <w:t xml:space="preserve"> element in the commentary the attribute </w:t>
      </w:r>
      <w:r>
        <w:rPr>
          <w:rStyle w:val="Codeattribute"/>
        </w:rPr>
        <w:t>@n</w:t>
      </w:r>
      <w:r>
        <w:t>, corresponding to a line number, a range of line numbers, or a set of non-contiguous line numbers in the text</w:t>
      </w:r>
    </w:p>
    <w:p w14:paraId="5D42BED7" w14:textId="77777777">
      <w:pPr>
        <w:pStyle w:val="Lista2"/>
      </w:pPr>
      <w:r>
        <w:lastRenderedPageBreak/>
        <w:t xml:space="preserve">add to any </w:t>
      </w:r>
      <w:r>
        <w:rPr>
          <w:rStyle w:val="Code"/>
        </w:rPr>
        <w:t>&lt;p&gt;</w:t>
      </w:r>
      <w:r>
        <w:t xml:space="preserve"> element in the commentary the attribute </w:t>
      </w:r>
      <w:r>
        <w:rPr>
          <w:rStyle w:val="Codeattribute"/>
        </w:rPr>
        <w:t>@rend</w:t>
      </w:r>
      <w:r>
        <w:t xml:space="preserve"> with the value </w:t>
      </w:r>
      <w:r>
        <w:rPr>
          <w:rStyle w:val="Codevalue"/>
        </w:rPr>
        <w:t>"stanza"</w:t>
      </w:r>
      <w:r>
        <w:t xml:space="preserve"> and the attribute </w:t>
      </w:r>
      <w:r>
        <w:rPr>
          <w:rStyle w:val="Codeattribute"/>
        </w:rPr>
        <w:t>@n</w:t>
      </w:r>
      <w:r>
        <w:t>, corresponding to a stanza number, a range of stanza numbers, or a set of non-contiguous stanza numbers in the text</w:t>
      </w:r>
    </w:p>
    <w:p w14:paraId="64A02787" w14:textId="77777777">
      <w:pPr>
        <w:pStyle w:val="Cmsor2"/>
      </w:pPr>
      <w:bookmarkStart w:id="910" w:name="_Toc243900422"/>
      <w:r>
        <w:t>Markup within the commentary</w:t>
      </w:r>
      <w:bookmarkEnd w:id="910"/>
    </w:p>
    <w:p w14:paraId="6F1955AF" w14:textId="77777777">
      <w:pPr>
        <w:pStyle w:val="Lista"/>
      </w:pPr>
      <w:r>
        <w:t xml:space="preserve">the commentary </w:t>
      </w:r>
      <w:r>
        <w:rPr>
          <w:lang w:eastAsia="en-US" w:bidi="ar-SA"/>
        </w:rPr>
        <w:t xml:space="preserve">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including in particular</w:t>
      </w:r>
    </w:p>
    <w:p w14:paraId="39F90D24" w14:textId="77777777">
      <w:pPr>
        <w:pStyle w:val="Lista2"/>
      </w:pPr>
      <w:r>
        <w:t>lemmas and excerpts from the edition (§</w:t>
      </w:r>
      <w:r>
        <w:fldChar w:fldCharType="begin"/>
      </w:r>
      <w:r>
        <w:instrText xml:space="preserve"> REF _Ref43990337 \r \h </w:instrText>
      </w:r>
      <w:r>
        <w:fldChar w:fldCharType="separate"/>
      </w:r>
      <w:r>
        <w:t>14.1</w:t>
      </w:r>
      <w:r>
        <w:fldChar w:fldCharType="end"/>
      </w:r>
      <w:r>
        <w:t>)</w:t>
      </w:r>
    </w:p>
    <w:p w14:paraId="2279ED94" w14:textId="77777777">
      <w:pPr>
        <w:pStyle w:val="Lista2"/>
      </w:pPr>
      <w:r>
        <w:t>bibliographic citations (§</w:t>
      </w:r>
      <w:r>
        <w:fldChar w:fldCharType="begin"/>
      </w:r>
      <w:r>
        <w:instrText xml:space="preserve"> REF _Ref233877601 \r \h </w:instrText>
      </w:r>
      <w:r>
        <w:fldChar w:fldCharType="separate"/>
      </w:r>
      <w:r>
        <w:t>14.6.1</w:t>
      </w:r>
      <w:r>
        <w:fldChar w:fldCharType="end"/>
      </w:r>
      <w:r>
        <w:t>)</w:t>
      </w:r>
    </w:p>
    <w:p w14:paraId="3A9C15E4" w14:textId="77777777">
      <w:pPr>
        <w:pStyle w:val="Lista"/>
      </w:pPr>
      <w:r>
        <w:t>the commentary should not contain text-based markup such as brackets, asterisks and other signs</w:t>
      </w:r>
    </w:p>
    <w:p w14:paraId="11009E7A" w14:textId="77777777">
      <w:pPr>
        <w:pStyle w:val="Cmsor1"/>
      </w:pPr>
      <w:bookmarkStart w:id="911" w:name="_lvf2agfolatw" w:colFirst="0" w:colLast="0"/>
      <w:bookmarkStart w:id="912" w:name="_l90e8jlwm99j" w:colFirst="0" w:colLast="0"/>
      <w:bookmarkStart w:id="913" w:name="_Ref43978796"/>
      <w:bookmarkStart w:id="914" w:name="_Toc243900423"/>
      <w:bookmarkEnd w:id="911"/>
      <w:bookmarkEnd w:id="912"/>
      <w:r>
        <w:lastRenderedPageBreak/>
        <w:t>The bibliography</w:t>
      </w:r>
      <w:bookmarkEnd w:id="913"/>
      <w:bookmarkEnd w:id="914"/>
    </w:p>
    <w:p w14:paraId="5FCC6F35" w14:textId="77777777">
      <w:pPr>
        <w:rPr>
          <w:lang w:eastAsia="en-US" w:bidi="ar-SA"/>
        </w:rPr>
      </w:pPr>
      <w:r>
        <w:rPr>
          <w:lang w:eastAsia="en-US" w:bidi="ar-SA"/>
        </w:rPr>
        <w:t xml:space="preserve">DHARMA editions must always be accompanied by a bibliography, with the encoding structure and content specified in this section. The present section of the Guide is </w:t>
      </w:r>
      <w:r>
        <w:rPr>
          <w:i/>
          <w:iCs/>
          <w:lang w:eastAsia="en-US" w:bidi="ar-SA"/>
        </w:rPr>
        <w:t>not</w:t>
      </w:r>
      <w:r>
        <w:rPr>
          <w:lang w:eastAsia="en-US" w:bidi="ar-SA"/>
        </w:rPr>
        <w:t xml:space="preserve"> concerned with other bibliographic details such as</w:t>
      </w:r>
    </w:p>
    <w:p w14:paraId="40D329A2" w14:textId="77777777">
      <w:pPr>
        <w:pStyle w:val="Lista"/>
        <w:rPr>
          <w:lang w:eastAsia="en-US" w:bidi="ar-SA"/>
        </w:rPr>
      </w:pPr>
      <w:r>
        <w:rPr>
          <w:lang w:eastAsia="en-US" w:bidi="ar-SA"/>
        </w:rPr>
        <w:t>the project’s master bibliography, which is maintained in Zotero and discussed in the ZG</w:t>
      </w:r>
    </w:p>
    <w:p w14:paraId="7FF0FC79" w14:textId="77777777">
      <w:pPr>
        <w:pStyle w:val="Lista"/>
      </w:pPr>
      <w:r>
        <w:t>bibliographic citations, which are treated in §</w:t>
      </w:r>
      <w:r>
        <w:fldChar w:fldCharType="begin"/>
      </w:r>
      <w:r>
        <w:instrText xml:space="preserve"> REF _Ref233877601 \r \h </w:instrText>
      </w:r>
      <w:r>
        <w:fldChar w:fldCharType="separate"/>
      </w:r>
      <w:r>
        <w:t>14.6.1</w:t>
      </w:r>
      <w:r>
        <w:fldChar w:fldCharType="end"/>
      </w:r>
      <w:r>
        <w:t xml:space="preserve"> </w:t>
      </w:r>
    </w:p>
    <w:p w14:paraId="5B1298E1" w14:textId="77777777">
      <w:pPr>
        <w:pStyle w:val="Cmsor2"/>
      </w:pPr>
      <w:bookmarkStart w:id="915" w:name="_Toc243900424"/>
      <w:r>
        <w:t>Encoding the bibliography</w:t>
      </w:r>
      <w:bookmarkEnd w:id="915"/>
    </w:p>
    <w:p w14:paraId="737FD15E" w14:textId="77777777">
      <w:pPr>
        <w:pStyle w:val="Lista"/>
      </w:pPr>
      <w:r>
        <w:t xml:space="preserve">the bibliography must be wrapped in </w:t>
      </w:r>
      <w:r>
        <w:rPr>
          <w:rStyle w:val="Code"/>
        </w:rPr>
        <w:t xml:space="preserve">&lt;div </w:t>
      </w:r>
      <w:r>
        <w:rPr>
          <w:rStyle w:val="Codeattribute"/>
        </w:rPr>
        <w:t>type</w:t>
      </w:r>
      <w:r>
        <w:rPr>
          <w:rStyle w:val="Code"/>
        </w:rPr>
        <w:t>=</w:t>
      </w:r>
      <w:r>
        <w:rPr>
          <w:rStyle w:val="Codevalue"/>
        </w:rPr>
        <w:t>"bibliography"</w:t>
      </w:r>
      <w:r>
        <w:rPr>
          <w:rStyle w:val="Code"/>
        </w:rPr>
        <w:t>&gt;</w:t>
      </w:r>
      <w:r>
        <w:t xml:space="preserve"> without any attributes</w:t>
      </w:r>
    </w:p>
    <w:p w14:paraId="098FF6FE" w14:textId="77777777">
      <w:pPr>
        <w:pStyle w:val="Lista"/>
      </w:pPr>
      <w:r>
        <w:t xml:space="preserve">this division follows the commentary and is the last element within the </w:t>
      </w:r>
      <w:r>
        <w:rPr>
          <w:rStyle w:val="Code"/>
        </w:rPr>
        <w:t>&lt;body&gt;</w:t>
      </w:r>
      <w:r>
        <w:t xml:space="preserve"> of your document, where its skeleton structure is already present in our templates</w:t>
      </w:r>
    </w:p>
    <w:p w14:paraId="73031ADA" w14:textId="77777777">
      <w:pPr>
        <w:pStyle w:val="Lista"/>
      </w:pPr>
      <w:r>
        <w:t xml:space="preserve">in all DHARMA editions, the bibliography division mandatorily contains each of the following items, in this order, as pre-structured in our template and as illustrated in </w:t>
      </w:r>
      <w:r>
        <w:fldChar w:fldCharType="begin"/>
      </w:r>
      <w:r>
        <w:instrText xml:space="preserve"> REF _Ref233623329 \h </w:instrText>
      </w:r>
      <w:r>
        <w:fldChar w:fldCharType="separate"/>
      </w:r>
      <w:r>
        <w:t xml:space="preserve">Exhibit </w:t>
      </w:r>
      <w:r>
        <w:rPr>
          <w:noProof/>
        </w:rPr>
        <w:t>13.1</w:t>
      </w:r>
      <w:r>
        <w:t>.</w:t>
      </w:r>
      <w:r>
        <w:rPr>
          <w:noProof/>
        </w:rPr>
        <w:t>A</w:t>
      </w:r>
      <w:r>
        <w:fldChar w:fldCharType="end"/>
      </w:r>
    </w:p>
    <w:p w14:paraId="592A2052" w14:textId="77777777">
      <w:pPr>
        <w:pStyle w:val="Lista2"/>
      </w:pPr>
      <w:r>
        <w:t>an “epigraphic lemma”, §</w:t>
      </w:r>
      <w:r>
        <w:fldChar w:fldCharType="begin"/>
      </w:r>
      <w:r>
        <w:instrText xml:space="preserve"> REF _Ref233623221 \r \h </w:instrText>
      </w:r>
      <w:r>
        <w:fldChar w:fldCharType="separate"/>
      </w:r>
      <w:r>
        <w:t>13.2</w:t>
      </w:r>
      <w:r>
        <w:fldChar w:fldCharType="end"/>
      </w:r>
    </w:p>
    <w:p w14:paraId="4026BED5" w14:textId="77777777">
      <w:pPr>
        <w:pStyle w:val="Lista2"/>
      </w:pPr>
      <w:r>
        <w:t>a structured bibliography (§</w:t>
      </w:r>
      <w:r>
        <w:fldChar w:fldCharType="begin"/>
      </w:r>
      <w:r>
        <w:instrText xml:space="preserve"> REF _Ref63676627 \r \h </w:instrText>
      </w:r>
      <w:r>
        <w:fldChar w:fldCharType="separate"/>
      </w:r>
      <w:r>
        <w:t>13.3</w:t>
      </w:r>
      <w:r>
        <w:fldChar w:fldCharType="end"/>
      </w:r>
      <w:r>
        <w:t>) subdivided into</w:t>
      </w:r>
    </w:p>
    <w:p w14:paraId="2973D170" w14:textId="77777777">
      <w:pPr>
        <w:pStyle w:val="Lista3"/>
      </w:pPr>
      <w:r>
        <w:t>a primary bibliography, §</w:t>
      </w:r>
      <w:r>
        <w:fldChar w:fldCharType="begin"/>
      </w:r>
      <w:r>
        <w:instrText xml:space="preserve"> REF _Ref233625697 \r \h </w:instrText>
      </w:r>
      <w:r>
        <w:fldChar w:fldCharType="separate"/>
      </w:r>
      <w:r>
        <w:t>13.3.1</w:t>
      </w:r>
      <w:r>
        <w:fldChar w:fldCharType="end"/>
      </w:r>
    </w:p>
    <w:p w14:paraId="5663C8C4" w14:textId="0F6E07B5">
      <w:pPr>
        <w:pStyle w:val="Lista3"/>
      </w:pPr>
      <w:r>
        <w:t>a secondary bibliography, §</w:t>
      </w:r>
      <w:r>
        <w:fldChar w:fldCharType="begin"/>
      </w:r>
      <w:r>
        <w:instrText xml:space="preserve"> REF _Ref233623410 \r \h </w:instrText>
      </w:r>
      <w:r>
        <w:fldChar w:fldCharType="separate"/>
      </w:r>
      <w:r>
        <w:t>13.3.2</w:t>
      </w:r>
      <w:r>
        <w:fldChar w:fldCharType="end"/>
      </w:r>
    </w:p>
    <w:tbl>
      <w:tblPr>
        <w:tblStyle w:val="CodeSampleTable"/>
        <w:tblW w:w="5000" w:type="pct"/>
        <w:tblLook w:val="04A0" w:firstRow="1" w:lastRow="0" w:firstColumn="1" w:lastColumn="0" w:noHBand="0" w:noVBand="1"/>
      </w:tblPr>
      <w:tblGrid>
        <w:gridCol w:w="9628"/>
      </w:tblGrid>
      <w:tr w14:paraId="77C6930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D19F486" w14:textId="77777777">
            <w:pPr>
              <w:pStyle w:val="Kpalrs"/>
            </w:pPr>
            <w:bookmarkStart w:id="916" w:name="_Ref233623329"/>
            <w:bookmarkStart w:id="917" w:name="_Ref233623325"/>
            <w:r>
              <w:t xml:space="preserve">Exhibit </w:t>
            </w:r>
            <w:fldSimple w:instr=" STYLEREF 2 \s ">
              <w:r>
                <w:rPr>
                  <w:noProof/>
                </w:rPr>
                <w:t>13.1</w:t>
              </w:r>
            </w:fldSimple>
            <w:r>
              <w:t>.</w:t>
            </w:r>
            <w:fldSimple w:instr=" SEQ Exhibit \* ALPHABETIC \s 2 ">
              <w:r>
                <w:rPr>
                  <w:noProof/>
                </w:rPr>
                <w:t>A</w:t>
              </w:r>
            </w:fldSimple>
            <w:bookmarkEnd w:id="916"/>
            <w:r>
              <w:t>: encoding the bibliography division</w:t>
            </w:r>
            <w:bookmarkEnd w:id="917"/>
          </w:p>
        </w:tc>
      </w:tr>
      <w:tr w14:paraId="663E117C" w14:textId="77777777">
        <w:tc>
          <w:tcPr>
            <w:tcW w:w="5000" w:type="pct"/>
          </w:tcPr>
          <w:p w14:paraId="1803E916" w14:textId="77777777">
            <w:pPr>
              <w:pStyle w:val="CodeParagraph"/>
            </w:pPr>
            <w:r>
              <w:rPr>
                <w:rStyle w:val="Code"/>
              </w:rPr>
              <w:t xml:space="preserve">&lt;div </w:t>
            </w:r>
            <w:r>
              <w:rPr>
                <w:rStyle w:val="Codeattribute"/>
              </w:rPr>
              <w:t>type</w:t>
            </w:r>
            <w:r>
              <w:rPr>
                <w:rStyle w:val="Code"/>
              </w:rPr>
              <w:t>=</w:t>
            </w:r>
            <w:r>
              <w:rPr>
                <w:rStyle w:val="Codevalue"/>
              </w:rPr>
              <w:t>"bibliography"</w:t>
            </w:r>
            <w:r>
              <w:rPr>
                <w:rStyle w:val="Code"/>
              </w:rPr>
              <w:t>&gt;</w:t>
            </w:r>
            <w:r>
              <w:rPr>
                <w:rStyle w:val="Codetext"/>
              </w:rPr>
              <w:br/>
              <w:t xml:space="preserve">  </w:t>
            </w:r>
            <w:r>
              <w:rPr>
                <w:rStyle w:val="Code"/>
              </w:rPr>
              <w:t>&lt;p&gt;</w:t>
            </w:r>
            <w:r>
              <w:rPr>
                <w:rStyle w:val="Codetext"/>
              </w:rPr>
              <w:t xml:space="preserve">First edited by Cohen Stuart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
              </w:rPr>
              <w:t>=</w:t>
            </w:r>
            <w:r>
              <w:rPr>
                <w:rStyle w:val="Codevalue"/>
              </w:rPr>
              <w:t>"bib:CohenStuart1875_01"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23</w:t>
            </w:r>
            <w:r>
              <w:rPr>
                <w:rStyle w:val="Code"/>
              </w:rPr>
              <w:t xml:space="preserve">&lt;/citedRange&gt;&lt;citedRange </w:t>
            </w:r>
            <w:r>
              <w:rPr>
                <w:rStyle w:val="Codeattribute"/>
              </w:rPr>
              <w:t>unit</w:t>
            </w:r>
            <w:r>
              <w:rPr>
                <w:rStyle w:val="Code"/>
              </w:rPr>
              <w:t>=</w:t>
            </w:r>
            <w:r>
              <w:rPr>
                <w:rStyle w:val="Codevalue"/>
              </w:rPr>
              <w:t>"item"</w:t>
            </w:r>
            <w:r>
              <w:rPr>
                <w:rStyle w:val="Code"/>
              </w:rPr>
              <w:t>&gt;</w:t>
            </w:r>
            <w:r>
              <w:rPr>
                <w:rStyle w:val="Codetext"/>
              </w:rPr>
              <w:t>XIII</w:t>
            </w:r>
            <w:r>
              <w:rPr>
                <w:rStyle w:val="Code"/>
              </w:rPr>
              <w:t>&lt;/citedRange&gt;&lt;/bibl&gt;</w:t>
            </w:r>
            <w:r>
              <w:rPr>
                <w:rStyle w:val="Codetext"/>
              </w:rPr>
              <w:t xml:space="preserve"> with a lithographic reproduction in the accompanying volume of plates </w:t>
            </w:r>
            <w:r>
              <w:rPr>
                <w:rStyle w:val="Code"/>
              </w:rPr>
              <w:t xml:space="preserve">&lt;bibl&gt;&lt;ptr </w:t>
            </w:r>
            <w:r>
              <w:rPr>
                <w:rStyle w:val="Codeattribute"/>
              </w:rPr>
              <w:t>target</w:t>
            </w:r>
            <w:r>
              <w:rPr>
                <w:rStyle w:val="Code"/>
              </w:rPr>
              <w:t>=</w:t>
            </w:r>
            <w:r>
              <w:rPr>
                <w:rStyle w:val="Codevalue"/>
              </w:rPr>
              <w:t>"bib:Huart+Hooiberg1875_01"</w:t>
            </w:r>
            <w:r>
              <w:rPr>
                <w:rStyle w:val="Code"/>
              </w:rPr>
              <w:t>/&gt;&lt;/bibl&gt;</w:t>
            </w:r>
            <w:r>
              <w:rPr>
                <w:rStyle w:val="Codetext"/>
              </w:rPr>
              <w:t xml:space="preserve">; edited again by Boechari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
              </w:rPr>
              <w:t>=</w:t>
            </w:r>
            <w:r>
              <w:rPr>
                <w:rStyle w:val="Codevalue"/>
              </w:rPr>
              <w:t>"bib:Boechari1985-1986_01"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53</w:t>
            </w:r>
            <w:r>
              <w:rPr>
                <w:rStyle w:val="Code"/>
              </w:rPr>
              <w:t>&lt;/citedRange&gt;</w:t>
            </w:r>
            <w:r>
              <w:rPr>
                <w:rStyle w:val="Codetext"/>
              </w:rP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E.16</w:t>
            </w:r>
            <w:r>
              <w:rPr>
                <w:rStyle w:val="Code"/>
              </w:rPr>
              <w:t>&lt;/citedRange&gt;&lt;/bibl&gt;</w:t>
            </w:r>
            <w:r>
              <w:rPr>
                <w:rStyle w:val="Codetext"/>
              </w:rPr>
              <w:t>; re-edited here by Arlo Griffiths from the Leiden estampage of the plate.</w:t>
            </w:r>
            <w:r>
              <w:rPr>
                <w:rStyle w:val="Codetext"/>
              </w:rPr>
              <w:br/>
              <w:t xml:space="preserve">  </w:t>
            </w:r>
            <w:r>
              <w:rPr>
                <w:rStyle w:val="Code"/>
              </w:rPr>
              <w:t>&lt;/p&gt;</w:t>
            </w:r>
            <w:r>
              <w:rPr>
                <w:rStyle w:val="Codetext"/>
              </w:rPr>
              <w:br/>
              <w:t xml:space="preserve">  </w:t>
            </w:r>
            <w:r>
              <w:rPr>
                <w:rStyle w:val="Code"/>
              </w:rPr>
              <w:t xml:space="preserve">&lt;listBibl </w:t>
            </w:r>
            <w:r>
              <w:rPr>
                <w:rStyle w:val="Codeattribute"/>
              </w:rPr>
              <w:t>type</w:t>
            </w:r>
            <w:r>
              <w:rPr>
                <w:rStyle w:val="Code"/>
              </w:rPr>
              <w:t>=</w:t>
            </w:r>
            <w:r>
              <w:rPr>
                <w:rStyle w:val="Codevalue"/>
              </w:rPr>
              <w:t>"primary"</w:t>
            </w:r>
            <w:r>
              <w:rPr>
                <w:rStyle w:val="Code"/>
              </w:rPr>
              <w:t>&gt;</w:t>
            </w:r>
            <w:r>
              <w:rPr>
                <w:rStyle w:val="Codetext"/>
              </w:rPr>
              <w:br/>
              <w:t xml:space="preserve">    </w:t>
            </w:r>
            <w:r>
              <w:rPr>
                <w:rStyle w:val="Code"/>
              </w:rPr>
              <w:t xml:space="preserve">&lt;bibl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"bib:Boechari1985-1986_01"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53</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E.16</w:t>
            </w:r>
            <w:r>
              <w:rPr>
                <w:rStyle w:val="Code"/>
              </w:rPr>
              <w:t>&lt;/citedRange&gt;</w:t>
            </w:r>
            <w:r>
              <w:rPr>
                <w:rStyle w:val="Codetext"/>
              </w:rPr>
              <w:br/>
              <w:t xml:space="preserve">    </w:t>
            </w:r>
            <w:r>
              <w:rPr>
                <w:rStyle w:val="Code"/>
              </w:rPr>
              <w:t>&lt;/bibl&gt;</w:t>
            </w:r>
            <w:r>
              <w:rPr>
                <w:rStyle w:val="Codetext"/>
              </w:rPr>
              <w:br/>
              <w:t xml:space="preserve">    </w:t>
            </w:r>
            <w:r>
              <w:rPr>
                <w:rStyle w:val="Code"/>
              </w:rPr>
              <w:t xml:space="preserve">&lt;bibl </w:t>
            </w:r>
            <w:r>
              <w:rPr>
                <w:rStyle w:val="Codeattribute"/>
              </w:rPr>
              <w:t>n</w:t>
            </w:r>
            <w:r>
              <w:rPr>
                <w:rStyle w:val="Code"/>
              </w:rPr>
              <w:t>=</w:t>
            </w:r>
            <w:r>
              <w:rPr>
                <w:rStyle w:val="Codevalue"/>
              </w:rPr>
              <w:t>"CS"</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"bib:CohenStuart1875_01"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XIII</w:t>
            </w:r>
            <w:r>
              <w:rPr>
                <w:rStyle w:val="Code"/>
              </w:rPr>
              <w:t>&lt;/citedRange&gt;</w:t>
            </w:r>
            <w:r>
              <w:rPr>
                <w:rStyle w:val="Codetext"/>
              </w:rPr>
              <w:br/>
              <w:t xml:space="preserve">    </w:t>
            </w:r>
            <w:r>
              <w:rPr>
                <w:rStyle w:val="Code"/>
              </w:rPr>
              <w:t>&lt;/bibl&gt;</w:t>
            </w:r>
            <w:r>
              <w:rPr>
                <w:rStyle w:val="Codetext"/>
              </w:rPr>
              <w:br/>
              <w:t xml:space="preserve">    </w:t>
            </w:r>
            <w:r>
              <w:rPr>
                <w:rStyle w:val="Code"/>
              </w:rPr>
              <w:t xml:space="preserve">&lt;bibl </w:t>
            </w:r>
            <w:r>
              <w:rPr>
                <w:rStyle w:val="Codeattribute"/>
              </w:rPr>
              <w:t>n</w:t>
            </w:r>
            <w:r>
              <w:rPr>
                <w:rStyle w:val="Code"/>
              </w:rPr>
              <w:t>=</w:t>
            </w:r>
            <w:r>
              <w:rPr>
                <w:rStyle w:val="Codevalue"/>
              </w:rPr>
              <w:t>"HH"</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"bib:Huart+Hooiberg1875_01"</w:t>
            </w:r>
            <w:r>
              <w:rPr>
                <w:rStyle w:val="Code"/>
              </w:rPr>
              <w:t>/&gt;</w:t>
            </w:r>
            <w:r>
              <w:rPr>
                <w:rStyle w:val="Codetext"/>
              </w:rPr>
              <w:br/>
              <w:t xml:space="preserve">    </w:t>
            </w:r>
            <w:r>
              <w:rPr>
                <w:rStyle w:val="Code"/>
              </w:rPr>
              <w:t>&lt;/bibl&gt;</w:t>
            </w:r>
            <w:r>
              <w:rPr>
                <w:rStyle w:val="Codetext"/>
              </w:rPr>
              <w:br/>
              <w:t xml:space="preserve">  </w:t>
            </w:r>
            <w:r>
              <w:rPr>
                <w:rStyle w:val="Code"/>
              </w:rPr>
              <w:t>&lt;/listBibl&gt;</w:t>
            </w:r>
            <w:r>
              <w:rPr>
                <w:rStyle w:val="Codetext"/>
              </w:rPr>
              <w:br/>
              <w:t xml:space="preserve">  </w:t>
            </w:r>
            <w:r>
              <w:rPr>
                <w:rStyle w:val="Code"/>
              </w:rPr>
              <w:t xml:space="preserve">&lt;listBibl </w:t>
            </w:r>
            <w:r>
              <w:rPr>
                <w:rStyle w:val="Codeattribute"/>
              </w:rPr>
              <w:t>type</w:t>
            </w:r>
            <w:r>
              <w:rPr>
                <w:rStyle w:val="Code"/>
              </w:rPr>
              <w:t>=</w:t>
            </w:r>
            <w:r>
              <w:rPr>
                <w:rStyle w:val="Codevalue"/>
              </w:rPr>
              <w:t>"secondary"</w:t>
            </w:r>
            <w:r>
              <w:rPr>
                <w:rStyle w:val="Code"/>
              </w:rPr>
              <w:t>&gt;</w:t>
            </w:r>
            <w:r>
              <w:rPr>
                <w:rStyle w:val="Codetext"/>
              </w:rPr>
              <w:br/>
              <w:t xml:space="preserve">    </w:t>
            </w:r>
            <w:r>
              <w:rPr>
                <w:rStyle w:val="Code"/>
              </w:rPr>
              <w:t xml:space="preserve">&lt;bibl&gt;&lt;ptr </w:t>
            </w:r>
            <w:r>
              <w:rPr>
                <w:rStyle w:val="Codeattribute"/>
              </w:rPr>
              <w:t>target</w:t>
            </w:r>
            <w:r>
              <w:rPr>
                <w:rStyle w:val="Code"/>
              </w:rPr>
              <w:t>=</w:t>
            </w:r>
            <w:r>
              <w:rPr>
                <w:rStyle w:val="Codevalue"/>
              </w:rPr>
              <w:t>"bib:NBG08_1870"</w:t>
            </w:r>
            <w:r>
              <w:rPr>
                <w:rStyle w:val="Code"/>
              </w:rPr>
              <w:t>/&gt;&lt;date&gt;</w:t>
            </w:r>
            <w:r>
              <w:rPr>
                <w:rStyle w:val="Codetext"/>
              </w:rPr>
              <w:t>1870</w:t>
            </w:r>
            <w:r>
              <w:rPr>
                <w:rStyle w:val="Code"/>
              </w:rPr>
              <w:t>&lt;/date&gt;&lt;citedRange&gt;</w:t>
            </w:r>
            <w:r>
              <w:rPr>
                <w:rStyle w:val="Codetext"/>
              </w:rPr>
              <w:t>72, 78</w:t>
            </w:r>
            <w:r>
              <w:rPr>
                <w:rStyle w:val="Code"/>
              </w:rPr>
              <w:t>&lt;/citedRange&gt;&lt;/bibl&gt;</w:t>
            </w:r>
            <w:r>
              <w:rPr>
                <w:rStyle w:val="Codetext"/>
              </w:rPr>
              <w:br/>
              <w:t xml:space="preserve">    </w:t>
            </w:r>
            <w:r>
              <w:rPr>
                <w:rStyle w:val="Code"/>
              </w:rPr>
              <w:t xml:space="preserve">&lt;bibl&gt;&lt;ptr </w:t>
            </w:r>
            <w:r>
              <w:rPr>
                <w:rStyle w:val="Codeattribute"/>
              </w:rPr>
              <w:t>target</w:t>
            </w:r>
            <w:r>
              <w:rPr>
                <w:rStyle w:val="Code"/>
              </w:rPr>
              <w:t>=</w:t>
            </w:r>
            <w:r>
              <w:rPr>
                <w:rStyle w:val="Codevalue"/>
              </w:rPr>
              <w:t>"bib:Verbeek1891_01"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149-150</w:t>
            </w:r>
            <w:r>
              <w:rPr>
                <w:rStyle w:val="Code"/>
              </w:rPr>
              <w:t>&lt;/citedRange&gt;</w:t>
            </w:r>
            <w:r>
              <w:rPr>
                <w:rStyle w:val="Codetext"/>
              </w:rP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276</w:t>
            </w:r>
            <w:r>
              <w:rPr>
                <w:rStyle w:val="Code"/>
              </w:rPr>
              <w:t>&lt;/citedRange&gt;&lt;/bibl&gt;</w:t>
            </w:r>
            <w:r>
              <w:rPr>
                <w:rStyle w:val="Codetext"/>
              </w:rPr>
              <w:br/>
              <w:t xml:space="preserve">    </w:t>
            </w:r>
            <w:r>
              <w:rPr>
                <w:rStyle w:val="Code"/>
              </w:rPr>
              <w:t xml:space="preserve">&lt;bibl&gt;&lt;ptr </w:t>
            </w:r>
            <w:r>
              <w:rPr>
                <w:rStyle w:val="Codeattribute"/>
              </w:rPr>
              <w:t>target</w:t>
            </w:r>
            <w:r>
              <w:rPr>
                <w:rStyle w:val="Code"/>
              </w:rPr>
              <w:t>=</w:t>
            </w:r>
            <w:r>
              <w:rPr>
                <w:rStyle w:val="Codevalue"/>
              </w:rPr>
              <w:t>"bib:Damais1970_01"</w:t>
            </w:r>
            <w:r>
              <w:rPr>
                <w:rStyle w:val="Code"/>
              </w:rPr>
              <w:t xml:space="preserve">/&gt;&lt;citedRange </w:t>
            </w:r>
            <w:r>
              <w:rPr>
                <w:rStyle w:val="Codeattribute"/>
              </w:rPr>
              <w:t>unit</w:t>
            </w:r>
            <w:r>
              <w:rPr>
                <w:rStyle w:val="Code"/>
              </w:rPr>
              <w:t>=</w:t>
            </w:r>
            <w:r>
              <w:rPr>
                <w:rStyle w:val="Codevalue"/>
              </w:rPr>
              <w:t>"page"</w:t>
            </w:r>
            <w:r>
              <w:rPr>
                <w:rStyle w:val="Code"/>
              </w:rPr>
              <w:t>&gt;</w:t>
            </w:r>
            <w:r>
              <w:rPr>
                <w:rStyle w:val="Codetext"/>
              </w:rPr>
              <w:t>48</w:t>
            </w:r>
            <w:r>
              <w:rPr>
                <w:rStyle w:val="Code"/>
              </w:rPr>
              <w:t xml:space="preserve">&lt;/citedRange&gt;&lt;citedRange </w:t>
            </w:r>
            <w:r>
              <w:rPr>
                <w:rStyle w:val="Codeattribute"/>
              </w:rPr>
              <w:t>unit</w:t>
            </w:r>
            <w:r>
              <w:rPr>
                <w:rStyle w:val="Code"/>
              </w:rPr>
              <w:t>=</w:t>
            </w:r>
            <w:r>
              <w:rPr>
                <w:rStyle w:val="Codevalue"/>
              </w:rPr>
              <w:t>"item"</w:t>
            </w:r>
            <w:r>
              <w:rPr>
                <w:rStyle w:val="Code"/>
              </w:rPr>
              <w:t>&gt;</w:t>
            </w:r>
            <w:r>
              <w:rPr>
                <w:rStyle w:val="Codetext"/>
              </w:rPr>
              <w:t>86</w:t>
            </w:r>
            <w:r>
              <w:rPr>
                <w:rStyle w:val="Code"/>
              </w:rPr>
              <w:t xml:space="preserve">&lt;/citedRange&gt;&lt;citedRange </w:t>
            </w:r>
            <w:r>
              <w:rPr>
                <w:rStyle w:val="Codeattribute"/>
              </w:rPr>
              <w:t>unit</w:t>
            </w:r>
            <w:r>
              <w:rPr>
                <w:rStyle w:val="Code"/>
              </w:rPr>
              <w:t>=</w:t>
            </w:r>
            <w:r>
              <w:rPr>
                <w:rStyle w:val="Codevalue"/>
              </w:rPr>
              <w:t>"note"</w:t>
            </w:r>
            <w:r>
              <w:rPr>
                <w:rStyle w:val="Code"/>
              </w:rPr>
              <w:t>&gt;</w:t>
            </w:r>
            <w:r>
              <w:rPr>
                <w:rStyle w:val="Codetext"/>
              </w:rPr>
              <w:t>13</w:t>
            </w:r>
            <w:r>
              <w:rPr>
                <w:rStyle w:val="Code"/>
              </w:rPr>
              <w:t>&lt;/citedRange&gt;&lt;/bibl&gt;</w:t>
            </w:r>
          </w:p>
          <w:p w14:paraId="6911AD9B" w14:textId="77777777">
            <w:pPr>
              <w:pStyle w:val="CodeParagraph"/>
            </w:pPr>
            <w:r>
              <w:rPr>
                <w:rStyle w:val="Codetext"/>
              </w:rPr>
              <w:t xml:space="preserve">  </w:t>
            </w:r>
            <w:r>
              <w:rPr>
                <w:rStyle w:val="Code"/>
              </w:rPr>
              <w:t>&lt;/listBibl&gt;</w:t>
            </w:r>
            <w:r>
              <w:rPr>
                <w:rStyle w:val="Codetext"/>
              </w:rPr>
              <w:br/>
            </w:r>
            <w:r>
              <w:rPr>
                <w:rStyle w:val="Code"/>
              </w:rPr>
              <w:t>&lt;/div&gt;</w:t>
            </w:r>
          </w:p>
        </w:tc>
      </w:tr>
    </w:tbl>
    <w:p w14:paraId="6D496AAE" w14:textId="77777777">
      <w:pPr>
        <w:pStyle w:val="Cmsor2"/>
      </w:pPr>
      <w:bookmarkStart w:id="918" w:name="_Ref233623221"/>
      <w:bookmarkStart w:id="919" w:name="_Toc243900425"/>
      <w:r>
        <w:t>The epigraphic lemma</w:t>
      </w:r>
      <w:bookmarkEnd w:id="918"/>
      <w:bookmarkEnd w:id="919"/>
    </w:p>
    <w:p w14:paraId="348E7FD6" w14:textId="77777777">
      <w:r>
        <w:rPr>
          <w:lang w:eastAsia="en-US" w:bidi="ar-SA"/>
        </w:rPr>
        <w:t xml:space="preserve">An epigraphic lemma (called by this name in Greek and Roman epigraphy) </w:t>
      </w:r>
      <w:r>
        <w:t xml:space="preserve">is a paragraph which explains the history of research leading up the present edition. Our epigraphic lemmas shall be encoded as a single </w:t>
      </w:r>
      <w:r>
        <w:rPr>
          <w:rStyle w:val="Code"/>
        </w:rPr>
        <w:t>&lt;p&gt;</w:t>
      </w:r>
      <w:r>
        <w:t xml:space="preserve"> </w:t>
      </w:r>
      <w:r>
        <w:lastRenderedPageBreak/>
        <w:t xml:space="preserve">element that is the first child of the bibliography division, containing freeform discursive English text, as illustrated in </w:t>
      </w:r>
      <w:r>
        <w:fldChar w:fldCharType="begin"/>
      </w:r>
      <w:r>
        <w:instrText xml:space="preserve"> REF _Ref233623329 \h </w:instrText>
      </w:r>
      <w:r>
        <w:fldChar w:fldCharType="separate"/>
      </w:r>
      <w:r>
        <w:t xml:space="preserve">Exhibit </w:t>
      </w:r>
      <w:r>
        <w:rPr>
          <w:noProof/>
        </w:rPr>
        <w:t>13.1</w:t>
      </w:r>
      <w:r>
        <w:t>.</w:t>
      </w:r>
      <w:r>
        <w:rPr>
          <w:noProof/>
        </w:rPr>
        <w:t>A</w:t>
      </w:r>
      <w:r>
        <w:fldChar w:fldCharType="end"/>
      </w:r>
      <w:r>
        <w:t xml:space="preserve">. </w:t>
      </w:r>
    </w:p>
    <w:p w14:paraId="59CAFA80" w14:textId="77777777">
      <w:pPr>
        <w:pStyle w:val="Lista"/>
      </w:pPr>
      <w:r>
        <w:t>the epigraphic lemma will normally be centred around a list of the principal publications pertaining to the study of the text and its translation, in ascending chronological order up to the one that most immediately precedes the present edition</w:t>
      </w:r>
    </w:p>
    <w:p w14:paraId="5AF8DE75" w14:textId="77777777">
      <w:pPr>
        <w:pStyle w:val="Lista2"/>
      </w:pPr>
      <w:r>
        <w:t>principal publications are typically the same as the items of the primary bibliography (§</w:t>
      </w:r>
      <w:r>
        <w:fldChar w:fldCharType="begin"/>
      </w:r>
      <w:r>
        <w:instrText xml:space="preserve"> REF _Ref63676627 \r \h </w:instrText>
      </w:r>
      <w:r>
        <w:fldChar w:fldCharType="separate"/>
      </w:r>
      <w:r>
        <w:t>13.3</w:t>
      </w:r>
      <w:r>
        <w:fldChar w:fldCharType="end"/>
      </w:r>
      <w:r>
        <w:t>), but early reports, facsimiles and translations without an accompanying edition may also be mentioned here</w:t>
      </w:r>
    </w:p>
    <w:p w14:paraId="187B262B" w14:textId="77777777">
      <w:pPr>
        <w:pStyle w:val="Lista2"/>
      </w:pPr>
      <w:r>
        <w:t xml:space="preserve">each reference must be encoded as a bibliographic citation </w:t>
      </w:r>
      <w:r>
        <w:rPr>
          <w:noProof/>
        </w:rPr>
        <w:t>(</w:t>
      </w:r>
      <w:r>
        <w:t>§</w:t>
      </w:r>
      <w:r>
        <w:fldChar w:fldCharType="begin"/>
      </w:r>
      <w:r>
        <w:instrText xml:space="preserve"> REF _Ref233877601 \r \h </w:instrText>
      </w:r>
      <w:r>
        <w:fldChar w:fldCharType="separate"/>
      </w:r>
      <w:r>
        <w:t>14.6.1</w:t>
      </w:r>
      <w:r>
        <w:fldChar w:fldCharType="end"/>
      </w:r>
      <w:r>
        <w:t xml:space="preserve">) </w:t>
      </w:r>
    </w:p>
    <w:p w14:paraId="4773F62B" w14:textId="77777777">
      <w:pPr>
        <w:pStyle w:val="Lista3"/>
      </w:pPr>
      <w:r>
        <w:t>the encoding can be copied and pasted from or to the structured bibliography, then edited as needed</w:t>
      </w:r>
    </w:p>
    <w:p w14:paraId="46B7B274" w14:textId="77777777">
      <w:pPr>
        <w:pStyle w:val="Lista2"/>
      </w:pPr>
      <w:r>
        <w:t>each reference must be integrated into a sentence explaining the relevance of the item</w:t>
      </w:r>
    </w:p>
    <w:p w14:paraId="1045D606" w14:textId="77777777">
      <w:pPr>
        <w:pStyle w:val="Lista3"/>
      </w:pPr>
      <w:r>
        <w:t>specify whether the item includes an edition, a facsimile or a translation of the text</w:t>
      </w:r>
    </w:p>
    <w:p w14:paraId="62305B66" w14:textId="77777777">
      <w:pPr>
        <w:pStyle w:val="Lista3"/>
      </w:pPr>
      <w:r>
        <w:t>for any publication that includes visual documentation, give a full account of such documentation in the epigraphic lemma (reproduction method, print quality, missing parts, etc.)</w:t>
      </w:r>
    </w:p>
    <w:p w14:paraId="742F533C" w14:textId="77777777">
      <w:pPr>
        <w:pStyle w:val="Lista3"/>
      </w:pPr>
      <w:r>
        <w:t>for editions, specify the kind and source of the visual documentation on which the edition was based</w:t>
      </w:r>
    </w:p>
    <w:p w14:paraId="56991650" w14:textId="77777777">
      <w:pPr>
        <w:pStyle w:val="Lista"/>
      </w:pPr>
      <w:r>
        <w:t>the epigraphic lemma shall end with the introduction of the present edition</w:t>
      </w:r>
    </w:p>
    <w:p w14:paraId="49F9DC18" w14:textId="77777777">
      <w:pPr>
        <w:pStyle w:val="Lista2"/>
      </w:pPr>
      <w:r>
        <w:t>this will be the only item of the epigraphic lemma for texts which have not been published before</w:t>
      </w:r>
    </w:p>
    <w:p w14:paraId="117D672D" w14:textId="77777777">
      <w:pPr>
        <w:pStyle w:val="Lista2"/>
      </w:pPr>
      <w:r>
        <w:t xml:space="preserve">include your name (along with the names of any collaborators) in this item, stating in human-readable form the same information that has been encoded in the </w:t>
      </w:r>
      <w:r>
        <w:rPr>
          <w:rStyle w:val="Code"/>
        </w:rPr>
        <w:t>&lt;respStmt&gt;</w:t>
      </w:r>
      <w:r>
        <w:t xml:space="preserve"> (§</w:t>
      </w:r>
      <w:r>
        <w:fldChar w:fldCharType="begin"/>
      </w:r>
      <w:r>
        <w:instrText xml:space="preserve"> REF _Ref43990001 \w \h  \* MERGEFORMAT </w:instrText>
      </w:r>
      <w:r>
        <w:fldChar w:fldCharType="separate"/>
      </w:r>
      <w:r>
        <w:t>15.1.2</w:t>
      </w:r>
      <w:r>
        <w:fldChar w:fldCharType="end"/>
      </w:r>
      <w:r>
        <w:t>) and, if applicable, elaborating it</w:t>
      </w:r>
    </w:p>
    <w:p w14:paraId="12EBF6C0" w14:textId="77777777">
      <w:pPr>
        <w:pStyle w:val="Lista2"/>
      </w:pPr>
      <w:r>
        <w:t>specify the kind and source of the visual documentation on which your edition is based</w:t>
      </w:r>
    </w:p>
    <w:p w14:paraId="0165EF95" w14:textId="77777777">
      <w:pPr>
        <w:pStyle w:val="Lista3"/>
      </w:pPr>
      <w:r>
        <w:t>see also §</w:t>
      </w:r>
      <w:r>
        <w:fldChar w:fldCharType="begin"/>
      </w:r>
      <w:r>
        <w:instrText xml:space="preserve"> REF _Ref240361060 \r \h </w:instrText>
      </w:r>
      <w:r>
        <w:fldChar w:fldCharType="separate"/>
      </w:r>
      <w:r>
        <w:t>13.2.1</w:t>
      </w:r>
      <w:r>
        <w:fldChar w:fldCharType="end"/>
      </w:r>
      <w:r>
        <w:t xml:space="preserve"> and </w:t>
      </w:r>
      <w:r>
        <w:fldChar w:fldCharType="begin"/>
      </w:r>
      <w:r>
        <w:instrText xml:space="preserve"> REF _Ref240361012 \h </w:instrText>
      </w:r>
      <w:r>
        <w:fldChar w:fldCharType="separate"/>
      </w:r>
      <w:r>
        <w:t xml:space="preserve">Exhibit </w:t>
      </w:r>
      <w:r>
        <w:rPr>
          <w:noProof/>
        </w:rPr>
        <w:t>13.2</w:t>
      </w:r>
      <w:r>
        <w:t>.</w:t>
      </w:r>
      <w:r>
        <w:rPr>
          <w:noProof/>
        </w:rPr>
        <w:t>A</w:t>
      </w:r>
      <w:r>
        <w:fldChar w:fldCharType="end"/>
      </w:r>
    </w:p>
    <w:p w14:paraId="3EA4D3B6" w14:textId="77777777">
      <w:pPr>
        <w:pStyle w:val="Cmsor3"/>
      </w:pPr>
      <w:bookmarkStart w:id="920" w:name="_Ref240361060"/>
      <w:bookmarkStart w:id="921" w:name="_Toc243900426"/>
      <w:r>
        <w:t>Markup within the epigraphic lemma</w:t>
      </w:r>
      <w:bookmarkEnd w:id="920"/>
      <w:bookmarkEnd w:id="921"/>
    </w:p>
    <w:p w14:paraId="545AC9E1" w14:textId="77777777">
      <w:pPr>
        <w:pStyle w:val="Lista"/>
      </w:pPr>
      <w:r>
        <w:rPr>
          <w:lang w:eastAsia="en-US" w:bidi="ar-SA"/>
        </w:rPr>
        <w:t xml:space="preserve">as free text, the epigraphic lemma may include the </w:t>
      </w:r>
      <w:r>
        <w:t>globally permitted miscellaneous markup elements discussed in §</w:t>
      </w:r>
      <w:r>
        <w:fldChar w:fldCharType="begin"/>
      </w:r>
      <w:r>
        <w:instrText xml:space="preserve"> REF _Ref43990225 \w \h  \* MERGEFORMAT </w:instrText>
      </w:r>
      <w:r>
        <w:fldChar w:fldCharType="separate"/>
      </w:r>
      <w:r>
        <w:t>14</w:t>
      </w:r>
      <w:r>
        <w:fldChar w:fldCharType="end"/>
      </w:r>
      <w:r>
        <w:t>, including in particular</w:t>
      </w:r>
    </w:p>
    <w:p w14:paraId="39FF9D19" w14:textId="77777777">
      <w:pPr>
        <w:pStyle w:val="Lista2"/>
        <w:rPr>
          <w:lang w:eastAsia="en-US" w:bidi="ar-SA"/>
        </w:rPr>
      </w:pPr>
      <w:r>
        <w:t>bibliographic citations (§</w:t>
      </w:r>
      <w:r>
        <w:fldChar w:fldCharType="begin"/>
      </w:r>
      <w:r>
        <w:instrText xml:space="preserve"> REF _Ref233877601 \r \h </w:instrText>
      </w:r>
      <w:r>
        <w:fldChar w:fldCharType="separate"/>
      </w:r>
      <w:r>
        <w:t>14.6.1</w:t>
      </w:r>
      <w:r>
        <w:fldChar w:fldCharType="end"/>
      </w:r>
      <w:r>
        <w:t>), which are mandatory as described in §</w:t>
      </w:r>
      <w:r>
        <w:fldChar w:fldCharType="begin"/>
      </w:r>
      <w:r>
        <w:instrText xml:space="preserve"> REF _Ref233623221 \r \h </w:instrText>
      </w:r>
      <w:r>
        <w:fldChar w:fldCharType="separate"/>
      </w:r>
      <w:r>
        <w:t>13.2</w:t>
      </w:r>
      <w:r>
        <w:fldChar w:fldCharType="end"/>
      </w:r>
      <w:r>
        <w:t xml:space="preserve"> above</w:t>
      </w:r>
    </w:p>
    <w:p w14:paraId="1E3A9230" w14:textId="77777777">
      <w:pPr>
        <w:pStyle w:val="Lista2"/>
      </w:pPr>
      <w:r>
        <w:t>notes (§</w:t>
      </w:r>
      <w:r>
        <w:fldChar w:fldCharType="begin"/>
      </w:r>
      <w:r>
        <w:instrText xml:space="preserve"> REF _Ref43989684 \r \h </w:instrText>
      </w:r>
      <w:r>
        <w:fldChar w:fldCharType="separate"/>
      </w:r>
      <w:r>
        <w:t>14.5</w:t>
      </w:r>
      <w:r>
        <w:fldChar w:fldCharType="end"/>
      </w:r>
      <w:r>
        <w:t xml:space="preserve">) </w:t>
      </w:r>
    </w:p>
    <w:p w14:paraId="48070791" w14:textId="77777777">
      <w:pPr>
        <w:pStyle w:val="Lista3"/>
      </w:pPr>
      <w:r>
        <w:t xml:space="preserve">if you wish to add a note to a particular bibliographic citation, remember to place the </w:t>
      </w:r>
      <w:r>
        <w:rPr>
          <w:rStyle w:val="Code"/>
        </w:rPr>
        <w:t>&lt;note&gt;</w:t>
      </w:r>
      <w:r>
        <w:t xml:space="preserve"> element outside, and immediately after, the </w:t>
      </w:r>
      <w:r>
        <w:rPr>
          <w:rStyle w:val="Code"/>
        </w:rPr>
        <w:t>&lt;bibl&gt;</w:t>
      </w:r>
      <w:r>
        <w:t xml:space="preserve"> element</w:t>
      </w:r>
    </w:p>
    <w:p w14:paraId="50BA0E21" w14:textId="77777777">
      <w:pPr>
        <w:pStyle w:val="Lista2"/>
      </w:pPr>
      <w:r>
        <w:t>reference to websites (§</w:t>
      </w:r>
      <w:r>
        <w:fldChar w:fldCharType="begin"/>
      </w:r>
      <w:r>
        <w:instrText xml:space="preserve"> REF _Ref155689459 \r \h </w:instrText>
      </w:r>
      <w:r>
        <w:fldChar w:fldCharType="separate"/>
      </w:r>
      <w:r>
        <w:t>14.6.4.2</w:t>
      </w:r>
      <w:r>
        <w:fldChar w:fldCharType="end"/>
      </w:r>
      <w:r>
        <w:t>), especially when visual documentation or metadata have been made available in a public repository</w:t>
      </w:r>
    </w:p>
    <w:p w14:paraId="0CBCFAA2" w14:textId="77777777">
      <w:pPr>
        <w:pStyle w:val="Lista2"/>
      </w:pPr>
      <w:r>
        <w:t xml:space="preserve">see </w:t>
      </w:r>
      <w:r>
        <w:fldChar w:fldCharType="begin"/>
      </w:r>
      <w:r>
        <w:instrText xml:space="preserve"> REF _Ref240361012 \h </w:instrText>
      </w:r>
      <w:r>
        <w:fldChar w:fldCharType="separate"/>
      </w:r>
      <w:r>
        <w:t xml:space="preserve">Exhibit </w:t>
      </w:r>
      <w:r>
        <w:rPr>
          <w:noProof/>
        </w:rPr>
        <w:t>13.2</w:t>
      </w:r>
      <w:r>
        <w:t>.</w:t>
      </w:r>
      <w:r>
        <w:rPr>
          <w:noProof/>
        </w:rPr>
        <w:t>A</w:t>
      </w:r>
      <w:r>
        <w:fldChar w:fldCharType="end"/>
      </w:r>
      <w:r>
        <w:t xml:space="preserve"> for an illustration with various references</w:t>
      </w:r>
    </w:p>
    <w:tbl>
      <w:tblPr>
        <w:tblStyle w:val="CodeSampleTable"/>
        <w:tblW w:w="5000" w:type="pct"/>
        <w:tblLook w:val="04A0" w:firstRow="1" w:lastRow="0" w:firstColumn="1" w:lastColumn="0" w:noHBand="0" w:noVBand="1"/>
      </w:tblPr>
      <w:tblGrid>
        <w:gridCol w:w="9628"/>
      </w:tblGrid>
      <w:tr w14:paraId="7F124A2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8E7C8E1" w14:textId="77777777">
            <w:pPr>
              <w:pStyle w:val="Kpalrs"/>
            </w:pPr>
            <w:bookmarkStart w:id="922" w:name="_Ref240361012"/>
            <w:r>
              <w:t xml:space="preserve">Exhibit </w:t>
            </w:r>
            <w:fldSimple w:instr=" STYLEREF 2 \s ">
              <w:r>
                <w:rPr>
                  <w:noProof/>
                </w:rPr>
                <w:t>13.2</w:t>
              </w:r>
            </w:fldSimple>
            <w:r>
              <w:t>.</w:t>
            </w:r>
            <w:fldSimple w:instr=" SEQ Exhibit \* ALPHABETIC \s 2 ">
              <w:r>
                <w:rPr>
                  <w:noProof/>
                </w:rPr>
                <w:t>A</w:t>
              </w:r>
            </w:fldSimple>
            <w:bookmarkEnd w:id="922"/>
            <w:r>
              <w:t>: epigraphic lemma with encoded external links</w:t>
            </w:r>
          </w:p>
        </w:tc>
      </w:tr>
      <w:tr w14:paraId="4C64183F" w14:textId="77777777">
        <w:tc>
          <w:tcPr>
            <w:tcW w:w="5000" w:type="pct"/>
          </w:tcPr>
          <w:p w14:paraId="7BB2F7DA" w14:textId="77777777">
            <w:pPr>
              <w:pStyle w:val="CodeParagraph"/>
              <w:rPr>
                <w:rStyle w:val="Code"/>
              </w:rPr>
            </w:pPr>
            <w:r>
              <w:rPr>
                <w:rStyle w:val="Code"/>
              </w:rPr>
              <w:t xml:space="preserve">&lt;div </w:t>
            </w:r>
            <w:r>
              <w:rPr>
                <w:rStyle w:val="Codeattribute"/>
              </w:rPr>
              <w:t>type</w:t>
            </w:r>
            <w:r>
              <w:rPr>
                <w:rStyle w:val="Code"/>
              </w:rPr>
              <w:t>=</w:t>
            </w:r>
            <w:r>
              <w:rPr>
                <w:rStyle w:val="Codevalue"/>
              </w:rPr>
              <w:t>"bibliography"</w:t>
            </w:r>
            <w:r>
              <w:rPr>
                <w:rStyle w:val="Code"/>
              </w:rPr>
              <w:t>&gt;</w:t>
            </w:r>
            <w:r>
              <w:rPr>
                <w:rStyle w:val="Codetext"/>
              </w:rPr>
              <w:br/>
              <w:t xml:space="preserve">  </w:t>
            </w:r>
            <w:r>
              <w:rPr>
                <w:rStyle w:val="Code"/>
              </w:rPr>
              <w:t>&lt;p&gt;</w:t>
            </w:r>
            <w:r>
              <w:rPr>
                <w:rStyle w:val="Codetext"/>
              </w:rPr>
              <w:t>First published, with translation into Dutch, by F. D. K. Bosch (</w:t>
            </w:r>
            <w:r>
              <w:rPr>
                <w:rStyle w:val="Code"/>
              </w:rPr>
              <w:t xml:space="preserve">&lt;bibl </w:t>
            </w:r>
            <w:r>
              <w:rPr>
                <w:rStyle w:val="Codeattribute"/>
              </w:rPr>
              <w:t>rend=</w:t>
            </w:r>
            <w:r>
              <w:rPr>
                <w:rStyle w:val="Codevalue"/>
              </w:rPr>
              <w:t>"omitname"</w:t>
            </w:r>
            <w:r>
              <w:rPr>
                <w:rStyle w:val="Code"/>
              </w:rPr>
              <w:t xml:space="preserve">&gt;&lt;ptr </w:t>
            </w:r>
            <w:r>
              <w:rPr>
                <w:rStyle w:val="Codeattribute"/>
              </w:rPr>
              <w:t>target=</w:t>
            </w:r>
            <w:r>
              <w:rPr>
                <w:rStyle w:val="Codevalue"/>
              </w:rPr>
              <w:t>"bib:Bosch1919-1921_02"</w:t>
            </w:r>
            <w:r>
              <w:rPr>
                <w:rStyle w:val="Code"/>
              </w:rPr>
              <w:t>/&gt;&lt;/bibl&gt;</w:t>
            </w:r>
            <w:r>
              <w:rPr>
                <w:rStyle w:val="Codetext"/>
              </w:rPr>
              <w:t xml:space="preserve">). A new edition by Arlo Griffiths was published, with translation into Indonesian, in </w:t>
            </w:r>
            <w:r>
              <w:rPr>
                <w:rStyle w:val="Code"/>
              </w:rPr>
              <w:t xml:space="preserve">&lt;bibl&gt;&lt;ptr </w:t>
            </w:r>
            <w:r>
              <w:rPr>
                <w:rStyle w:val="Codeattribute"/>
              </w:rPr>
              <w:t>target=</w:t>
            </w:r>
            <w:r>
              <w:rPr>
                <w:rStyle w:val="Codevalue"/>
              </w:rPr>
              <w:t>"bib:TitiSurtiNastiti+al2025_01"</w:t>
            </w:r>
            <w:r>
              <w:rPr>
                <w:rStyle w:val="Code"/>
              </w:rPr>
              <w:t>/&gt;&lt;/bibl&gt;</w:t>
            </w:r>
            <w:r>
              <w:rPr>
                <w:rStyle w:val="Codetext"/>
              </w:rPr>
              <w:t xml:space="preserve">, making use of available surrogates, notably the OD estampage (447, captured in photograph </w:t>
            </w:r>
            <w:r>
              <w:rPr>
                <w:rStyle w:val="Code"/>
              </w:rPr>
              <w:t xml:space="preserve">&lt;ref </w:t>
            </w:r>
            <w:r>
              <w:rPr>
                <w:rStyle w:val="Codeattribute"/>
              </w:rPr>
              <w:t>target=</w:t>
            </w:r>
            <w:r>
              <w:rPr>
                <w:rStyle w:val="Codevalue"/>
              </w:rPr>
              <w:t>"http://hdl.handle.net/1887.1/item:4101102"</w:t>
            </w:r>
            <w:r>
              <w:rPr>
                <w:rStyle w:val="Code"/>
              </w:rPr>
              <w:t>&gt;</w:t>
            </w:r>
            <w:r>
              <w:rPr>
                <w:rStyle w:val="Codetext"/>
              </w:rPr>
              <w:t>OD 3809</w:t>
            </w:r>
            <w:r>
              <w:rPr>
                <w:rStyle w:val="Code"/>
              </w:rPr>
              <w:t>&lt;/ref&gt;</w:t>
            </w:r>
            <w:r>
              <w:rPr>
                <w:rStyle w:val="Codetext"/>
              </w:rPr>
              <w:t xml:space="preserve">), the EFEO estampage (n. 2247), and BRIN-EFEO </w:t>
            </w:r>
            <w:r>
              <w:rPr>
                <w:rStyle w:val="Code"/>
              </w:rPr>
              <w:t xml:space="preserve">&lt;ref </w:t>
            </w:r>
            <w:r>
              <w:rPr>
                <w:rStyle w:val="Codeattribute"/>
              </w:rPr>
              <w:t>target=</w:t>
            </w:r>
            <w:r>
              <w:rPr>
                <w:rStyle w:val="Codevalue"/>
              </w:rPr>
              <w:t>"https://nakala.fr/10.34847/nkl.dccf5f0p"</w:t>
            </w:r>
            <w:r>
              <w:rPr>
                <w:rStyle w:val="Code"/>
              </w:rPr>
              <w:t>&gt;</w:t>
            </w:r>
            <w:r>
              <w:rPr>
                <w:rStyle w:val="Codetext"/>
              </w:rPr>
              <w:t>orthophotos</w:t>
            </w:r>
            <w:r>
              <w:rPr>
                <w:rStyle w:val="Code"/>
              </w:rPr>
              <w:t>&lt;/ref&gt;</w:t>
            </w:r>
            <w:r>
              <w:rPr>
                <w:rStyle w:val="Codetext"/>
              </w:rPr>
              <w:t xml:space="preserve">. That edition is reproduced here, with addition of an English translation. For a full listing of photographs of the statue and of surrogates of the inscription, bibliographic references and other metadata, see </w:t>
            </w:r>
            <w:r>
              <w:rPr>
                <w:rStyle w:val="Code"/>
              </w:rPr>
              <w:t xml:space="preserve">&lt;ref </w:t>
            </w:r>
            <w:r>
              <w:rPr>
                <w:rStyle w:val="Codeattribute"/>
              </w:rPr>
              <w:t>target=</w:t>
            </w:r>
            <w:r>
              <w:rPr>
                <w:rStyle w:val="Codevalue"/>
              </w:rPr>
              <w:t>"https://heurist.huma-num.fr/IDENK/INS-EN/00649"</w:t>
            </w:r>
            <w:r>
              <w:rPr>
                <w:rStyle w:val="Code"/>
              </w:rPr>
              <w:t>&gt;</w:t>
            </w:r>
            <w:r>
              <w:rPr>
                <w:rStyle w:val="Codetext"/>
              </w:rPr>
              <w:t>IDENK N. 649</w:t>
            </w:r>
            <w:r>
              <w:rPr>
                <w:rStyle w:val="Code"/>
              </w:rPr>
              <w:t>&lt;/ref&gt;</w:t>
            </w:r>
            <w:r>
              <w:rPr>
                <w:rStyle w:val="Codetext"/>
              </w:rPr>
              <w:t>.</w:t>
            </w:r>
            <w:r>
              <w:rPr>
                <w:rStyle w:val="Code"/>
              </w:rPr>
              <w:t>&lt;/p&gt;</w:t>
            </w:r>
            <w:r>
              <w:rPr>
                <w:rStyle w:val="Codetext"/>
              </w:rPr>
              <w:br/>
              <w:t xml:space="preserve">  </w:t>
            </w:r>
            <w:r>
              <w:rPr>
                <w:rStyle w:val="Code"/>
              </w:rPr>
              <w:t>...</w:t>
            </w:r>
          </w:p>
          <w:p w14:paraId="1BDB6FFE" w14:textId="77777777">
            <w:pPr>
              <w:pStyle w:val="CodeParagraph"/>
            </w:pPr>
            <w:r>
              <w:rPr>
                <w:rStyle w:val="Code"/>
              </w:rPr>
              <w:t>&lt;/div&gt;</w:t>
            </w:r>
          </w:p>
        </w:tc>
      </w:tr>
    </w:tbl>
    <w:p w14:paraId="081DF169" w14:textId="77777777">
      <w:pPr>
        <w:pStyle w:val="Cmsor2"/>
      </w:pPr>
      <w:bookmarkStart w:id="923" w:name="_hp16ctxmuxyv" w:colFirst="0" w:colLast="0"/>
      <w:bookmarkStart w:id="924" w:name="_Ref63676627"/>
      <w:bookmarkStart w:id="925" w:name="_Toc243900427"/>
      <w:bookmarkEnd w:id="923"/>
      <w:r>
        <w:t>The structured bibliography</w:t>
      </w:r>
      <w:bookmarkEnd w:id="924"/>
      <w:bookmarkEnd w:id="925"/>
    </w:p>
    <w:p w14:paraId="7FC2F4D3" w14:textId="77777777">
      <w:r>
        <w:t>The structured bibliography may not contain free text except in the form of notes. It is subdivided into a primary (§</w:t>
      </w:r>
      <w:r>
        <w:fldChar w:fldCharType="begin"/>
      </w:r>
      <w:r>
        <w:instrText xml:space="preserve"> REF _Ref233625697 \r \h </w:instrText>
      </w:r>
      <w:r>
        <w:fldChar w:fldCharType="separate"/>
      </w:r>
      <w:r>
        <w:t>13.3.1</w:t>
      </w:r>
      <w:r>
        <w:fldChar w:fldCharType="end"/>
      </w:r>
      <w:r>
        <w:t>) and a secondary section (§</w:t>
      </w:r>
      <w:r>
        <w:fldChar w:fldCharType="begin"/>
      </w:r>
      <w:r>
        <w:instrText xml:space="preserve"> REF _Ref233625847 \r \h </w:instrText>
      </w:r>
      <w:r>
        <w:fldChar w:fldCharType="separate"/>
      </w:r>
      <w:r>
        <w:t>13.3.2</w:t>
      </w:r>
      <w:r>
        <w:fldChar w:fldCharType="end"/>
      </w:r>
      <w:r>
        <w:t xml:space="preserve">), each of which is encoded as a </w:t>
      </w:r>
      <w:r>
        <w:rPr>
          <w:rStyle w:val="Code"/>
        </w:rPr>
        <w:t>&lt;listBibl&gt;</w:t>
      </w:r>
      <w:r>
        <w:t xml:space="preserve"> container</w:t>
      </w:r>
    </w:p>
    <w:p w14:paraId="75373EE1" w14:textId="77777777">
      <w:pPr>
        <w:pStyle w:val="Lista"/>
      </w:pPr>
      <w:r>
        <w:t xml:space="preserve">each such container must contain one </w:t>
      </w:r>
      <w:r>
        <w:rPr>
          <w:rStyle w:val="Code"/>
        </w:rPr>
        <w:t>&lt;bibl&gt;</w:t>
      </w:r>
      <w:r>
        <w:t xml:space="preserve"> element for each bibliographic entry, and nothing else</w:t>
      </w:r>
    </w:p>
    <w:p w14:paraId="6374443C" w14:textId="77777777">
      <w:pPr>
        <w:pStyle w:val="Lista2"/>
      </w:pPr>
      <w:r>
        <w:t>the individual citations must be encoded as per §</w:t>
      </w:r>
      <w:r>
        <w:fldChar w:fldCharType="begin"/>
      </w:r>
      <w:r>
        <w:instrText xml:space="preserve"> REF _Ref233877601 \r \h </w:instrText>
      </w:r>
      <w:r>
        <w:fldChar w:fldCharType="separate"/>
      </w:r>
      <w:r>
        <w:t>14.6.1</w:t>
      </w:r>
      <w:r>
        <w:fldChar w:fldCharType="end"/>
      </w:r>
      <w:r>
        <w:t xml:space="preserve"> </w:t>
      </w:r>
    </w:p>
    <w:p w14:paraId="7E6A8D6E" w14:textId="77777777">
      <w:pPr>
        <w:pStyle w:val="Lista2"/>
      </w:pPr>
      <w:r>
        <w:lastRenderedPageBreak/>
        <w:t>with the addition of a siglum (§</w:t>
      </w:r>
      <w:r>
        <w:fldChar w:fldCharType="begin"/>
      </w:r>
      <w:r>
        <w:instrText xml:space="preserve"> REF _Ref233625904 \r \h </w:instrText>
      </w:r>
      <w:r>
        <w:fldChar w:fldCharType="separate"/>
      </w:r>
      <w:r>
        <w:t>13.3.3</w:t>
      </w:r>
      <w:r>
        <w:fldChar w:fldCharType="end"/>
      </w:r>
      <w:r>
        <w:t>) for each item cited in your apparatus</w:t>
      </w:r>
    </w:p>
    <w:p w14:paraId="58C0BAC8" w14:textId="77777777">
      <w:pPr>
        <w:pStyle w:val="Lista"/>
      </w:pPr>
      <w:r>
        <w:t xml:space="preserve">should there be no bibliographic references available for either the primary or the secondary bibliography (typically when encoding a previously unedited document, or during work in progress), create one empty </w:t>
      </w:r>
      <w:r>
        <w:rPr>
          <w:rStyle w:val="Code"/>
        </w:rPr>
        <w:t>&lt;bibl/&gt;</w:t>
      </w:r>
      <w:r>
        <w:t xml:space="preserve"> element as a placeholder within the applicable </w:t>
      </w:r>
      <w:r>
        <w:rPr>
          <w:rStyle w:val="Code"/>
        </w:rPr>
        <w:t>&lt;listBibl&gt;</w:t>
      </w:r>
      <w:r>
        <w:t xml:space="preserve"> element</w:t>
      </w:r>
    </w:p>
    <w:p w14:paraId="74CA7461" w14:textId="77777777">
      <w:pPr>
        <w:pStyle w:val="Lista"/>
      </w:pPr>
      <w:r>
        <w:t xml:space="preserve">when necessary, notes may be added to the bibliography in the form of a </w:t>
      </w:r>
      <w:r>
        <w:rPr>
          <w:rStyle w:val="Code"/>
        </w:rPr>
        <w:t>&lt;note&gt;</w:t>
      </w:r>
      <w:r>
        <w:t xml:space="preserve"> element encoded as per §</w:t>
      </w:r>
      <w:r>
        <w:fldChar w:fldCharType="begin"/>
      </w:r>
      <w:r>
        <w:instrText xml:space="preserve"> REF _Ref43989684 \r \h </w:instrText>
      </w:r>
      <w:r>
        <w:fldChar w:fldCharType="separate"/>
      </w:r>
      <w:r>
        <w:t>14.5</w:t>
      </w:r>
      <w:r>
        <w:fldChar w:fldCharType="end"/>
      </w:r>
    </w:p>
    <w:p w14:paraId="15DF9265" w14:textId="77777777">
      <w:pPr>
        <w:pStyle w:val="Lista2"/>
      </w:pPr>
      <w:r>
        <w:t xml:space="preserve">such a note must be the last child of a </w:t>
      </w:r>
      <w:r>
        <w:rPr>
          <w:rStyle w:val="Code"/>
        </w:rPr>
        <w:t>&lt;bibl&gt;</w:t>
      </w:r>
      <w:r>
        <w:t xml:space="preserve"> element, and may not be created between </w:t>
      </w:r>
      <w:r>
        <w:rPr>
          <w:rStyle w:val="Code"/>
        </w:rPr>
        <w:t>&lt;bibl&gt;</w:t>
      </w:r>
      <w:r>
        <w:t xml:space="preserve"> elements, nor at a non-ultimate position within a </w:t>
      </w:r>
      <w:r>
        <w:rPr>
          <w:rStyle w:val="Code"/>
        </w:rPr>
        <w:t>&lt;bibl&gt;</w:t>
      </w:r>
      <w:r>
        <w:t xml:space="preserve"> element</w:t>
      </w:r>
    </w:p>
    <w:p w14:paraId="3CFFE88F" w14:textId="77777777">
      <w:pPr>
        <w:pStyle w:val="Cmsor3"/>
      </w:pPr>
      <w:bookmarkStart w:id="926" w:name="_Ref233625697"/>
      <w:bookmarkStart w:id="927" w:name="_Toc243900428"/>
      <w:r>
        <w:t>The primary bibliography</w:t>
      </w:r>
      <w:bookmarkEnd w:id="926"/>
      <w:bookmarkEnd w:id="927"/>
    </w:p>
    <w:p w14:paraId="408994CF" w14:textId="77777777">
      <w:pPr>
        <w:pStyle w:val="Lista"/>
        <w:rPr>
          <w:lang w:eastAsia="en-US" w:bidi="ar-SA"/>
        </w:rPr>
      </w:pPr>
      <w:r>
        <w:rPr>
          <w:lang w:eastAsia="en-US" w:bidi="ar-SA"/>
        </w:rPr>
        <w:t xml:space="preserve">the primary bibliography of a DHARMA edition collects any and all known </w:t>
      </w:r>
      <w:r>
        <w:t>independent integral editions of the document</w:t>
      </w:r>
    </w:p>
    <w:p w14:paraId="791EA163" w14:textId="77777777">
      <w:pPr>
        <w:pStyle w:val="Lista"/>
      </w:pPr>
      <w:r>
        <w:t xml:space="preserve">the container for the primary bibliography is the element </w:t>
      </w:r>
      <w:r>
        <w:rPr>
          <w:rStyle w:val="Code"/>
        </w:rPr>
        <w:t xml:space="preserve">&lt;listBibl </w:t>
      </w:r>
      <w:r>
        <w:rPr>
          <w:rStyle w:val="Codeattribute"/>
        </w:rPr>
        <w:t>type</w:t>
      </w:r>
      <w:r>
        <w:rPr>
          <w:rStyle w:val="Code"/>
        </w:rPr>
        <w:t>=</w:t>
      </w:r>
      <w:r>
        <w:rPr>
          <w:rStyle w:val="Codevalue"/>
        </w:rPr>
        <w:t>"primary"</w:t>
      </w:r>
      <w:r>
        <w:rPr>
          <w:rStyle w:val="Code"/>
        </w:rPr>
        <w:t>&gt;</w:t>
      </w:r>
      <w:r>
        <w:t xml:space="preserve">, placed immediately after the </w:t>
      </w:r>
      <w:r>
        <w:rPr>
          <w:rStyle w:val="Code"/>
        </w:rPr>
        <w:t>&lt;p&gt;</w:t>
      </w:r>
      <w:r>
        <w:t xml:space="preserve"> element containing the epigraphic lemma</w:t>
      </w:r>
    </w:p>
    <w:p w14:paraId="27224B27" w14:textId="77777777">
      <w:pPr>
        <w:pStyle w:val="Cmsor3"/>
      </w:pPr>
      <w:bookmarkStart w:id="928" w:name="_Ref233625847"/>
      <w:bookmarkStart w:id="929" w:name="_Toc243900429"/>
      <w:bookmarkStart w:id="930" w:name="_Ref233623410"/>
      <w:bookmarkStart w:id="931" w:name="_Ref43989610"/>
      <w:r>
        <w:t>The secondary bibliography</w:t>
      </w:r>
      <w:bookmarkEnd w:id="928"/>
      <w:bookmarkEnd w:id="929"/>
    </w:p>
    <w:p w14:paraId="69A9D821" w14:textId="77777777">
      <w:pPr>
        <w:pStyle w:val="Lista"/>
      </w:pPr>
      <w:r>
        <w:t>the secondary bibliography of a DHARMA edition collects any publications relevant to the inscription other than independent integral editions, such as</w:t>
      </w:r>
    </w:p>
    <w:p w14:paraId="33D55656" w14:textId="77777777">
      <w:pPr>
        <w:pStyle w:val="Lista2"/>
      </w:pPr>
      <w:r>
        <w:t xml:space="preserve">re-publications of previous editions </w:t>
      </w:r>
      <w:r>
        <w:rPr>
          <w:noProof/>
        </w:rPr>
        <w:t>(</w:t>
      </w:r>
      <w:r>
        <w:t>without new insights)</w:t>
      </w:r>
    </w:p>
    <w:p w14:paraId="1A5DEDBF" w14:textId="77777777">
      <w:pPr>
        <w:pStyle w:val="Lista2"/>
      </w:pPr>
      <w:r>
        <w:t xml:space="preserve">reports </w:t>
      </w:r>
      <w:r>
        <w:rPr>
          <w:noProof/>
        </w:rPr>
        <w:t>(</w:t>
      </w:r>
      <w:r>
        <w:t>ARIE, etc.)</w:t>
      </w:r>
    </w:p>
    <w:p w14:paraId="20767D53" w14:textId="77777777">
      <w:pPr>
        <w:pStyle w:val="Lista2"/>
      </w:pPr>
      <w:r>
        <w:t>partial readings or translations</w:t>
      </w:r>
    </w:p>
    <w:p w14:paraId="7CB290D2" w14:textId="77777777">
      <w:pPr>
        <w:pStyle w:val="Lista2"/>
      </w:pPr>
      <w:r>
        <w:t>descriptions/discussions of the inscription’s content, the support, specific readings, etc.</w:t>
      </w:r>
    </w:p>
    <w:p w14:paraId="696AC6EA" w14:textId="77777777">
      <w:pPr>
        <w:pStyle w:val="Lista"/>
      </w:pPr>
      <w:r>
        <w:t xml:space="preserve">the container for the secondary bibliography is the element </w:t>
      </w:r>
      <w:r>
        <w:rPr>
          <w:rStyle w:val="Code"/>
        </w:rPr>
        <w:t xml:space="preserve">&lt;listBibl </w:t>
      </w:r>
      <w:r>
        <w:rPr>
          <w:rStyle w:val="Codeattribute"/>
        </w:rPr>
        <w:t>type</w:t>
      </w:r>
      <w:r>
        <w:rPr>
          <w:rStyle w:val="Code"/>
        </w:rPr>
        <w:t>=</w:t>
      </w:r>
      <w:r>
        <w:rPr>
          <w:rStyle w:val="Codevalue"/>
        </w:rPr>
        <w:t>"secondary"</w:t>
      </w:r>
      <w:r>
        <w:rPr>
          <w:rStyle w:val="Code"/>
        </w:rPr>
        <w:t>&gt;</w:t>
      </w:r>
      <w:r>
        <w:t>, placed immediately after the primary bibliography</w:t>
      </w:r>
    </w:p>
    <w:p w14:paraId="405DFE50" w14:textId="77777777">
      <w:pPr>
        <w:pStyle w:val="Cmsor3"/>
      </w:pPr>
      <w:bookmarkStart w:id="932" w:name="_Ref233625904"/>
      <w:bookmarkStart w:id="933" w:name="_Toc243900430"/>
      <w:bookmarkStart w:id="934" w:name="_Ref233636572"/>
      <w:r>
        <w:t>Bibliographic sigla</w:t>
      </w:r>
      <w:bookmarkEnd w:id="932"/>
      <w:bookmarkEnd w:id="933"/>
    </w:p>
    <w:p w14:paraId="70F20DD7" w14:textId="77777777">
      <w:r>
        <w:t xml:space="preserve">If your apparatus cites a previous publication as the </w:t>
      </w:r>
      <w:r>
        <w:rPr>
          <w:rStyle w:val="Codeattribute"/>
        </w:rPr>
        <w:t>@source</w:t>
      </w:r>
      <w:r>
        <w:t xml:space="preserve"> of a lemma (§</w:t>
      </w:r>
      <w:r>
        <w:fldChar w:fldCharType="begin"/>
      </w:r>
      <w:r>
        <w:instrText xml:space="preserve"> REF _Ref233625530 \r \h </w:instrText>
      </w:r>
      <w:r>
        <w:fldChar w:fldCharType="separate"/>
      </w:r>
      <w:r>
        <w:t>10.3.3</w:t>
      </w:r>
      <w:r>
        <w:fldChar w:fldCharType="end"/>
      </w:r>
      <w:r>
        <w:t>) or an alternative reading (§</w:t>
      </w:r>
      <w:r>
        <w:fldChar w:fldCharType="begin"/>
      </w:r>
      <w:r>
        <w:instrText xml:space="preserve"> REF _Ref233625579 \r \h </w:instrText>
      </w:r>
      <w:r>
        <w:fldChar w:fldCharType="separate"/>
      </w:r>
      <w:r>
        <w:t>10.4.3</w:t>
      </w:r>
      <w:r>
        <w:fldChar w:fldCharType="end"/>
      </w:r>
      <w:r>
        <w:t xml:space="preserve">), then the full citation of each such publication in your bibliography division must include a manually encoded siglum </w:t>
      </w:r>
      <w:r>
        <w:rPr>
          <w:noProof/>
        </w:rPr>
        <w:t>(</w:t>
      </w:r>
      <w:r>
        <w:t>an abbreviation by which they will be shown in the apparatus). This applies regardless of whether the full citation is in your primary bibliography or the secondary one.</w:t>
      </w:r>
    </w:p>
    <w:p w14:paraId="1109D596" w14:textId="77777777">
      <w:pPr>
        <w:pStyle w:val="Lista"/>
      </w:pPr>
      <w:r>
        <w:t xml:space="preserve">the siglum must be encoded in the attribute </w:t>
      </w:r>
      <w:r>
        <w:rPr>
          <w:rStyle w:val="Codeattribute"/>
        </w:rPr>
        <w:t>@n</w:t>
      </w:r>
      <w:r>
        <w:t xml:space="preserve"> on the relevant </w:t>
      </w:r>
      <w:r>
        <w:rPr>
          <w:rStyle w:val="Code"/>
        </w:rPr>
        <w:t>&lt;bibl&gt;</w:t>
      </w:r>
      <w:r>
        <w:t xml:space="preserve"> item</w:t>
      </w:r>
    </w:p>
    <w:p w14:paraId="4153A54C" w14:textId="77777777">
      <w:pPr>
        <w:pStyle w:val="Lista"/>
      </w:pPr>
      <w:r>
        <w:t>sigla may be assigned to publications arbitrarily, provided that they are unique within an XML document and reasonably straightforward for the reader to understand</w:t>
      </w:r>
    </w:p>
    <w:p w14:paraId="40F92B3A" w14:textId="77777777">
      <w:pPr>
        <w:pStyle w:val="Lista"/>
      </w:pPr>
      <w:r>
        <w:t>the following guidelines apply to creating sigla, but feel free to deviate from these whenever you feel you have good reason to</w:t>
      </w:r>
    </w:p>
    <w:p w14:paraId="31FC2903" w14:textId="77777777">
      <w:pPr>
        <w:pStyle w:val="Lista2"/>
      </w:pPr>
      <w:r>
        <w:t>sigla should be kept as short and simple as feasible</w:t>
      </w:r>
    </w:p>
    <w:p w14:paraId="31BE22DF" w14:textId="77777777">
      <w:pPr>
        <w:pStyle w:val="Lista2"/>
      </w:pPr>
      <w:r>
        <w:t>for the sake of clarity, letters of the English alphabet and numbers are preferred in sigla, but symbol characters and letters with diacritics may be used whenever you feel they are necessary</w:t>
      </w:r>
    </w:p>
    <w:p w14:paraId="664C8320" w14:textId="77777777">
      <w:pPr>
        <w:pStyle w:val="Lista3"/>
      </w:pPr>
      <w:r>
        <w:t xml:space="preserve">except that the characters </w:t>
      </w:r>
      <w:r>
        <w:rPr>
          <w:rStyle w:val="Codetext"/>
        </w:rPr>
        <w:t>&amp;</w:t>
      </w:r>
      <w:r>
        <w:t xml:space="preserve">, </w:t>
      </w:r>
      <w:r>
        <w:rPr>
          <w:rStyle w:val="Codetext"/>
        </w:rPr>
        <w:t>&lt;</w:t>
      </w:r>
      <w:r>
        <w:t xml:space="preserve"> and </w:t>
      </w:r>
      <w:r>
        <w:rPr>
          <w:rStyle w:val="Codetext"/>
        </w:rPr>
        <w:t>&gt;</w:t>
      </w:r>
      <w:r>
        <w:t xml:space="preserve"> must be avoided to eliminate interference with code processing</w:t>
      </w:r>
    </w:p>
    <w:p w14:paraId="204F52B8" w14:textId="77777777">
      <w:pPr>
        <w:pStyle w:val="Lista3"/>
      </w:pPr>
      <w:r>
        <w:t xml:space="preserve">the character </w:t>
      </w:r>
      <w:r>
        <w:rPr>
          <w:rStyle w:val="Codetext"/>
        </w:rPr>
        <w:t>+</w:t>
      </w:r>
      <w:r>
        <w:t xml:space="preserve"> will be transformed to </w:t>
      </w:r>
      <w:r>
        <w:rPr>
          <w:rStyle w:val="Code"/>
        </w:rPr>
        <w:t>&amp;</w:t>
      </w:r>
      <w:r>
        <w:t xml:space="preserve"> in the display of sigla, and is recommended for the sigla of multi-author editions</w:t>
      </w:r>
    </w:p>
    <w:p w14:paraId="1E252C7F" w14:textId="77777777">
      <w:pPr>
        <w:pStyle w:val="Lista2"/>
      </w:pPr>
      <w:r>
        <w:t xml:space="preserve">generally, use only the initial of the surname of the author, as in </w:t>
      </w:r>
      <w:r>
        <w:fldChar w:fldCharType="begin"/>
      </w:r>
      <w:r>
        <w:instrText xml:space="preserve"> REF _Ref233637912 \h </w:instrText>
      </w:r>
      <w:r>
        <w:fldChar w:fldCharType="separate"/>
      </w:r>
      <w:r>
        <w:t xml:space="preserve">Exhibit </w:t>
      </w:r>
      <w:r>
        <w:rPr>
          <w:noProof/>
        </w:rPr>
        <w:t>13.3</w:t>
      </w:r>
      <w:r>
        <w:t>.</w:t>
      </w:r>
      <w:r>
        <w:rPr>
          <w:noProof/>
        </w:rPr>
        <w:t>A</w:t>
      </w:r>
      <w:r>
        <w:fldChar w:fldCharType="end"/>
      </w:r>
    </w:p>
    <w:p w14:paraId="1328BAD6" w14:textId="77777777">
      <w:pPr>
        <w:pStyle w:val="Lista3"/>
      </w:pPr>
      <w:r>
        <w:t>e.g. “F” for “Fleet”</w:t>
      </w:r>
    </w:p>
    <w:p w14:paraId="1C946E26" w14:textId="77777777">
      <w:pPr>
        <w:pStyle w:val="Lista2"/>
      </w:pPr>
      <w:r>
        <w:t xml:space="preserve">for names beginning with </w:t>
      </w:r>
      <w:proofErr w:type="spellStart"/>
      <w:r>
        <w:t>Sh</w:t>
      </w:r>
      <w:proofErr w:type="spellEnd"/>
      <w:r>
        <w:t>, Ch and aspirates, use only the first initial unless you find this disturbing</w:t>
      </w:r>
    </w:p>
    <w:p w14:paraId="05526972" w14:textId="77777777">
      <w:pPr>
        <w:pStyle w:val="Lista3"/>
      </w:pPr>
      <w:r>
        <w:t>e.g. “C” for “Chhabra”</w:t>
      </w:r>
    </w:p>
    <w:p w14:paraId="45A3F263" w14:textId="77777777">
      <w:pPr>
        <w:pStyle w:val="Lista2"/>
      </w:pPr>
      <w:r>
        <w:t>for publications with more than one author, use the initial of the surname of each author</w:t>
      </w:r>
    </w:p>
    <w:p w14:paraId="3D968DBE" w14:textId="77777777">
      <w:pPr>
        <w:pStyle w:val="Lista3"/>
      </w:pPr>
      <w:r>
        <w:t xml:space="preserve">it is recommended that you use a </w:t>
      </w:r>
      <w:r>
        <w:rPr>
          <w:rStyle w:val="Codetext"/>
        </w:rPr>
        <w:t>+</w:t>
      </w:r>
      <w:r>
        <w:t xml:space="preserve"> sign between these initials, which will be rendered in display as an </w:t>
      </w:r>
      <w:r>
        <w:rPr>
          <w:rStyle w:val="Code"/>
        </w:rPr>
        <w:t>&amp;</w:t>
      </w:r>
      <w:r>
        <w:t xml:space="preserve"> sign</w:t>
      </w:r>
    </w:p>
    <w:p w14:paraId="53C87A54" w14:textId="77777777">
      <w:pPr>
        <w:pStyle w:val="Lista3"/>
      </w:pPr>
      <w:r>
        <w:t>e.g. “S+G” for “Sircar and Gai”, displayed as “S&amp;G”</w:t>
      </w:r>
    </w:p>
    <w:p w14:paraId="4D09CD38" w14:textId="77777777">
      <w:pPr>
        <w:pStyle w:val="Lista2"/>
      </w:pPr>
      <w:r>
        <w:t>feel free to use more than one initial whenever you find this desirable</w:t>
      </w:r>
    </w:p>
    <w:p w14:paraId="0C12BBFB" w14:textId="77777777">
      <w:pPr>
        <w:pStyle w:val="Lista2"/>
      </w:pPr>
      <w:r>
        <w:t>additional initials are required (instead of optional) when this serves the purpose of disambiguation</w:t>
      </w:r>
    </w:p>
    <w:p w14:paraId="45C24F78" w14:textId="77777777">
      <w:pPr>
        <w:pStyle w:val="Lista3"/>
      </w:pPr>
      <w:r>
        <w:lastRenderedPageBreak/>
        <w:t>e.g. “DRB” and “RGB” to distinguish “Devadatta Ramakrishna Bhandarkar” from “Ramakrishna Gopal Bhandarkar”</w:t>
      </w:r>
    </w:p>
    <w:p w14:paraId="4A6F8CC7" w14:textId="77777777">
      <w:pPr>
        <w:pStyle w:val="Lista3"/>
      </w:pPr>
      <w:r>
        <w:t>if initials are not sufficient for disambiguation, include part or whole of the authors’ last names in sigla, as most practicable</w:t>
      </w:r>
    </w:p>
    <w:p w14:paraId="3478947F" w14:textId="77777777">
      <w:pPr>
        <w:pStyle w:val="Lista2"/>
      </w:pPr>
      <w:r>
        <w:t>should you need sigla for two or more publications of the same author (or the same combination of authors), add disambiguation to the sigla in the form of a serial number (e.g. “C1”, “C2”) or the year of publication (e.g. “C1911”, “C1913”)</w:t>
      </w:r>
    </w:p>
    <w:p w14:paraId="10E59CB0" w14:textId="77777777">
      <w:pPr>
        <w:pStyle w:val="Lista2"/>
      </w:pPr>
      <w:r>
        <w:t xml:space="preserve">for publications that do not have a named author (as is the case with certain journal-type publications, for which see ZG §4.4.2), use the journal abbreviation, as in </w:t>
      </w:r>
      <w:r>
        <w:fldChar w:fldCharType="begin"/>
      </w:r>
      <w:r>
        <w:instrText xml:space="preserve"> REF _Ref233286760 \h </w:instrText>
      </w:r>
      <w:r>
        <w:fldChar w:fldCharType="separate"/>
      </w:r>
      <w:r>
        <w:t xml:space="preserve">Exhibit </w:t>
      </w:r>
      <w:r>
        <w:rPr>
          <w:noProof/>
        </w:rPr>
        <w:t>13.3</w:t>
      </w:r>
      <w:r>
        <w:t>.</w:t>
      </w:r>
      <w:r>
        <w:rPr>
          <w:noProof/>
        </w:rPr>
        <w:t>B</w:t>
      </w:r>
      <w:r>
        <w:fldChar w:fldCharType="end"/>
      </w:r>
    </w:p>
    <w:p w14:paraId="731825B8" w14:textId="127B08D2">
      <w:pPr>
        <w:pStyle w:val="Lista3"/>
      </w:pPr>
      <w:r>
        <w:t>or, if disambiguation is needed, use the journal abbreviation and the year (i.e. the Zotero Short Title, ZG §4.10)</w:t>
      </w:r>
    </w:p>
    <w:tbl>
      <w:tblPr>
        <w:tblStyle w:val="CodeSampleTable"/>
        <w:tblW w:w="5000" w:type="pct"/>
        <w:tblLook w:val="04A0" w:firstRow="1" w:lastRow="0" w:firstColumn="1" w:lastColumn="0" w:noHBand="0" w:noVBand="1"/>
      </w:tblPr>
      <w:tblGrid>
        <w:gridCol w:w="9628"/>
      </w:tblGrid>
      <w:tr w14:paraId="47F0140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06BF058" w14:textId="77777777">
            <w:pPr>
              <w:pStyle w:val="Kpalrs"/>
            </w:pPr>
            <w:bookmarkStart w:id="935" w:name="_Ref233637912"/>
            <w:r>
              <w:t xml:space="preserve">Exhibit </w:t>
            </w:r>
            <w:fldSimple w:instr=" STYLEREF 2 \s ">
              <w:r>
                <w:rPr>
                  <w:noProof/>
                </w:rPr>
                <w:t>13.3</w:t>
              </w:r>
            </w:fldSimple>
            <w:r>
              <w:t>.</w:t>
            </w:r>
            <w:fldSimple w:instr=" SEQ Exhibit \* ALPHABETIC \s 2 ">
              <w:r>
                <w:rPr>
                  <w:noProof/>
                </w:rPr>
                <w:t>A</w:t>
              </w:r>
            </w:fldSimple>
            <w:bookmarkEnd w:id="935"/>
            <w:r>
              <w:t>: bibliographic citation with a siglum, within the primary bibliography</w:t>
            </w:r>
          </w:p>
        </w:tc>
      </w:tr>
      <w:tr w14:paraId="03124713" w14:textId="77777777">
        <w:tc>
          <w:tcPr>
            <w:tcW w:w="5000" w:type="pct"/>
          </w:tcPr>
          <w:p w14:paraId="603DCD0D" w14:textId="77777777">
            <w:pPr>
              <w:pStyle w:val="CodeParagraph"/>
              <w:rPr>
                <w:rStyle w:val="Code"/>
              </w:rPr>
            </w:pPr>
            <w:r>
              <w:rPr>
                <w:rStyle w:val="Code"/>
              </w:rPr>
              <w:t xml:space="preserve">&lt;bibl </w:t>
            </w:r>
            <w:r>
              <w:rPr>
                <w:rStyle w:val="Codeattribute"/>
              </w:rPr>
              <w:t>n</w:t>
            </w:r>
            <w:r>
              <w:rPr>
                <w:rStyle w:val="Code"/>
              </w:rPr>
              <w:t>=</w:t>
            </w:r>
            <w:r>
              <w:rPr>
                <w:rStyle w:val="Codevalue"/>
              </w:rPr>
              <w:t>"H"</w:t>
            </w:r>
            <w:r>
              <w:rPr>
                <w:rStyle w:val="Code"/>
              </w:rPr>
              <w:t>&gt;</w:t>
            </w:r>
          </w:p>
          <w:p w14:paraId="3DF055F9" w14:textId="77777777">
            <w:pPr>
              <w:pStyle w:val="CodeParagraph"/>
              <w:rPr>
                <w:rStyle w:val="Code"/>
              </w:rPr>
            </w:pPr>
            <w:r>
              <w:rPr>
                <w:rStyle w:val="Code"/>
              </w:rPr>
              <w:t xml:space="preserve">  &lt;ptr </w:t>
            </w:r>
            <w:r>
              <w:rPr>
                <w:rStyle w:val="Codeattribute"/>
              </w:rPr>
              <w:t>target</w:t>
            </w:r>
            <w:r>
              <w:rPr>
                <w:rStyle w:val="Code"/>
              </w:rPr>
              <w:t>=</w:t>
            </w:r>
            <w:r>
              <w:rPr>
                <w:rStyle w:val="Codevalue"/>
              </w:rPr>
              <w:t>"bib:Hultzsch1913-1914_01"</w:t>
            </w:r>
            <w:r>
              <w:rPr>
                <w:rStyle w:val="Code"/>
              </w:rPr>
              <w:t>/&gt;</w:t>
            </w:r>
          </w:p>
          <w:p w14:paraId="481EFAA9" w14:textId="77777777">
            <w:pPr>
              <w:pStyle w:val="CodeParagraph"/>
              <w:rPr>
                <w:rStyle w:val="Code"/>
              </w:rPr>
            </w:pPr>
            <w:r>
              <w:rPr>
                <w:rStyle w:val="Code"/>
              </w:rPr>
              <w:t xml:space="preserve">  &lt;citedRange </w:t>
            </w:r>
            <w:r>
              <w:rPr>
                <w:rStyle w:val="Codeattribute"/>
              </w:rPr>
              <w:t>unit</w:t>
            </w:r>
            <w:r>
              <w:rPr>
                <w:rStyle w:val="Code"/>
              </w:rPr>
              <w:t>=</w:t>
            </w:r>
            <w:r>
              <w:rPr>
                <w:rStyle w:val="Codevalue"/>
              </w:rPr>
              <w:t>"page"</w:t>
            </w:r>
            <w:r>
              <w:rPr>
                <w:rStyle w:val="Code"/>
              </w:rPr>
              <w:t>&gt;</w:t>
            </w:r>
            <w:r>
              <w:rPr>
                <w:rStyle w:val="Codetext"/>
              </w:rPr>
              <w:t>225-226</w:t>
            </w:r>
            <w:r>
              <w:rPr>
                <w:rStyle w:val="Code"/>
              </w:rPr>
              <w:t>&lt;/citedRange&gt;</w:t>
            </w:r>
          </w:p>
          <w:p w14:paraId="678310FD" w14:textId="77777777">
            <w:pPr>
              <w:pStyle w:val="CodeParagraph"/>
              <w:rPr>
                <w:rStyle w:val="Code"/>
              </w:rPr>
            </w:pPr>
            <w:r>
              <w:rPr>
                <w:rStyle w:val="Code"/>
              </w:rPr>
              <w:t xml:space="preserve">  &lt;citedRange </w:t>
            </w:r>
            <w:r>
              <w:rPr>
                <w:rStyle w:val="Codeattribute"/>
              </w:rPr>
              <w:t>unit</w:t>
            </w:r>
            <w:r>
              <w:rPr>
                <w:rStyle w:val="Code"/>
              </w:rPr>
              <w:t>=</w:t>
            </w:r>
            <w:r>
              <w:rPr>
                <w:rStyle w:val="Codevalue"/>
              </w:rPr>
              <w:t>"item"</w:t>
            </w:r>
            <w:r>
              <w:rPr>
                <w:rStyle w:val="Code"/>
              </w:rPr>
              <w:t>&gt;</w:t>
            </w:r>
            <w:r>
              <w:rPr>
                <w:rStyle w:val="Codetext"/>
              </w:rPr>
              <w:t>B</w:t>
            </w:r>
            <w:r>
              <w:rPr>
                <w:rStyle w:val="Code"/>
              </w:rPr>
              <w:t>&lt;/citedRange&gt;</w:t>
            </w:r>
          </w:p>
          <w:p w14:paraId="2A2FB3D2" w14:textId="77777777">
            <w:pPr>
              <w:pStyle w:val="CodeParagraph"/>
              <w:rPr>
                <w:rFonts w:ascii="Consolas" w:hAnsi="Consolas" w:cs="Consolas"/>
                <w:noProof/>
                <w:color w:val="002060"/>
                <w:shd w:val="clear" w:color="auto" w:fill="F2F2F2" w:themeFill="background1" w:themeFillShade="F2"/>
              </w:rPr>
            </w:pPr>
            <w:r>
              <w:rPr>
                <w:rStyle w:val="Code"/>
              </w:rPr>
              <w:t>&lt;/bibl&gt;</w:t>
            </w:r>
          </w:p>
        </w:tc>
      </w:tr>
    </w:tbl>
    <w:p w14:paraId="6F3D57D3" w14:textId="77777777">
      <w:bookmarkStart w:id="936" w:name="_mjrrg3ve8nta" w:colFirst="0" w:colLast="0"/>
      <w:bookmarkEnd w:id="936"/>
    </w:p>
    <w:tbl>
      <w:tblPr>
        <w:tblStyle w:val="CodeSampleTable"/>
        <w:tblW w:w="5000" w:type="pct"/>
        <w:tblLook w:val="04A0" w:firstRow="1" w:lastRow="0" w:firstColumn="1" w:lastColumn="0" w:noHBand="0" w:noVBand="1"/>
      </w:tblPr>
      <w:tblGrid>
        <w:gridCol w:w="9628"/>
      </w:tblGrid>
      <w:tr w14:paraId="2286577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5F3524" w14:textId="77777777">
            <w:pPr>
              <w:pStyle w:val="Kpalrs"/>
            </w:pPr>
            <w:bookmarkStart w:id="937" w:name="_Ref233286760"/>
            <w:r>
              <w:t xml:space="preserve">Exhibit </w:t>
            </w:r>
            <w:fldSimple w:instr=" STYLEREF 2 \s ">
              <w:r>
                <w:rPr>
                  <w:noProof/>
                </w:rPr>
                <w:t>13.3</w:t>
              </w:r>
            </w:fldSimple>
            <w:r>
              <w:t>.</w:t>
            </w:r>
            <w:fldSimple w:instr=" SEQ Exhibit \* ALPHABETIC \s 2 ">
              <w:r>
                <w:rPr>
                  <w:noProof/>
                </w:rPr>
                <w:t>B</w:t>
              </w:r>
            </w:fldSimple>
            <w:bookmarkEnd w:id="937"/>
            <w:r>
              <w:t>: bibliographic citation of ARIE with a siglum, within the primary bibliography</w:t>
            </w:r>
          </w:p>
        </w:tc>
      </w:tr>
      <w:tr w14:paraId="28AD1E6E" w14:textId="77777777">
        <w:tc>
          <w:tcPr>
            <w:tcW w:w="5000" w:type="pct"/>
          </w:tcPr>
          <w:p w14:paraId="16D5F1E2" w14:textId="77777777">
            <w:pPr>
              <w:pStyle w:val="CodeParagraph"/>
              <w:rPr>
                <w:rStyle w:val="Code"/>
              </w:rPr>
            </w:pPr>
            <w:r>
              <w:rPr>
                <w:rStyle w:val="Code"/>
              </w:rPr>
              <w:t xml:space="preserve">&lt;bibl </w:t>
            </w:r>
            <w:r>
              <w:rPr>
                <w:rStyle w:val="Codeattribute"/>
              </w:rPr>
              <w:t>n</w:t>
            </w:r>
            <w:r>
              <w:rPr>
                <w:rStyle w:val="Code"/>
              </w:rPr>
              <w:t>="ARIE"&gt;</w:t>
            </w:r>
            <w:r>
              <w:rPr>
                <w:rStyle w:val="Code"/>
              </w:rPr>
              <w:br/>
              <w:t xml:space="preserve">  &lt;ptr </w:t>
            </w:r>
            <w:r>
              <w:rPr>
                <w:rStyle w:val="Codeattribute"/>
              </w:rPr>
              <w:t>target</w:t>
            </w:r>
            <w:r>
              <w:rPr>
                <w:rStyle w:val="Code"/>
              </w:rPr>
              <w:t>=</w:t>
            </w:r>
            <w:r>
              <w:rPr>
                <w:rStyle w:val="Codevalue"/>
              </w:rPr>
              <w:t>"bib:ARIE1904-1905"</w:t>
            </w:r>
            <w:r>
              <w:rPr>
                <w:rStyle w:val="Code"/>
              </w:rPr>
              <w:t>/&gt;</w:t>
            </w:r>
            <w:r>
              <w:rPr>
                <w:rStyle w:val="Code"/>
              </w:rPr>
              <w:br/>
              <w:t xml:space="preserve">  &lt;citedRange </w:t>
            </w:r>
            <w:r>
              <w:rPr>
                <w:rStyle w:val="Codeattribute"/>
              </w:rPr>
              <w:t>unit</w:t>
            </w:r>
            <w:r>
              <w:rPr>
                <w:rStyle w:val="Code"/>
              </w:rPr>
              <w:t>=</w:t>
            </w:r>
            <w:r>
              <w:rPr>
                <w:rStyle w:val="Codevalue"/>
              </w:rPr>
              <w:t>"page"</w:t>
            </w:r>
            <w:r>
              <w:rPr>
                <w:rStyle w:val="Code"/>
              </w:rPr>
              <w:t>&gt;</w:t>
            </w:r>
            <w:r>
              <w:rPr>
                <w:rStyle w:val="Codetext"/>
              </w:rPr>
              <w:t>33, 39</w:t>
            </w:r>
            <w:r>
              <w:rPr>
                <w:rStyle w:val="Code"/>
              </w:rPr>
              <w:t>&lt;/citedRange&gt;</w:t>
            </w:r>
            <w:r>
              <w:rPr>
                <w:rStyle w:val="Code"/>
              </w:rPr>
              <w:br/>
              <w:t xml:space="preserve">  &lt;citedRange </w:t>
            </w:r>
            <w:r>
              <w:rPr>
                <w:rStyle w:val="Codeattribute"/>
              </w:rPr>
              <w:t>unit</w:t>
            </w:r>
            <w:r>
              <w:rPr>
                <w:rStyle w:val="Code"/>
              </w:rPr>
              <w:t>=</w:t>
            </w:r>
            <w:r>
              <w:rPr>
                <w:rStyle w:val="Codevalue"/>
              </w:rPr>
              <w:t>"appendix"</w:t>
            </w:r>
            <w:r>
              <w:rPr>
                <w:rStyle w:val="Code"/>
              </w:rPr>
              <w:t>&gt;</w:t>
            </w:r>
            <w:r>
              <w:rPr>
                <w:rStyle w:val="Codetext"/>
              </w:rPr>
              <w:t>B/1905</w:t>
            </w:r>
            <w:r>
              <w:rPr>
                <w:rStyle w:val="Code"/>
              </w:rPr>
              <w:t>&lt;/citedRange&gt;</w:t>
            </w:r>
            <w:r>
              <w:rPr>
                <w:rStyle w:val="Code"/>
              </w:rPr>
              <w:br/>
              <w:t xml:space="preserve">  &lt;citedRange </w:t>
            </w:r>
            <w:r>
              <w:rPr>
                <w:rStyle w:val="Codeattribute"/>
              </w:rPr>
              <w:t>unit</w:t>
            </w:r>
            <w:r>
              <w:rPr>
                <w:rStyle w:val="Code"/>
              </w:rPr>
              <w:t>=</w:t>
            </w:r>
            <w:r>
              <w:rPr>
                <w:rStyle w:val="Codevalue"/>
              </w:rPr>
              <w:t>"item"</w:t>
            </w:r>
            <w:r>
              <w:rPr>
                <w:rStyle w:val="Code"/>
              </w:rPr>
              <w:t>&gt;</w:t>
            </w:r>
            <w:r>
              <w:rPr>
                <w:rStyle w:val="Codetext"/>
              </w:rPr>
              <w:t>56</w:t>
            </w:r>
            <w:r>
              <w:rPr>
                <w:rStyle w:val="Code"/>
              </w:rPr>
              <w:t>&lt;/citedRange&gt;</w:t>
            </w:r>
            <w:r>
              <w:rPr>
                <w:rStyle w:val="Code"/>
              </w:rPr>
              <w:br/>
              <w:t>&lt;/bibl&gt;</w:t>
            </w:r>
          </w:p>
        </w:tc>
      </w:tr>
    </w:tbl>
    <w:p w14:paraId="6D33FF4B" w14:textId="77777777">
      <w:pPr>
        <w:pStyle w:val="Cmsor1"/>
      </w:pPr>
      <w:bookmarkStart w:id="938" w:name="_v37b3rvxgvz" w:colFirst="0" w:colLast="0"/>
      <w:bookmarkStart w:id="939" w:name="_80cu70li1mlm" w:colFirst="0" w:colLast="0"/>
      <w:bookmarkStart w:id="940" w:name="_s2c4wh2r29fy" w:colFirst="0" w:colLast="0"/>
      <w:bookmarkStart w:id="941" w:name="_Ref43990225"/>
      <w:bookmarkStart w:id="942" w:name="_Toc243900431"/>
      <w:bookmarkEnd w:id="930"/>
      <w:bookmarkEnd w:id="931"/>
      <w:bookmarkEnd w:id="934"/>
      <w:bookmarkEnd w:id="938"/>
      <w:bookmarkEnd w:id="939"/>
      <w:bookmarkEnd w:id="940"/>
      <w:r>
        <w:lastRenderedPageBreak/>
        <w:t>Globally available markup outside the edition</w:t>
      </w:r>
      <w:bookmarkEnd w:id="941"/>
      <w:bookmarkEnd w:id="942"/>
    </w:p>
    <w:p w14:paraId="7ED5D415" w14:textId="77777777">
      <w:pPr>
        <w:rPr>
          <w:lang w:eastAsia="en-US" w:bidi="ar-SA"/>
        </w:rPr>
      </w:pPr>
      <w:r>
        <w:rPr>
          <w:lang w:eastAsia="en-US" w:bidi="ar-SA"/>
        </w:rPr>
        <w:t>This section introduces markup solutions that may be used in various parts of the XML document other than the edition division. Some of the same solutions are also available within the edition division, but only in the specific circumstances explicitly discussed in the sections concerning the encoding of the edition.</w:t>
      </w:r>
    </w:p>
    <w:p w14:paraId="6C3622EF" w14:textId="77777777">
      <w:pPr>
        <w:pStyle w:val="Cmsor2"/>
      </w:pPr>
      <w:bookmarkStart w:id="943" w:name="_vn3bfilgag1u" w:colFirst="0" w:colLast="0"/>
      <w:bookmarkStart w:id="944" w:name="_Ref43990337"/>
      <w:bookmarkStart w:id="945" w:name="_Toc243900432"/>
      <w:bookmarkEnd w:id="943"/>
      <w:r>
        <w:t>Using editorial markup outside the edition</w:t>
      </w:r>
      <w:bookmarkEnd w:id="944"/>
      <w:bookmarkEnd w:id="945"/>
    </w:p>
    <w:p w14:paraId="73E72E05" w14:textId="77777777">
      <w:r>
        <w:t xml:space="preserve">As a rule, the XML elements pertaining to the text edition </w:t>
      </w:r>
      <w:r>
        <w:rPr>
          <w:noProof/>
        </w:rPr>
        <w:t>(</w:t>
      </w:r>
      <w:r>
        <w:t>§</w:t>
      </w:r>
      <w:r>
        <w:fldChar w:fldCharType="begin"/>
      </w:r>
      <w:r>
        <w:instrText xml:space="preserve"> REF _Ref43978632 \r \h  \* MERGEFORMAT </w:instrText>
      </w:r>
      <w:r>
        <w:fldChar w:fldCharType="separate"/>
      </w:r>
      <w:r>
        <w:t>3</w:t>
      </w:r>
      <w:r>
        <w:fldChar w:fldCharType="end"/>
      </w:r>
      <w:r>
        <w:t xml:space="preserve"> to §</w:t>
      </w:r>
      <w:r>
        <w:fldChar w:fldCharType="begin"/>
      </w:r>
      <w:r>
        <w:instrText xml:space="preserve"> REF _Ref232002354 \r \h </w:instrText>
      </w:r>
      <w:r>
        <w:fldChar w:fldCharType="separate"/>
      </w:r>
      <w:r>
        <w:t>9</w:t>
      </w:r>
      <w:r>
        <w:fldChar w:fldCharType="end"/>
      </w:r>
      <w:r>
        <w:t>) should be avoided outside the edition division of your XML file, except as explicitly endorsed in the following sections of §</w:t>
      </w:r>
      <w:r>
        <w:fldChar w:fldCharType="begin"/>
      </w:r>
      <w:r>
        <w:instrText xml:space="preserve"> REF _Ref43990225 \w \h  \* MERGEFORMAT </w:instrText>
      </w:r>
      <w:r>
        <w:fldChar w:fldCharType="separate"/>
      </w:r>
      <w:r>
        <w:t>14</w:t>
      </w:r>
      <w:r>
        <w:fldChar w:fldCharType="end"/>
      </w:r>
      <w:r>
        <w:t xml:space="preserve"> and, for specific divisions of the XML file, viz. the apparatus (§</w:t>
      </w:r>
      <w:r>
        <w:fldChar w:fldCharType="begin"/>
      </w:r>
      <w:r>
        <w:instrText xml:space="preserve"> REF _Ref233640654 \r \h </w:instrText>
      </w:r>
      <w:r>
        <w:fldChar w:fldCharType="separate"/>
      </w:r>
      <w:r>
        <w:t>10.6</w:t>
      </w:r>
      <w:r>
        <w:fldChar w:fldCharType="end"/>
      </w:r>
      <w:r>
        <w:t>) and the translation (§</w:t>
      </w:r>
      <w:r>
        <w:fldChar w:fldCharType="begin"/>
      </w:r>
      <w:r>
        <w:instrText xml:space="preserve"> REF _Ref233640670 \r \h </w:instrText>
      </w:r>
      <w:r>
        <w:fldChar w:fldCharType="separate"/>
      </w:r>
      <w:r>
        <w:t>11.4</w:t>
      </w:r>
      <w:r>
        <w:fldChar w:fldCharType="end"/>
      </w:r>
      <w:r>
        <w:t xml:space="preserve">). When you cite an excerpt from your edition in other parts of the XML document, we generally recommend that you present the excerpt without any editorial markup, in its “curated” form obtained after any scribal and editorial interventions. However, sometimes you may deem it essential to cite a diplomatic reading with all its intricacies, particularly in a note or commentary section discussing the editorial difficulties connected to a reading, or in a translation when replicating an unintelligible stretch of text </w:t>
      </w:r>
      <w:r>
        <w:rPr>
          <w:noProof/>
        </w:rPr>
        <w:t>(</w:t>
      </w:r>
      <w:r>
        <w:t>§</w:t>
      </w:r>
      <w:r>
        <w:fldChar w:fldCharType="begin"/>
      </w:r>
      <w:r>
        <w:instrText xml:space="preserve"> REF _Ref43990112 \w \h  \* MERGEFORMAT </w:instrText>
      </w:r>
      <w:r>
        <w:fldChar w:fldCharType="separate"/>
      </w:r>
      <w:r>
        <w:t>11.4.3</w:t>
      </w:r>
      <w:r>
        <w:fldChar w:fldCharType="end"/>
      </w:r>
      <w:r>
        <w:t xml:space="preserve">). In such cases, you may use editorial markup outside the edition division, limited to features whose replication is deemed essential in the context </w:t>
      </w:r>
      <w:r>
        <w:rPr>
          <w:noProof/>
        </w:rPr>
        <w:t>(</w:t>
      </w:r>
      <w:r>
        <w:t>i.e. without an obligation to replicate all editorial markup).</w:t>
      </w:r>
    </w:p>
    <w:p w14:paraId="06DD781F" w14:textId="77777777">
      <w:pPr>
        <w:pStyle w:val="Lista"/>
      </w:pPr>
      <w:r>
        <w:t xml:space="preserve">foreign-language citations within a stretch of modern-language text must always be tagged as </w:t>
      </w:r>
      <w:r>
        <w:rPr>
          <w:rStyle w:val="Code"/>
        </w:rPr>
        <w:t>&lt;foreign&gt;</w:t>
      </w:r>
      <w:r>
        <w:t xml:space="preserve"> </w:t>
      </w:r>
      <w:r>
        <w:rPr>
          <w:noProof/>
        </w:rPr>
        <w:t>(</w:t>
      </w:r>
      <w:r>
        <w:t>§</w:t>
      </w:r>
      <w:r>
        <w:fldChar w:fldCharType="begin"/>
      </w:r>
      <w:r>
        <w:instrText xml:space="preserve"> REF _Ref43986658 \w \h  \* MERGEFORMAT </w:instrText>
      </w:r>
      <w:r>
        <w:fldChar w:fldCharType="separate"/>
      </w:r>
      <w:r>
        <w:t>14.4.2</w:t>
      </w:r>
      <w:r>
        <w:fldChar w:fldCharType="end"/>
      </w:r>
      <w:r>
        <w:t>), so all markup pertaining to the citation must be within these tags</w:t>
      </w:r>
    </w:p>
    <w:p w14:paraId="7955EBF0" w14:textId="77777777">
      <w:pPr>
        <w:pStyle w:val="Lista"/>
      </w:pPr>
      <w:r>
        <w:t xml:space="preserve">tags for the edition’s block-level containers </w:t>
      </w:r>
      <w:r>
        <w:rPr>
          <w:noProof/>
        </w:rPr>
        <w:t>(</w:t>
      </w:r>
      <w:r>
        <w:rPr>
          <w:rStyle w:val="Code"/>
        </w:rPr>
        <w:t>&lt;p&gt;</w:t>
      </w:r>
      <w:r>
        <w:t xml:space="preserve">, </w:t>
      </w:r>
      <w:r>
        <w:rPr>
          <w:rStyle w:val="Code"/>
        </w:rPr>
        <w:t>&lt;ab&gt;</w:t>
      </w:r>
      <w:r>
        <w:t xml:space="preserve">, </w:t>
      </w:r>
      <w:r>
        <w:rPr>
          <w:rStyle w:val="Code"/>
        </w:rPr>
        <w:t>&lt;lg&gt;</w:t>
      </w:r>
      <w:r>
        <w:t xml:space="preserve"> and </w:t>
      </w:r>
      <w:r>
        <w:rPr>
          <w:rStyle w:val="Code"/>
        </w:rPr>
        <w:t>&lt;l&gt;</w:t>
      </w:r>
      <w:r>
        <w:t>) must not be included in citations</w:t>
      </w:r>
    </w:p>
    <w:p w14:paraId="70495C9B" w14:textId="77777777">
      <w:pPr>
        <w:pStyle w:val="Lista"/>
      </w:pPr>
      <w:r>
        <w:t>the following encoding solutions may be included in citations</w:t>
      </w:r>
    </w:p>
    <w:p w14:paraId="4972A16A" w14:textId="77777777">
      <w:pPr>
        <w:pStyle w:val="Lista2"/>
      </w:pPr>
      <w:r>
        <w:t>milestone elements for extrinsic structure (§</w:t>
      </w:r>
      <w:r>
        <w:fldChar w:fldCharType="begin"/>
      </w:r>
      <w:r>
        <w:instrText xml:space="preserve"> REF _Ref225327729 \r \h </w:instrText>
      </w:r>
      <w:r>
        <w:fldChar w:fldCharType="separate"/>
      </w:r>
      <w:r>
        <w:t>4.3</w:t>
      </w:r>
      <w:r>
        <w:fldChar w:fldCharType="end"/>
      </w:r>
      <w:r>
        <w:t>)</w:t>
      </w:r>
    </w:p>
    <w:p w14:paraId="4DA74A21" w14:textId="77777777">
      <w:pPr>
        <w:pStyle w:val="Lista3"/>
      </w:pPr>
      <w:r>
        <w:t>to reduce code clutter, feel free to remove all attributes from such elements</w:t>
      </w:r>
    </w:p>
    <w:p w14:paraId="25D3C009" w14:textId="77777777">
      <w:pPr>
        <w:pStyle w:val="Lista2"/>
      </w:pPr>
      <w:r>
        <w:t xml:space="preserve">any markup pertaining to the received text </w:t>
      </w:r>
      <w:r>
        <w:rPr>
          <w:noProof/>
        </w:rPr>
        <w:t>(</w:t>
      </w:r>
      <w:r>
        <w:t>§</w:t>
      </w:r>
      <w:r>
        <w:fldChar w:fldCharType="begin"/>
      </w:r>
      <w:r>
        <w:instrText xml:space="preserve"> REF _Ref232171176 \r \h </w:instrText>
      </w:r>
      <w:r>
        <w:fldChar w:fldCharType="separate"/>
      </w:r>
      <w:r>
        <w:t>5</w:t>
      </w:r>
      <w:r>
        <w:fldChar w:fldCharType="end"/>
      </w:r>
      <w:r>
        <w:t>)</w:t>
      </w:r>
    </w:p>
    <w:p w14:paraId="477AF043" w14:textId="77777777">
      <w:pPr>
        <w:pStyle w:val="Lista2"/>
      </w:pPr>
      <w:r>
        <w:t xml:space="preserve">any markup pertaining to legibility issues </w:t>
      </w:r>
      <w:r>
        <w:rPr>
          <w:noProof/>
        </w:rPr>
        <w:t>(</w:t>
      </w:r>
      <w:r>
        <w:t>§</w:t>
      </w:r>
      <w:r>
        <w:fldChar w:fldCharType="begin"/>
      </w:r>
      <w:r>
        <w:instrText xml:space="preserve"> REF _Ref231895504 \r \h </w:instrText>
      </w:r>
      <w:r>
        <w:fldChar w:fldCharType="separate"/>
      </w:r>
      <w:r>
        <w:t>6</w:t>
      </w:r>
      <w:r>
        <w:fldChar w:fldCharType="end"/>
      </w:r>
      <w:r>
        <w:t>)</w:t>
      </w:r>
    </w:p>
    <w:p w14:paraId="52600FC2" w14:textId="77777777">
      <w:pPr>
        <w:pStyle w:val="Lista2"/>
      </w:pPr>
      <w:r>
        <w:t xml:space="preserve">any markup pertaining to modern editorial intervention </w:t>
      </w:r>
      <w:r>
        <w:rPr>
          <w:noProof/>
        </w:rPr>
        <w:t>(</w:t>
      </w:r>
      <w:r>
        <w:t>§</w:t>
      </w:r>
      <w:r>
        <w:fldChar w:fldCharType="begin"/>
      </w:r>
      <w:r>
        <w:instrText xml:space="preserve"> REF _Ref43978565 \r \h  \* MERGEFORMAT </w:instrText>
      </w:r>
      <w:r>
        <w:fldChar w:fldCharType="separate"/>
      </w:r>
      <w:r>
        <w:t>7</w:t>
      </w:r>
      <w:r>
        <w:fldChar w:fldCharType="end"/>
      </w:r>
      <w:r>
        <w:t>)</w:t>
      </w:r>
    </w:p>
    <w:p w14:paraId="4A496203" w14:textId="77777777">
      <w:pPr>
        <w:pStyle w:val="Lista2"/>
      </w:pPr>
      <w:r>
        <w:t xml:space="preserve">any markup pertaining to language, script and visual characteristics </w:t>
      </w:r>
      <w:r>
        <w:rPr>
          <w:noProof/>
        </w:rPr>
        <w:t>(</w:t>
      </w:r>
      <w:r>
        <w:t>§</w:t>
      </w:r>
      <w:r>
        <w:fldChar w:fldCharType="begin"/>
      </w:r>
      <w:r>
        <w:instrText xml:space="preserve"> REF _Ref232171213 \r \h </w:instrText>
      </w:r>
      <w:r>
        <w:fldChar w:fldCharType="separate"/>
      </w:r>
      <w:r>
        <w:t>7.9</w:t>
      </w:r>
      <w:r>
        <w:fldChar w:fldCharType="end"/>
      </w:r>
      <w:r>
        <w:t>)</w:t>
      </w:r>
    </w:p>
    <w:p w14:paraId="7C41F370" w14:textId="77777777">
      <w:pPr>
        <w:pStyle w:val="Lista2"/>
      </w:pPr>
      <w:r>
        <w:t>interpretive and analytical markup (§</w:t>
      </w:r>
      <w:r>
        <w:fldChar w:fldCharType="begin"/>
      </w:r>
      <w:r>
        <w:instrText xml:space="preserve"> REF _Ref232002354 \r \h </w:instrText>
      </w:r>
      <w:r>
        <w:fldChar w:fldCharType="separate"/>
      </w:r>
      <w:r>
        <w:t>9</w:t>
      </w:r>
      <w:r>
        <w:fldChar w:fldCharType="end"/>
      </w:r>
      <w:r>
        <w:t>)</w:t>
      </w:r>
    </w:p>
    <w:p w14:paraId="0925148A" w14:textId="77777777">
      <w:pPr>
        <w:pStyle w:val="Lista"/>
      </w:pPr>
      <w:r>
        <w:t>none of the above items are mandatory to retain: instead, reduce code clutter by retaining only markup relevant to the discussion of the citation</w:t>
      </w:r>
    </w:p>
    <w:p w14:paraId="6E91A78E" w14:textId="77777777">
      <w:pPr>
        <w:pStyle w:val="Lista"/>
      </w:pPr>
      <w:r>
        <w:t>when copying and pasting encoded text from your edition, pay attention to the beginning and end of phrase-level elements, which may not coincide with your excerpt</w:t>
      </w:r>
    </w:p>
    <w:p w14:paraId="64D5DFFB" w14:textId="77777777">
      <w:pPr>
        <w:pStyle w:val="Lista2"/>
      </w:pPr>
      <w:r>
        <w:t>add the start-tag for retained markup commencing before and ending inside your citation</w:t>
      </w:r>
    </w:p>
    <w:p w14:paraId="7BFE8183" w14:textId="77777777">
      <w:pPr>
        <w:pStyle w:val="Lista2"/>
      </w:pPr>
      <w:r>
        <w:t>add the end-tag for retained markup commencing inside your citation and ending after it</w:t>
      </w:r>
    </w:p>
    <w:p w14:paraId="6DBB7CEB" w14:textId="77777777">
      <w:pPr>
        <w:pStyle w:val="Lista2"/>
      </w:pPr>
      <w:r>
        <w:t>add start and end-tags for retained markup in a citation snipped from within a longer stretch of phrase-level markup</w:t>
      </w:r>
    </w:p>
    <w:p w14:paraId="4CB426CD" w14:textId="77777777">
      <w:pPr>
        <w:pStyle w:val="Cmsor2"/>
      </w:pPr>
      <w:bookmarkStart w:id="946" w:name="_a0ie3m4iw2wx" w:colFirst="0" w:colLast="0"/>
      <w:bookmarkStart w:id="947" w:name="_Toc243900433"/>
      <w:bookmarkEnd w:id="946"/>
      <w:r>
        <w:t>Character formatting</w:t>
      </w:r>
      <w:bookmarkEnd w:id="947"/>
    </w:p>
    <w:p w14:paraId="05522C27" w14:textId="150E1CD6">
      <w:r>
        <w:t xml:space="preserve">Given the principle of conceptual markup </w:t>
      </w:r>
      <w:r>
        <w:rPr>
          <w:noProof/>
        </w:rPr>
        <w:t>(</w:t>
      </w:r>
      <w:r>
        <w:t>§</w:t>
      </w:r>
      <w:r>
        <w:fldChar w:fldCharType="begin"/>
      </w:r>
      <w:r>
        <w:instrText xml:space="preserve"> REF _Ref233641527 \r \h </w:instrText>
      </w:r>
      <w:r>
        <w:fldChar w:fldCharType="separate"/>
      </w:r>
      <w:r>
        <w:t>2.2.1</w:t>
      </w:r>
      <w:r>
        <w:fldChar w:fldCharType="end"/>
      </w:r>
      <w:r>
        <w:t xml:space="preserve">), it will not normally be necessary for you to apply character formatting as such: all essential formatting will be handled globally through external stylesheets and governed by the XML tags you create. For instance, instead of italicising foreign words and titles, you tag them as </w:t>
      </w:r>
      <w:r>
        <w:rPr>
          <w:rStyle w:val="Code"/>
        </w:rPr>
        <w:t>&lt;foreign&gt;</w:t>
      </w:r>
      <w:r>
        <w:t xml:space="preserve"> (§</w:t>
      </w:r>
      <w:r>
        <w:fldChar w:fldCharType="begin"/>
      </w:r>
      <w:r>
        <w:instrText xml:space="preserve"> REF _Ref43986658 \r \h </w:instrText>
      </w:r>
      <w:r>
        <w:fldChar w:fldCharType="separate"/>
      </w:r>
      <w:r>
        <w:t>14.4.2</w:t>
      </w:r>
      <w:r>
        <w:fldChar w:fldCharType="end"/>
      </w:r>
      <w:r>
        <w:t xml:space="preserve">) or </w:t>
      </w:r>
      <w:r>
        <w:rPr>
          <w:rStyle w:val="Code"/>
        </w:rPr>
        <w:t>&lt;title&gt;</w:t>
      </w:r>
      <w:r>
        <w:t xml:space="preserve"> (§</w:t>
      </w:r>
      <w:r>
        <w:fldChar w:fldCharType="begin"/>
      </w:r>
      <w:r>
        <w:instrText xml:space="preserve"> REF _Ref233796804 \r \h </w:instrText>
      </w:r>
      <w:r>
        <w:fldChar w:fldCharType="separate"/>
      </w:r>
      <w:r>
        <w:t>14.7.1</w:t>
      </w:r>
      <w:r>
        <w:fldChar w:fldCharType="end"/>
      </w:r>
      <w:r>
        <w:t>) respectively. That said, you may occasionally find it useful to encode simple local formatting instructions without any specific semantic classification. For this purpose, only outside the edition</w:t>
      </w:r>
      <w:r>
        <w:rPr>
          <w:rStyle w:val="Lbjegyzet-hivatkozs"/>
        </w:rPr>
        <w:footnoteReference w:id="40"/>
      </w:r>
      <w:r>
        <w:t xml:space="preserve"> and mainly within the commentary division, you may use the element </w:t>
      </w:r>
      <w:r>
        <w:rPr>
          <w:rStyle w:val="Code"/>
        </w:rPr>
        <w:t>&lt;hi&gt;</w:t>
      </w:r>
      <w:r>
        <w:t xml:space="preserve"> </w:t>
      </w:r>
      <w:r>
        <w:rPr>
          <w:noProof/>
        </w:rPr>
        <w:t>(</w:t>
      </w:r>
      <w:r>
        <w:t>signifying typographic highlighting) with attributes as specified in the following subsections.</w:t>
      </w:r>
    </w:p>
    <w:p w14:paraId="3C748180" w14:textId="77777777">
      <w:pPr>
        <w:pStyle w:val="Cmsor3"/>
      </w:pPr>
      <w:bookmarkStart w:id="948" w:name="_79u3x92o5v7r" w:colFirst="0" w:colLast="0"/>
      <w:bookmarkStart w:id="949" w:name="_Toc243900434"/>
      <w:bookmarkEnd w:id="948"/>
      <w:r>
        <w:lastRenderedPageBreak/>
        <w:t>Emphasis</w:t>
      </w:r>
      <w:bookmarkEnd w:id="949"/>
    </w:p>
    <w:p w14:paraId="5C98E137" w14:textId="77777777">
      <w:pPr>
        <w:pStyle w:val="Lista"/>
      </w:pPr>
      <w:r>
        <w:t xml:space="preserve">to add italic or bold emphasis to any segment of text, wrap it in </w:t>
      </w:r>
      <w:r>
        <w:rPr>
          <w:rStyle w:val="Code"/>
        </w:rPr>
        <w:t>&lt;hi&gt;</w:t>
      </w:r>
      <w:r>
        <w:t xml:space="preserve"> with the attribute </w:t>
      </w:r>
      <w:r>
        <w:rPr>
          <w:rStyle w:val="Codeattribute"/>
        </w:rPr>
        <w:t>@rend</w:t>
      </w:r>
      <w:r>
        <w:t xml:space="preserve"> taking one of the following values:</w:t>
      </w:r>
    </w:p>
    <w:p w14:paraId="7004F363" w14:textId="77777777">
      <w:pPr>
        <w:pStyle w:val="Lista2"/>
      </w:pPr>
      <w:r>
        <w:rPr>
          <w:rStyle w:val="Codevalue"/>
        </w:rPr>
        <w:t>"italic"</w:t>
      </w:r>
    </w:p>
    <w:p w14:paraId="08FA1933" w14:textId="77777777">
      <w:pPr>
        <w:pStyle w:val="Lista2"/>
        <w:rPr>
          <w:rStyle w:val="Codevalue"/>
          <w:rFonts w:ascii="Gentium" w:eastAsiaTheme="minorEastAsia" w:hAnsi="Gentium" w:cs="Tiro Devanagari Sanskrit"/>
          <w:noProof w:val="0"/>
          <w:color w:val="auto"/>
          <w:shd w:val="clear" w:color="auto" w:fill="auto"/>
        </w:rPr>
      </w:pPr>
      <w:r>
        <w:rPr>
          <w:rStyle w:val="Codevalue"/>
        </w:rPr>
        <w:t>"bold"</w:t>
      </w:r>
    </w:p>
    <w:p w14:paraId="7DA5734B" w14:textId="77777777">
      <w:pPr>
        <w:pStyle w:val="Cmsor3"/>
      </w:pPr>
      <w:bookmarkStart w:id="950" w:name="_Toc243900435"/>
      <w:r>
        <w:t>Subscript and superscript</w:t>
      </w:r>
      <w:bookmarkEnd w:id="950"/>
    </w:p>
    <w:p w14:paraId="4F45062C" w14:textId="77777777">
      <w:pPr>
        <w:pStyle w:val="Lista"/>
      </w:pPr>
      <w:r>
        <w:t xml:space="preserve">to format any characters as subscript or superscript, wrap them in </w:t>
      </w:r>
      <w:r>
        <w:rPr>
          <w:rStyle w:val="Code"/>
        </w:rPr>
        <w:t>&lt;hi&gt;</w:t>
      </w:r>
      <w:r>
        <w:t xml:space="preserve"> with the attribute </w:t>
      </w:r>
      <w:r>
        <w:rPr>
          <w:rStyle w:val="Codeattribute"/>
        </w:rPr>
        <w:t>@rend</w:t>
      </w:r>
      <w:r>
        <w:t xml:space="preserve"> taking one of the following values:</w:t>
      </w:r>
    </w:p>
    <w:p w14:paraId="260A9EA0" w14:textId="77777777">
      <w:pPr>
        <w:pStyle w:val="Lista2"/>
      </w:pPr>
      <w:r>
        <w:rPr>
          <w:rStyle w:val="Codevalue"/>
        </w:rPr>
        <w:t>"italic"</w:t>
      </w:r>
    </w:p>
    <w:p w14:paraId="00743566" w14:textId="77777777">
      <w:pPr>
        <w:pStyle w:val="Lista2"/>
      </w:pPr>
      <w:r>
        <w:rPr>
          <w:rStyle w:val="Codevalue"/>
        </w:rPr>
        <w:t>"bold"</w:t>
      </w:r>
    </w:p>
    <w:p w14:paraId="0531324C" w14:textId="77777777">
      <w:pPr>
        <w:pStyle w:val="Lista2"/>
      </w:pPr>
      <w:r>
        <w:rPr>
          <w:rStyle w:val="Codevalue"/>
        </w:rPr>
        <w:t>"subscript"</w:t>
      </w:r>
    </w:p>
    <w:p w14:paraId="4B632F7A" w14:textId="77777777">
      <w:pPr>
        <w:pStyle w:val="Lista2"/>
      </w:pPr>
      <w:r>
        <w:rPr>
          <w:rStyle w:val="Codevalue"/>
        </w:rPr>
        <w:t>"superscript"</w:t>
      </w:r>
    </w:p>
    <w:p w14:paraId="3721448E" w14:textId="77777777">
      <w:pPr>
        <w:pStyle w:val="Cmsor3"/>
      </w:pPr>
      <w:bookmarkStart w:id="951" w:name="_Ref233727983"/>
      <w:bookmarkStart w:id="952" w:name="_Toc243900436"/>
      <w:r>
        <w:t>Grantha script</w:t>
      </w:r>
      <w:bookmarkEnd w:id="951"/>
      <w:bookmarkEnd w:id="952"/>
    </w:p>
    <w:p w14:paraId="124FBF06" w14:textId="77777777">
      <w:pPr>
        <w:pStyle w:val="Lista"/>
      </w:pPr>
      <w:r>
        <w:t xml:space="preserve">in text cited from your edition or from another primary text, transliterated characters originally written in the Grantha script may be distinguished from surrounding characters by wrapping them in </w:t>
      </w:r>
      <w:r>
        <w:rPr>
          <w:rStyle w:val="Code"/>
        </w:rPr>
        <w:t xml:space="preserve">&lt;hi </w:t>
      </w:r>
      <w:r>
        <w:rPr>
          <w:rStyle w:val="Codeattribute"/>
        </w:rPr>
        <w:t>rend</w:t>
      </w:r>
      <w:r>
        <w:rPr>
          <w:rStyle w:val="Code"/>
        </w:rPr>
        <w:t>=</w:t>
      </w:r>
      <w:r>
        <w:rPr>
          <w:rStyle w:val="Codevalue"/>
        </w:rPr>
        <w:t>"grantha"</w:t>
      </w:r>
      <w:r>
        <w:rPr>
          <w:rStyle w:val="Code"/>
        </w:rPr>
        <w:t>&gt;</w:t>
      </w:r>
    </w:p>
    <w:p w14:paraId="18600EF1" w14:textId="77777777">
      <w:pPr>
        <w:pStyle w:val="Lista2"/>
      </w:pPr>
      <w:r>
        <w:t xml:space="preserve">doing so does not replace the </w:t>
      </w:r>
      <w:r>
        <w:rPr>
          <w:rStyle w:val="Code"/>
        </w:rPr>
        <w:t>&lt;foreign&gt;</w:t>
      </w:r>
      <w:r>
        <w:t xml:space="preserve"> tag </w:t>
      </w:r>
      <w:r>
        <w:rPr>
          <w:noProof/>
        </w:rPr>
        <w:t>(</w:t>
      </w:r>
      <w:r>
        <w:t>§</w:t>
      </w:r>
      <w:r>
        <w:fldChar w:fldCharType="begin"/>
      </w:r>
      <w:r>
        <w:instrText xml:space="preserve"> REF _Ref43986658 \w \h  \* MERGEFORMAT </w:instrText>
      </w:r>
      <w:r>
        <w:fldChar w:fldCharType="separate"/>
      </w:r>
      <w:r>
        <w:t>14.4.2</w:t>
      </w:r>
      <w:r>
        <w:fldChar w:fldCharType="end"/>
      </w:r>
      <w:r>
        <w:t>) required for quoting such text outside the edition</w:t>
      </w:r>
    </w:p>
    <w:p w14:paraId="3829EB26" w14:textId="77777777">
      <w:pPr>
        <w:pStyle w:val="Lista2"/>
      </w:pPr>
      <w:r>
        <w:t>within the edition itself, Grantha script must be encoded as per §</w:t>
      </w:r>
      <w:r>
        <w:fldChar w:fldCharType="begin"/>
      </w:r>
      <w:r>
        <w:instrText xml:space="preserve"> REF _Ref233642045 \r \h </w:instrText>
      </w:r>
      <w:r>
        <w:fldChar w:fldCharType="separate"/>
      </w:r>
      <w:r>
        <w:t>8.2.3.5</w:t>
      </w:r>
      <w:r>
        <w:fldChar w:fldCharType="end"/>
      </w:r>
    </w:p>
    <w:p w14:paraId="3B2EE21A" w14:textId="77777777">
      <w:pPr>
        <w:pStyle w:val="Cmsor3"/>
      </w:pPr>
      <w:bookmarkStart w:id="953" w:name="_w8m7jrrw5g8k" w:colFirst="0" w:colLast="0"/>
      <w:bookmarkStart w:id="954" w:name="_Ref122447347"/>
      <w:bookmarkStart w:id="955" w:name="_Toc243900437"/>
      <w:bookmarkStart w:id="956" w:name="_Ref43978966"/>
      <w:bookmarkStart w:id="957" w:name="_Ref56419954"/>
      <w:bookmarkEnd w:id="953"/>
      <w:r>
        <w:t>Highlighting for review</w:t>
      </w:r>
      <w:bookmarkEnd w:id="954"/>
      <w:bookmarkEnd w:id="955"/>
    </w:p>
    <w:p w14:paraId="10A4DC5C" w14:textId="77777777">
      <w:r>
        <w:t xml:space="preserve">You may sometimes want to highlight parts of your texts to which you wish to return later or draw the attention of a colleague reviewing your work. </w:t>
      </w:r>
    </w:p>
    <w:p w14:paraId="1FA671E4" w14:textId="77777777">
      <w:pPr>
        <w:pStyle w:val="Lista"/>
      </w:pPr>
      <w:r>
        <w:t xml:space="preserve">to highlight a segment of text for review, wrap it in </w:t>
      </w:r>
      <w:r>
        <w:rPr>
          <w:rStyle w:val="Code"/>
        </w:rPr>
        <w:t>&lt;hi</w:t>
      </w:r>
      <w:r>
        <w:rPr>
          <w:rStyle w:val="Codeattribute"/>
        </w:rPr>
        <w:t xml:space="preserve"> rend=</w:t>
      </w:r>
      <w:r>
        <w:rPr>
          <w:rStyle w:val="Codevalue"/>
        </w:rPr>
        <w:t>"check"</w:t>
      </w:r>
      <w:r>
        <w:rPr>
          <w:rStyle w:val="Code"/>
        </w:rPr>
        <w:t>&gt;</w:t>
      </w:r>
    </w:p>
    <w:p w14:paraId="4F6C01B5" w14:textId="77777777">
      <w:pPr>
        <w:pStyle w:val="Lista"/>
      </w:pPr>
      <w:r>
        <w:t>highlighting is available in the edition division as well as elsewhere in your XML document</w:t>
      </w:r>
    </w:p>
    <w:p w14:paraId="7D8A5A56" w14:textId="77777777">
      <w:pPr>
        <w:pStyle w:val="Lista2"/>
      </w:pPr>
      <w:r>
        <w:t>this encoding may be freely combined with other phrase-level markup so long as overlaps are avoided</w:t>
      </w:r>
    </w:p>
    <w:p w14:paraId="3FB8906D" w14:textId="77777777">
      <w:pPr>
        <w:pStyle w:val="Lista2"/>
      </w:pPr>
      <w:r>
        <w:t xml:space="preserve">if the segment you wish to highlight coincides with some editorial markup, preferably use </w:t>
      </w:r>
      <w:r>
        <w:rPr>
          <w:rStyle w:val="Code"/>
        </w:rPr>
        <w:t>&lt;hi&gt;</w:t>
      </w:r>
      <w:r>
        <w:t xml:space="preserve"> on the outside and nest the other markup within that</w:t>
      </w:r>
    </w:p>
    <w:p w14:paraId="268970C1" w14:textId="77777777">
      <w:pPr>
        <w:pStyle w:val="Lista3"/>
      </w:pPr>
      <w:r>
        <w:t xml:space="preserve">e.g. </w:t>
      </w:r>
      <w:r>
        <w:rPr>
          <w:rStyle w:val="Codetext"/>
        </w:rPr>
        <w:t>vidvi</w:t>
      </w:r>
      <w:r>
        <w:rPr>
          <w:rStyle w:val="Code"/>
        </w:rPr>
        <w:t xml:space="preserve">&lt;hi </w:t>
      </w:r>
      <w:r>
        <w:rPr>
          <w:rStyle w:val="Codeattribute"/>
        </w:rPr>
        <w:t>rend</w:t>
      </w:r>
      <w:r>
        <w:rPr>
          <w:rStyle w:val="Codetext"/>
        </w:rPr>
        <w:t>=</w:t>
      </w:r>
      <w:r>
        <w:rPr>
          <w:rStyle w:val="Codevalue"/>
        </w:rPr>
        <w:t>"check"</w:t>
      </w:r>
      <w:r>
        <w:rPr>
          <w:rStyle w:val="Code"/>
        </w:rPr>
        <w:t xml:space="preserve">&gt;&lt;unclear </w:t>
      </w:r>
      <w:r>
        <w:rPr>
          <w:rStyle w:val="Codeattribute"/>
        </w:rPr>
        <w:t>cert</w:t>
      </w:r>
      <w:r>
        <w:rPr>
          <w:rStyle w:val="Codetext"/>
        </w:rPr>
        <w:t>=</w:t>
      </w:r>
      <w:r>
        <w:rPr>
          <w:rStyle w:val="Codevalue"/>
        </w:rPr>
        <w:t>"low"</w:t>
      </w:r>
      <w:r>
        <w:rPr>
          <w:rStyle w:val="Code"/>
        </w:rPr>
        <w:t>&gt;</w:t>
      </w:r>
      <w:r>
        <w:rPr>
          <w:rStyle w:val="Codetext"/>
        </w:rPr>
        <w:t>ṭsu</w:t>
      </w:r>
      <w:r>
        <w:rPr>
          <w:rStyle w:val="Code"/>
        </w:rPr>
        <w:t>&lt;/unclear&gt;&lt;/hi&gt;</w:t>
      </w:r>
    </w:p>
    <w:p w14:paraId="01B756B6" w14:textId="77777777">
      <w:pPr>
        <w:pStyle w:val="Lista"/>
      </w:pPr>
      <w:r>
        <w:t>as this encoding serves only for internal review, it is strongly recommended that you remove it from any digital editions you consider completed</w:t>
      </w:r>
    </w:p>
    <w:p w14:paraId="7186393D" w14:textId="77777777">
      <w:pPr>
        <w:pStyle w:val="Cmsor2"/>
      </w:pPr>
      <w:bookmarkStart w:id="958" w:name="_Ref233789547"/>
      <w:bookmarkStart w:id="959" w:name="_Toc243900438"/>
      <w:r>
        <w:t>Block-level containers outside the edition</w:t>
      </w:r>
      <w:bookmarkEnd w:id="958"/>
      <w:bookmarkEnd w:id="959"/>
    </w:p>
    <w:p w14:paraId="454ED10C" w14:textId="77777777">
      <w:pPr>
        <w:pStyle w:val="Cmsor3"/>
      </w:pPr>
      <w:bookmarkStart w:id="960" w:name="_Ref233793815"/>
      <w:bookmarkStart w:id="961" w:name="_Toc243900439"/>
      <w:r>
        <w:t>Paragraphs</w:t>
      </w:r>
      <w:bookmarkEnd w:id="960"/>
      <w:bookmarkEnd w:id="961"/>
    </w:p>
    <w:p w14:paraId="7BB69BE3" w14:textId="77777777">
      <w:pPr>
        <w:rPr>
          <w:lang w:eastAsia="en-US" w:bidi="ar-SA"/>
        </w:rPr>
      </w:pPr>
      <w:r>
        <w:rPr>
          <w:lang w:eastAsia="en-US" w:bidi="ar-SA"/>
        </w:rPr>
        <w:t>Segmenting text into paragraphs will usually not be necessary outside the sections where paragraphs are explicitly called for and pre-created in our encoding templates, namely the translation (§</w:t>
      </w:r>
      <w:r>
        <w:rPr>
          <w:lang w:eastAsia="en-US" w:bidi="ar-SA"/>
        </w:rPr>
        <w:fldChar w:fldCharType="begin"/>
      </w:r>
      <w:r>
        <w:rPr>
          <w:lang w:eastAsia="en-US" w:bidi="ar-SA"/>
        </w:rPr>
        <w:instrText xml:space="preserve"> REF _Ref233792737 \r \h </w:instrText>
      </w:r>
      <w:r>
        <w:rPr>
          <w:lang w:eastAsia="en-US" w:bidi="ar-SA"/>
        </w:rPr>
      </w:r>
      <w:r>
        <w:rPr>
          <w:lang w:eastAsia="en-US" w:bidi="ar-SA"/>
        </w:rPr>
        <w:fldChar w:fldCharType="separate"/>
      </w:r>
      <w:r>
        <w:rPr>
          <w:lang w:eastAsia="en-US" w:bidi="ar-SA"/>
        </w:rPr>
        <w:t>11.2.2</w:t>
      </w:r>
      <w:r>
        <w:rPr>
          <w:lang w:eastAsia="en-US" w:bidi="ar-SA"/>
        </w:rPr>
        <w:fldChar w:fldCharType="end"/>
      </w:r>
      <w:r>
        <w:rPr>
          <w:lang w:eastAsia="en-US" w:bidi="ar-SA"/>
        </w:rPr>
        <w:t>), the commentary (§</w:t>
      </w:r>
      <w:r>
        <w:rPr>
          <w:lang w:eastAsia="en-US" w:bidi="ar-SA"/>
        </w:rPr>
        <w:fldChar w:fldCharType="begin"/>
      </w:r>
      <w:r>
        <w:rPr>
          <w:lang w:eastAsia="en-US" w:bidi="ar-SA"/>
        </w:rPr>
        <w:instrText xml:space="preserve"> REF _Ref233792738 \r \h </w:instrText>
      </w:r>
      <w:r>
        <w:rPr>
          <w:lang w:eastAsia="en-US" w:bidi="ar-SA"/>
        </w:rPr>
      </w:r>
      <w:r>
        <w:rPr>
          <w:lang w:eastAsia="en-US" w:bidi="ar-SA"/>
        </w:rPr>
        <w:fldChar w:fldCharType="separate"/>
      </w:r>
      <w:r>
        <w:rPr>
          <w:lang w:eastAsia="en-US" w:bidi="ar-SA"/>
        </w:rPr>
        <w:t>12.1</w:t>
      </w:r>
      <w:r>
        <w:rPr>
          <w:lang w:eastAsia="en-US" w:bidi="ar-SA"/>
        </w:rPr>
        <w:fldChar w:fldCharType="end"/>
      </w:r>
      <w:r>
        <w:rPr>
          <w:lang w:eastAsia="en-US" w:bidi="ar-SA"/>
        </w:rPr>
        <w:t>) and the epigraphic lemma (§</w:t>
      </w:r>
      <w:r>
        <w:rPr>
          <w:lang w:eastAsia="en-US" w:bidi="ar-SA"/>
        </w:rPr>
        <w:fldChar w:fldCharType="begin"/>
      </w:r>
      <w:r>
        <w:rPr>
          <w:lang w:eastAsia="en-US" w:bidi="ar-SA"/>
        </w:rPr>
        <w:instrText xml:space="preserve"> REF _Ref233623221 \r \h </w:instrText>
      </w:r>
      <w:r>
        <w:rPr>
          <w:lang w:eastAsia="en-US" w:bidi="ar-SA"/>
        </w:rPr>
      </w:r>
      <w:r>
        <w:rPr>
          <w:lang w:eastAsia="en-US" w:bidi="ar-SA"/>
        </w:rPr>
        <w:fldChar w:fldCharType="separate"/>
      </w:r>
      <w:r>
        <w:rPr>
          <w:lang w:eastAsia="en-US" w:bidi="ar-SA"/>
        </w:rPr>
        <w:t>13.2</w:t>
      </w:r>
      <w:r>
        <w:rPr>
          <w:lang w:eastAsia="en-US" w:bidi="ar-SA"/>
        </w:rPr>
        <w:fldChar w:fldCharType="end"/>
      </w:r>
      <w:r>
        <w:rPr>
          <w:lang w:eastAsia="en-US" w:bidi="ar-SA"/>
        </w:rPr>
        <w:t>).</w:t>
      </w:r>
    </w:p>
    <w:p w14:paraId="27874E33" w14:textId="77777777">
      <w:pPr>
        <w:pStyle w:val="Lista"/>
      </w:pPr>
      <w:r>
        <w:t xml:space="preserve">when you see the need to do so, paragraphs (i.e. </w:t>
      </w:r>
      <w:r>
        <w:rPr>
          <w:rStyle w:val="Code"/>
        </w:rPr>
        <w:t>&lt;p&gt;</w:t>
      </w:r>
      <w:r>
        <w:t xml:space="preserve"> elements) may also be created within the following elements</w:t>
      </w:r>
    </w:p>
    <w:p w14:paraId="0CCFC263" w14:textId="77777777">
      <w:pPr>
        <w:pStyle w:val="Lista2"/>
      </w:pPr>
      <w:r>
        <w:t>notes (§</w:t>
      </w:r>
      <w:r>
        <w:fldChar w:fldCharType="begin"/>
      </w:r>
      <w:r>
        <w:instrText xml:space="preserve"> REF _Ref43989684 \r \h </w:instrText>
      </w:r>
      <w:r>
        <w:fldChar w:fldCharType="separate"/>
      </w:r>
      <w:r>
        <w:t>14.5</w:t>
      </w:r>
      <w:r>
        <w:fldChar w:fldCharType="end"/>
      </w:r>
      <w:r>
        <w:t>) in any part of the file except the critical apparatus</w:t>
      </w:r>
    </w:p>
    <w:p w14:paraId="19610ADC" w14:textId="77777777">
      <w:pPr>
        <w:pStyle w:val="Lista2"/>
      </w:pPr>
      <w:r>
        <w:t>block quotes (§</w:t>
      </w:r>
      <w:r>
        <w:fldChar w:fldCharType="begin"/>
      </w:r>
      <w:r>
        <w:instrText xml:space="preserve"> REF _Ref233793283 \r \h </w:instrText>
      </w:r>
      <w:r>
        <w:fldChar w:fldCharType="separate"/>
      </w:r>
      <w:r>
        <w:t>14.3.3</w:t>
      </w:r>
      <w:r>
        <w:fldChar w:fldCharType="end"/>
      </w:r>
      <w:r>
        <w:t>)</w:t>
      </w:r>
    </w:p>
    <w:p w14:paraId="3AEA6AEC" w14:textId="77777777">
      <w:pPr>
        <w:pStyle w:val="Lista2"/>
      </w:pPr>
      <w:r>
        <w:t>hand notes (§</w:t>
      </w:r>
      <w:r>
        <w:fldChar w:fldCharType="begin"/>
      </w:r>
      <w:r>
        <w:instrText xml:space="preserve"> REF _Ref231980025 \r \h </w:instrText>
      </w:r>
      <w:r>
        <w:fldChar w:fldCharType="separate"/>
      </w:r>
      <w:r>
        <w:t>15.2.1.2</w:t>
      </w:r>
      <w:r>
        <w:fldChar w:fldCharType="end"/>
      </w:r>
      <w:r>
        <w:t>) in the TEI header</w:t>
      </w:r>
    </w:p>
    <w:p w14:paraId="4E14A0C6" w14:textId="77777777">
      <w:pPr>
        <w:pStyle w:val="Lista"/>
      </w:pPr>
      <w:r>
        <w:t xml:space="preserve">if you wish to segment one of the above elements into several paragraphs, keep in mind that the </w:t>
      </w:r>
      <w:r>
        <w:rPr>
          <w:rStyle w:val="Code"/>
        </w:rPr>
        <w:t>&lt;p&gt;</w:t>
      </w:r>
      <w:r>
        <w:t xml:space="preserve"> elements must tessellate</w:t>
      </w:r>
    </w:p>
    <w:p w14:paraId="086898E2" w14:textId="77777777">
      <w:pPr>
        <w:pStyle w:val="Lista2"/>
      </w:pPr>
      <w:r>
        <w:t xml:space="preserve">thus, if a </w:t>
      </w:r>
      <w:r>
        <w:rPr>
          <w:rStyle w:val="Code"/>
        </w:rPr>
        <w:t>&lt;p&gt;</w:t>
      </w:r>
      <w:r>
        <w:t xml:space="preserve"> element is present within one of these containers, then all the content of the note or hand note must be wrapped within one </w:t>
      </w:r>
      <w:r>
        <w:rPr>
          <w:rStyle w:val="Code"/>
        </w:rPr>
        <w:t>&lt;p&gt;</w:t>
      </w:r>
      <w:r>
        <w:t xml:space="preserve"> element or another</w:t>
      </w:r>
    </w:p>
    <w:p w14:paraId="2FBDDE7C" w14:textId="77777777">
      <w:pPr>
        <w:pStyle w:val="Cmsor3"/>
      </w:pPr>
      <w:bookmarkStart w:id="962" w:name="_Toc243900440"/>
      <w:r>
        <w:lastRenderedPageBreak/>
        <w:t>Verse containers</w:t>
      </w:r>
      <w:bookmarkEnd w:id="962"/>
    </w:p>
    <w:p w14:paraId="220D005C" w14:textId="77777777">
      <w:pPr>
        <w:pStyle w:val="Cmsor4"/>
      </w:pPr>
      <w:bookmarkStart w:id="963" w:name="_Ref233793993"/>
      <w:r>
        <w:t>Stanza containers</w:t>
      </w:r>
      <w:bookmarkEnd w:id="963"/>
    </w:p>
    <w:p w14:paraId="67D37D92" w14:textId="77777777">
      <w:pPr>
        <w:pStyle w:val="Lista"/>
      </w:pPr>
      <w:r>
        <w:t xml:space="preserve">outside the edition, the use of the stanza container </w:t>
      </w:r>
      <w:r>
        <w:rPr>
          <w:rStyle w:val="Code"/>
        </w:rPr>
        <w:t>&lt;lg&gt;</w:t>
      </w:r>
      <w:r>
        <w:t xml:space="preserve"> is only permitted in a block quote (§</w:t>
      </w:r>
      <w:r>
        <w:fldChar w:fldCharType="begin"/>
      </w:r>
      <w:r>
        <w:instrText xml:space="preserve"> REF _Ref233793283 \r \h </w:instrText>
      </w:r>
      <w:r>
        <w:fldChar w:fldCharType="separate"/>
      </w:r>
      <w:r>
        <w:t>14.3.3</w:t>
      </w:r>
      <w:r>
        <w:fldChar w:fldCharType="end"/>
      </w:r>
      <w:r>
        <w:t xml:space="preserve">), intended for the citation of verse from primary sources as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p>
    <w:p w14:paraId="37853410" w14:textId="77777777">
      <w:pPr>
        <w:pStyle w:val="Lista2"/>
      </w:pPr>
      <w:r>
        <w:t xml:space="preserve">when using </w:t>
      </w:r>
      <w:r>
        <w:rPr>
          <w:rStyle w:val="Code"/>
        </w:rPr>
        <w:t>&lt;lg&gt;</w:t>
      </w:r>
      <w:r>
        <w:t xml:space="preserve"> in this manner, add the attribute </w:t>
      </w:r>
      <w:r>
        <w:rPr>
          <w:rStyle w:val="Codeattribute"/>
        </w:rPr>
        <w:t>@xml:lang</w:t>
      </w:r>
      <w:r>
        <w:t xml:space="preserve"> to encode the language of the stanza as per §</w:t>
      </w:r>
      <w:r>
        <w:fldChar w:fldCharType="begin"/>
      </w:r>
      <w:r>
        <w:instrText xml:space="preserve"> REF _Ref43986658 \r \h </w:instrText>
      </w:r>
      <w:r>
        <w:fldChar w:fldCharType="separate"/>
      </w:r>
      <w:r>
        <w:t>14.4.2</w:t>
      </w:r>
      <w:r>
        <w:fldChar w:fldCharType="end"/>
      </w:r>
    </w:p>
    <w:p w14:paraId="0C2B247B" w14:textId="77777777">
      <w:pPr>
        <w:pStyle w:val="Lista2"/>
      </w:pPr>
      <w:r>
        <w:t>unlike stanzas in the edition, no further attributes are required in this case</w:t>
      </w:r>
    </w:p>
    <w:p w14:paraId="6E232DEA" w14:textId="77777777">
      <w:pPr>
        <w:pStyle w:val="Lista"/>
      </w:pPr>
      <w:r>
        <w:t xml:space="preserve">to apply verse formatting to text in a modern language, such as a translated stanza, use a </w:t>
      </w:r>
      <w:r>
        <w:rPr>
          <w:rStyle w:val="Code"/>
        </w:rPr>
        <w:t>&lt;p&gt;</w:t>
      </w:r>
      <w:r>
        <w:t xml:space="preserve"> element with the attribute </w:t>
      </w:r>
      <w:r>
        <w:rPr>
          <w:rStyle w:val="Codeattribute"/>
        </w:rPr>
        <w:t>@rend=</w:t>
      </w:r>
      <w:r>
        <w:rPr>
          <w:rStyle w:val="Codevalue"/>
        </w:rPr>
        <w:t>"stanza"</w:t>
      </w:r>
    </w:p>
    <w:p w14:paraId="56A562CB" w14:textId="77777777">
      <w:pPr>
        <w:pStyle w:val="Lista2"/>
      </w:pPr>
      <w:r>
        <w:t xml:space="preserve">this is possible wherever </w:t>
      </w:r>
      <w:r>
        <w:rPr>
          <w:rStyle w:val="Code"/>
        </w:rPr>
        <w:t>&lt;p&gt;</w:t>
      </w:r>
      <w:r>
        <w:t xml:space="preserve"> elements are permitted outside the edition (§</w:t>
      </w:r>
      <w:r>
        <w:fldChar w:fldCharType="begin"/>
      </w:r>
      <w:r>
        <w:instrText xml:space="preserve"> REF _Ref233793815 \r \h </w:instrText>
      </w:r>
      <w:r>
        <w:fldChar w:fldCharType="separate"/>
      </w:r>
      <w:r>
        <w:t>14.3.1</w:t>
      </w:r>
      <w:r>
        <w:fldChar w:fldCharType="end"/>
      </w:r>
      <w:r>
        <w:t xml:space="preserve">) </w:t>
      </w:r>
    </w:p>
    <w:p w14:paraId="21CBD818" w14:textId="77777777">
      <w:pPr>
        <w:pStyle w:val="Cmsor4"/>
      </w:pPr>
      <w:bookmarkStart w:id="964" w:name="_Ref233988137"/>
      <w:r>
        <w:t>Verse lines</w:t>
      </w:r>
      <w:bookmarkEnd w:id="964"/>
    </w:p>
    <w:p w14:paraId="242DDC19" w14:textId="77777777">
      <w:pPr>
        <w:pStyle w:val="Lista"/>
      </w:pPr>
      <w:r>
        <w:t xml:space="preserve">outside the edition, verse lines encoded with the </w:t>
      </w:r>
      <w:r>
        <w:rPr>
          <w:rStyle w:val="Code"/>
        </w:rPr>
        <w:t>&lt;l&gt;</w:t>
      </w:r>
      <w:r>
        <w:t xml:space="preserve"> element must be within an applicable container (§</w:t>
      </w:r>
      <w:r>
        <w:fldChar w:fldCharType="begin"/>
      </w:r>
      <w:r>
        <w:instrText xml:space="preserve"> REF _Ref233793993 \r \h </w:instrText>
      </w:r>
      <w:r>
        <w:fldChar w:fldCharType="separate"/>
      </w:r>
      <w:r>
        <w:t>14.3.2.1</w:t>
      </w:r>
      <w:r>
        <w:fldChar w:fldCharType="end"/>
      </w:r>
      <w:r>
        <w:t>) and can and must be encoded when you use a stanza container</w:t>
      </w:r>
    </w:p>
    <w:p w14:paraId="0E617A96" w14:textId="77777777">
      <w:pPr>
        <w:pStyle w:val="Lista"/>
      </w:pPr>
      <w:r>
        <w:t xml:space="preserve">within the stanza container, </w:t>
      </w:r>
      <w:r>
        <w:rPr>
          <w:rStyle w:val="Code"/>
        </w:rPr>
        <w:t>&lt;l&gt;</w:t>
      </w:r>
      <w:r>
        <w:t xml:space="preserve"> elements must tessellate, i.e. the container must not contain text outside an </w:t>
      </w:r>
      <w:r>
        <w:rPr>
          <w:rStyle w:val="Code"/>
        </w:rPr>
        <w:t>&lt;l&gt;</w:t>
      </w:r>
      <w:r>
        <w:t xml:space="preserve"> element</w:t>
      </w:r>
    </w:p>
    <w:p w14:paraId="4CA87541" w14:textId="77777777">
      <w:pPr>
        <w:pStyle w:val="Lista"/>
      </w:pPr>
      <w:r>
        <w:t xml:space="preserve">no attributes are required on </w:t>
      </w:r>
      <w:r>
        <w:rPr>
          <w:rStyle w:val="Code"/>
        </w:rPr>
        <w:t>&lt;l&gt;</w:t>
      </w:r>
      <w:r>
        <w:t xml:space="preserve"> elements when used in this manner</w:t>
      </w:r>
    </w:p>
    <w:p w14:paraId="75A71142" w14:textId="77777777">
      <w:pPr>
        <w:pStyle w:val="Cmsor3"/>
      </w:pPr>
      <w:bookmarkStart w:id="965" w:name="_Ref233793283"/>
      <w:bookmarkStart w:id="966" w:name="_Toc243900441"/>
      <w:bookmarkStart w:id="967" w:name="_Ref233279232"/>
      <w:bookmarkEnd w:id="956"/>
      <w:r>
        <w:t>Block quotes</w:t>
      </w:r>
      <w:bookmarkEnd w:id="965"/>
      <w:bookmarkEnd w:id="966"/>
    </w:p>
    <w:p w14:paraId="254DF83B" w14:textId="77777777">
      <w:pPr>
        <w:rPr>
          <w:lang w:eastAsia="en-US" w:bidi="ar-SA"/>
        </w:rPr>
      </w:pPr>
      <w:r>
        <w:rPr>
          <w:lang w:eastAsia="en-US" w:bidi="ar-SA"/>
        </w:rPr>
        <w:t xml:space="preserve">As and when necessary, block quotes </w:t>
      </w:r>
      <w:r>
        <w:t xml:space="preserve">may be created at any point where a </w:t>
      </w:r>
      <w:r>
        <w:rPr>
          <w:rStyle w:val="Code"/>
        </w:rPr>
        <w:t>&lt;p&gt;</w:t>
      </w:r>
      <w:r>
        <w:t xml:space="preserve"> element is permitted outside the edition (§</w:t>
      </w:r>
      <w:r>
        <w:fldChar w:fldCharType="begin"/>
      </w:r>
      <w:r>
        <w:instrText xml:space="preserve"> REF _Ref233793815 \r \h </w:instrText>
      </w:r>
      <w:r>
        <w:fldChar w:fldCharType="separate"/>
      </w:r>
      <w:r>
        <w:t>14.3.1</w:t>
      </w:r>
      <w:r>
        <w:fldChar w:fldCharType="end"/>
      </w:r>
      <w:r>
        <w:t xml:space="preserve">). To do so, use the following encoding as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r>
        <w:t>.</w:t>
      </w:r>
    </w:p>
    <w:p w14:paraId="3B38AE99" w14:textId="77777777">
      <w:pPr>
        <w:pStyle w:val="Lista"/>
      </w:pPr>
      <w:r>
        <w:t xml:space="preserve">within a pre-existing </w:t>
      </w:r>
      <w:r>
        <w:rPr>
          <w:rStyle w:val="Code"/>
        </w:rPr>
        <w:t>&lt;p&gt;</w:t>
      </w:r>
      <w:r>
        <w:t xml:space="preserve"> or </w:t>
      </w:r>
      <w:r>
        <w:rPr>
          <w:rStyle w:val="Code"/>
        </w:rPr>
        <w:t>&lt;note&gt;</w:t>
      </w:r>
      <w:r>
        <w:t xml:space="preserve"> element, encode a quote, using</w:t>
      </w:r>
    </w:p>
    <w:p w14:paraId="088F0225" w14:textId="77777777">
      <w:pPr>
        <w:pStyle w:val="Lista2"/>
      </w:pPr>
      <w:r>
        <w:t xml:space="preserve">either </w:t>
      </w:r>
      <w:r>
        <w:rPr>
          <w:rStyle w:val="Code"/>
        </w:rPr>
        <w:t>&lt;q&gt;</w:t>
      </w:r>
      <w:r>
        <w:t xml:space="preserve"> for generic quoted text (§</w:t>
      </w:r>
      <w:r>
        <w:fldChar w:fldCharType="begin"/>
      </w:r>
      <w:r>
        <w:instrText xml:space="preserve"> REF _Ref233880809 \r \h </w:instrText>
      </w:r>
      <w:r>
        <w:fldChar w:fldCharType="separate"/>
      </w:r>
      <w:r>
        <w:t>14.6.3.1</w:t>
      </w:r>
      <w:r>
        <w:fldChar w:fldCharType="end"/>
      </w:r>
      <w:r>
        <w:t>)</w:t>
      </w:r>
    </w:p>
    <w:p w14:paraId="715201C2" w14:textId="77777777">
      <w:pPr>
        <w:pStyle w:val="Lista2"/>
      </w:pPr>
      <w:r>
        <w:t xml:space="preserve">or </w:t>
      </w:r>
      <w:r>
        <w:rPr>
          <w:rStyle w:val="Code"/>
        </w:rPr>
        <w:t>&lt;quote&gt;</w:t>
      </w:r>
      <w:r>
        <w:t xml:space="preserve"> wrapped in </w:t>
      </w:r>
      <w:r>
        <w:rPr>
          <w:rStyle w:val="Code"/>
        </w:rPr>
        <w:t>&lt;cit&gt;</w:t>
      </w:r>
      <w:r>
        <w:t xml:space="preserve"> for a quotation attributed to a source (§</w:t>
      </w:r>
      <w:r>
        <w:fldChar w:fldCharType="begin"/>
      </w:r>
      <w:r>
        <w:instrText xml:space="preserve"> REF _Ref233880854 \r \h </w:instrText>
      </w:r>
      <w:r>
        <w:fldChar w:fldCharType="separate"/>
      </w:r>
      <w:r>
        <w:t>14.6.3.2</w:t>
      </w:r>
      <w:r>
        <w:fldChar w:fldCharType="end"/>
      </w:r>
      <w:r>
        <w:t>)</w:t>
      </w:r>
    </w:p>
    <w:p w14:paraId="721A51C8" w14:textId="77777777">
      <w:pPr>
        <w:pStyle w:val="Lista"/>
      </w:pPr>
      <w:r>
        <w:t xml:space="preserve">add the attribute </w:t>
      </w:r>
      <w:r>
        <w:rPr>
          <w:rStyle w:val="Codeattribute"/>
        </w:rPr>
        <w:t>@rend</w:t>
      </w:r>
      <w:r>
        <w:rPr>
          <w:rStyle w:val="Codetext"/>
        </w:rPr>
        <w:t>=</w:t>
      </w:r>
      <w:r>
        <w:rPr>
          <w:rStyle w:val="Codevalue"/>
        </w:rPr>
        <w:t>"block"</w:t>
      </w:r>
      <w:r>
        <w:t xml:space="preserve"> to the </w:t>
      </w:r>
      <w:r>
        <w:rPr>
          <w:rStyle w:val="Code"/>
        </w:rPr>
        <w:t>&lt;q&gt;</w:t>
      </w:r>
      <w:r>
        <w:t xml:space="preserve"> or </w:t>
      </w:r>
      <w:r>
        <w:rPr>
          <w:rStyle w:val="Code"/>
        </w:rPr>
        <w:t>&lt;quote&gt;</w:t>
      </w:r>
      <w:r>
        <w:t xml:space="preserve"> element</w:t>
      </w:r>
    </w:p>
    <w:p w14:paraId="4A1CA831" w14:textId="301076AD">
      <w:pPr>
        <w:pStyle w:val="Lista"/>
      </w:pPr>
      <w:r>
        <w:t>the parent element may contain additional text before as well as after the block quote</w:t>
      </w:r>
    </w:p>
    <w:tbl>
      <w:tblPr>
        <w:tblStyle w:val="CodeSampleTable"/>
        <w:tblW w:w="5000" w:type="pct"/>
        <w:tblLook w:val="04A0" w:firstRow="1" w:lastRow="0" w:firstColumn="1" w:lastColumn="0" w:noHBand="0" w:noVBand="1"/>
      </w:tblPr>
      <w:tblGrid>
        <w:gridCol w:w="9628"/>
      </w:tblGrid>
      <w:tr w14:paraId="21321B49"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86D390A" w14:textId="77777777">
            <w:pPr>
              <w:pStyle w:val="Kpalrs"/>
            </w:pPr>
            <w:bookmarkStart w:id="968" w:name="_Ref233795218"/>
            <w:bookmarkStart w:id="969" w:name="_Ref233795217"/>
            <w:r>
              <w:t xml:space="preserve">Exhibit </w:t>
            </w:r>
            <w:fldSimple w:instr=" STYLEREF 2 \s ">
              <w:r>
                <w:rPr>
                  <w:noProof/>
                </w:rPr>
                <w:t>14.3</w:t>
              </w:r>
            </w:fldSimple>
            <w:r>
              <w:t>.</w:t>
            </w:r>
            <w:fldSimple w:instr=" SEQ Exhibit \* ALPHABETIC \s 2 ">
              <w:r>
                <w:rPr>
                  <w:noProof/>
                </w:rPr>
                <w:t>A</w:t>
              </w:r>
            </w:fldSimple>
            <w:bookmarkEnd w:id="968"/>
            <w:r>
              <w:t>: block quote with stanza quotation</w:t>
            </w:r>
            <w:bookmarkEnd w:id="969"/>
          </w:p>
        </w:tc>
      </w:tr>
      <w:tr w14:paraId="440C8997" w14:textId="77777777">
        <w:tc>
          <w:tcPr>
            <w:tcW w:w="5000" w:type="pct"/>
          </w:tcPr>
          <w:p w14:paraId="1A4D9384" w14:textId="77777777">
            <w:pPr>
              <w:pStyle w:val="CodeParagraph"/>
              <w:keepNext/>
              <w:rPr>
                <w:rStyle w:val="Codetext"/>
              </w:rPr>
            </w:pPr>
            <w:r>
              <w:rPr>
                <w:rStyle w:val="Code"/>
              </w:rPr>
              <w:t>&lt;p&gt;</w:t>
            </w:r>
            <w:r>
              <w:rPr>
                <w:rStyle w:val="Codetext"/>
              </w:rPr>
              <w:t>In further support ... crucial elements that we also see in ours:</w:t>
            </w:r>
          </w:p>
          <w:p w14:paraId="2D20FA2F" w14:textId="77777777">
            <w:pPr>
              <w:pStyle w:val="CodeParagraph"/>
              <w:keepNext/>
              <w:rPr>
                <w:rStyle w:val="Code"/>
              </w:rPr>
            </w:pPr>
            <w:r>
              <w:rPr>
                <w:rStyle w:val="Code"/>
              </w:rPr>
              <w:t xml:space="preserve">  &lt;q </w:t>
            </w:r>
            <w:r>
              <w:rPr>
                <w:rStyle w:val="Codeattribute"/>
              </w:rPr>
              <w:t>rend=</w:t>
            </w:r>
            <w:r>
              <w:rPr>
                <w:rStyle w:val="Codevalue"/>
              </w:rPr>
              <w:t>"block"</w:t>
            </w:r>
            <w:r>
              <w:rPr>
                <w:rStyle w:val="Code"/>
              </w:rPr>
              <w:t>&gt;</w:t>
            </w:r>
          </w:p>
          <w:p w14:paraId="652A9EA2" w14:textId="77777777">
            <w:pPr>
              <w:pStyle w:val="CodeParagraph"/>
              <w:keepNext/>
              <w:rPr>
                <w:rStyle w:val="Code"/>
              </w:rPr>
            </w:pPr>
            <w:r>
              <w:rPr>
                <w:rStyle w:val="Code"/>
              </w:rPr>
              <w:t xml:space="preserve">    &lt;lg </w:t>
            </w:r>
            <w:r>
              <w:rPr>
                <w:rStyle w:val="Codeattribute"/>
              </w:rPr>
              <w:t>xml:lang=</w:t>
            </w:r>
            <w:r>
              <w:rPr>
                <w:rStyle w:val="Codevalue"/>
              </w:rPr>
              <w:t>"san-Latn"</w:t>
            </w:r>
            <w:r>
              <w:rPr>
                <w:rStyle w:val="Code"/>
              </w:rPr>
              <w:t>&gt;</w:t>
            </w:r>
          </w:p>
          <w:p w14:paraId="2F14AA95" w14:textId="77777777">
            <w:pPr>
              <w:pStyle w:val="CodeParagraph"/>
              <w:keepNext/>
              <w:rPr>
                <w:rStyle w:val="Code"/>
              </w:rPr>
            </w:pPr>
            <w:r>
              <w:rPr>
                <w:rStyle w:val="Code"/>
              </w:rPr>
              <w:t xml:space="preserve">      &lt;l&gt;</w:t>
            </w:r>
            <w:r>
              <w:rPr>
                <w:rStyle w:val="Codetext"/>
              </w:rPr>
              <w:t>āsādya śaktiṁ vivudhopanītāṁ māheśvarīṁ jñānamayīm amoghām</w:t>
            </w:r>
            <w:r>
              <w:rPr>
                <w:rStyle w:val="Code"/>
              </w:rPr>
              <w:t>&lt;/l&gt;</w:t>
            </w:r>
          </w:p>
          <w:p w14:paraId="46E0E807" w14:textId="77777777">
            <w:pPr>
              <w:pStyle w:val="CodeParagraph"/>
              <w:keepNext/>
              <w:rPr>
                <w:rStyle w:val="Code"/>
              </w:rPr>
            </w:pPr>
            <w:r>
              <w:rPr>
                <w:rStyle w:val="Code"/>
              </w:rPr>
              <w:t xml:space="preserve">      &lt;l&gt;</w:t>
            </w:r>
            <w:r>
              <w:rPr>
                <w:rStyle w:val="Codetext"/>
              </w:rPr>
              <w:t xml:space="preserve">kumārabhāve vijitārivarggo yo dīpayām āsa mahendralakṣmīm || </w:t>
            </w:r>
            <w:r>
              <w:rPr>
                <w:rStyle w:val="Code"/>
              </w:rPr>
              <w:t>&lt;/l&gt;</w:t>
            </w:r>
          </w:p>
          <w:p w14:paraId="3D321C7A" w14:textId="77777777">
            <w:pPr>
              <w:pStyle w:val="CodeParagraph"/>
              <w:keepNext/>
              <w:rPr>
                <w:rStyle w:val="Code"/>
              </w:rPr>
            </w:pPr>
            <w:r>
              <w:rPr>
                <w:rStyle w:val="Code"/>
              </w:rPr>
              <w:t xml:space="preserve">    &lt;/lg&gt;</w:t>
            </w:r>
          </w:p>
          <w:p w14:paraId="467B362F" w14:textId="77777777">
            <w:pPr>
              <w:pStyle w:val="CodeParagraph"/>
              <w:keepNext/>
              <w:rPr>
                <w:rStyle w:val="Codetext"/>
              </w:rPr>
            </w:pPr>
            <w:r>
              <w:rPr>
                <w:rStyle w:val="Codetext"/>
              </w:rPr>
              <w:t xml:space="preserve">  After attaining the Power of Maheśvara...</w:t>
            </w:r>
          </w:p>
          <w:p w14:paraId="7FDA75F2" w14:textId="77777777">
            <w:pPr>
              <w:pStyle w:val="CodeParagraph"/>
              <w:keepNext/>
              <w:rPr>
                <w:rStyle w:val="Code"/>
              </w:rPr>
            </w:pPr>
            <w:r>
              <w:rPr>
                <w:rStyle w:val="Code"/>
              </w:rPr>
              <w:t xml:space="preserve">  &lt;/q&gt;</w:t>
            </w:r>
          </w:p>
          <w:p w14:paraId="7AEBD30D" w14:textId="77777777">
            <w:pPr>
              <w:pStyle w:val="CodeParagraph"/>
              <w:keepNext/>
              <w:rPr>
                <w:rStyle w:val="Code"/>
              </w:rPr>
            </w:pPr>
            <w:r>
              <w:rPr>
                <w:rStyle w:val="Codetext"/>
              </w:rPr>
              <w:t>Mahendra is both the name of King Rājendravarman's father, Mahendravarman...</w:t>
            </w:r>
            <w:r>
              <w:rPr>
                <w:rStyle w:val="Code"/>
              </w:rPr>
              <w:t>&lt;/p&gt;</w:t>
            </w:r>
          </w:p>
        </w:tc>
      </w:tr>
      <w:tr w14:paraId="5AFA41A0" w14:textId="77777777">
        <w:tc>
          <w:tcPr>
            <w:tcW w:w="5000" w:type="pct"/>
          </w:tcPr>
          <w:p w14:paraId="3007470A" w14:textId="77777777">
            <w:pPr>
              <w:pStyle w:val="TableNote"/>
            </w:pPr>
            <w:r>
              <w:t>display:</w:t>
            </w:r>
          </w:p>
          <w:p w14:paraId="223D14AA" w14:textId="77777777">
            <w:pPr>
              <w:pStyle w:val="Tabletext"/>
            </w:pPr>
            <w:r>
              <w:t>In further support ... crucial elements that we also see in ours:</w:t>
            </w:r>
          </w:p>
          <w:p w14:paraId="1C4E82EB" w14:textId="77777777">
            <w:pPr>
              <w:pStyle w:val="Tabletext"/>
              <w:spacing w:before="120"/>
              <w:rPr>
                <w:rStyle w:val="ForeignIndic"/>
              </w:rPr>
            </w:pPr>
            <w:r>
              <w:rPr>
                <w:rStyle w:val="ForeignIndic"/>
              </w:rPr>
              <w:t xml:space="preserve">        āsādya śaktiṁ vivudhopanītāṁ māheśvarīṁ jñānamayīm amoghām</w:t>
            </w:r>
            <w:r>
              <w:rPr>
                <w:rStyle w:val="ForeignIndic"/>
              </w:rPr>
              <w:br/>
              <w:t xml:space="preserve">        kumārabhāve vijitārivarggo yo dīpayām āsa mahendralakṣmīm ||</w:t>
            </w:r>
          </w:p>
          <w:p w14:paraId="0B013DF4" w14:textId="77777777">
            <w:pPr>
              <w:pStyle w:val="Tabletext"/>
              <w:spacing w:before="120"/>
            </w:pPr>
            <w:r>
              <w:t xml:space="preserve">    After attaining the Power of Maheśvara...</w:t>
            </w:r>
          </w:p>
          <w:p w14:paraId="49B25F2E" w14:textId="77777777">
            <w:pPr>
              <w:pStyle w:val="Tabletext"/>
              <w:spacing w:before="120"/>
              <w:rPr>
                <w:rStyle w:val="ForeignIndic"/>
              </w:rPr>
            </w:pPr>
            <w:r>
              <w:rPr>
                <w:rStyle w:val="ForeignIndic"/>
              </w:rPr>
              <w:t>Mahendra is both the name of King Rājendravarman’s father, Mahendravarman</w:t>
            </w:r>
          </w:p>
        </w:tc>
      </w:tr>
    </w:tbl>
    <w:p w14:paraId="1E308779" w14:textId="77777777">
      <w:pPr>
        <w:pStyle w:val="Cmsor3"/>
      </w:pPr>
      <w:bookmarkStart w:id="970" w:name="_Toc243900442"/>
      <w:r>
        <w:t>Lists</w:t>
      </w:r>
      <w:bookmarkEnd w:id="957"/>
      <w:bookmarkEnd w:id="967"/>
      <w:bookmarkEnd w:id="970"/>
    </w:p>
    <w:p w14:paraId="46C9FB8F" w14:textId="77777777">
      <w:r>
        <w:t xml:space="preserve">Should you need to format some text as a structured list, the following markup may be used at any point where a </w:t>
      </w:r>
      <w:r>
        <w:rPr>
          <w:rStyle w:val="Code"/>
        </w:rPr>
        <w:t>&lt;p&gt;</w:t>
      </w:r>
      <w:r>
        <w:t xml:space="preserve"> element is permitted outside the edition (§</w:t>
      </w:r>
      <w:r>
        <w:fldChar w:fldCharType="begin"/>
      </w:r>
      <w:r>
        <w:instrText xml:space="preserve"> REF _Ref233793815 \r \h </w:instrText>
      </w:r>
      <w:r>
        <w:fldChar w:fldCharType="separate"/>
      </w:r>
      <w:r>
        <w:t>14.3.1</w:t>
      </w:r>
      <w:r>
        <w:fldChar w:fldCharType="end"/>
      </w:r>
      <w:r>
        <w:t>), particularly in the commentary, translation or certain parts of the TEI header such as the hand description (§</w:t>
      </w:r>
      <w:r>
        <w:fldChar w:fldCharType="begin"/>
      </w:r>
      <w:r>
        <w:instrText xml:space="preserve"> REF _Ref43987455 \r \h </w:instrText>
      </w:r>
      <w:r>
        <w:fldChar w:fldCharType="separate"/>
      </w:r>
      <w:r>
        <w:t>15.2.1</w:t>
      </w:r>
      <w:r>
        <w:fldChar w:fldCharType="end"/>
      </w:r>
      <w:r>
        <w:t>). Special considerations for the use of lists in the edition division are given in §</w:t>
      </w:r>
      <w:r>
        <w:fldChar w:fldCharType="begin"/>
      </w:r>
      <w:r>
        <w:instrText xml:space="preserve"> REF _Ref168563127 \r \h </w:instrText>
      </w:r>
      <w:r>
        <w:fldChar w:fldCharType="separate"/>
      </w:r>
      <w:r>
        <w:t>3.2.1.3</w:t>
      </w:r>
      <w:r>
        <w:fldChar w:fldCharType="end"/>
      </w:r>
      <w:r>
        <w:t>.</w:t>
      </w:r>
    </w:p>
    <w:p w14:paraId="4DC4652E" w14:textId="77777777">
      <w:pPr>
        <w:pStyle w:val="Lista"/>
      </w:pPr>
      <w:r>
        <w:t xml:space="preserve">to encode a list, create a </w:t>
      </w:r>
      <w:r>
        <w:rPr>
          <w:rStyle w:val="Code"/>
        </w:rPr>
        <w:t>&lt;list&gt;</w:t>
      </w:r>
      <w:r>
        <w:t xml:space="preserve"> element within an already existing </w:t>
      </w:r>
      <w:r>
        <w:rPr>
          <w:rStyle w:val="Code"/>
        </w:rPr>
        <w:t>&lt;p&gt;</w:t>
      </w:r>
      <w:r>
        <w:t xml:space="preserve"> element</w:t>
      </w:r>
    </w:p>
    <w:p w14:paraId="026A7373" w14:textId="77777777">
      <w:pPr>
        <w:pStyle w:val="Lista2"/>
      </w:pPr>
      <w:r>
        <w:rPr>
          <w:rStyle w:val="Code"/>
        </w:rPr>
        <w:lastRenderedPageBreak/>
        <w:t>&lt;list&gt;</w:t>
      </w:r>
      <w:r>
        <w:t xml:space="preserve"> elements are not required to tessellate, so a </w:t>
      </w:r>
      <w:r>
        <w:rPr>
          <w:rStyle w:val="Code"/>
        </w:rPr>
        <w:t>&lt;p&gt;</w:t>
      </w:r>
      <w:r>
        <w:t xml:space="preserve"> element may contain text alongside (i.e. before and/or after) a list</w:t>
      </w:r>
    </w:p>
    <w:p w14:paraId="48DBBF2B" w14:textId="77777777">
      <w:pPr>
        <w:pStyle w:val="Lista"/>
      </w:pPr>
      <w:r>
        <w:t xml:space="preserve">within </w:t>
      </w:r>
      <w:r>
        <w:rPr>
          <w:rStyle w:val="Code"/>
        </w:rPr>
        <w:t>&lt;list&gt;</w:t>
      </w:r>
      <w:r>
        <w:t xml:space="preserve">, create an </w:t>
      </w:r>
      <w:r>
        <w:rPr>
          <w:rStyle w:val="Code"/>
        </w:rPr>
        <w:t>&lt;item&gt;</w:t>
      </w:r>
      <w:r>
        <w:t xml:space="preserve"> element as a container for each list item</w:t>
      </w:r>
    </w:p>
    <w:p w14:paraId="3141BDE6" w14:textId="77777777">
      <w:pPr>
        <w:pStyle w:val="Lista2"/>
      </w:pPr>
      <w:r>
        <w:rPr>
          <w:rStyle w:val="Code"/>
        </w:rPr>
        <w:t>&lt;item&gt;</w:t>
      </w:r>
      <w:r>
        <w:t xml:space="preserve"> elements are required to tessellate, so a </w:t>
      </w:r>
      <w:r>
        <w:rPr>
          <w:rStyle w:val="Code"/>
        </w:rPr>
        <w:t>&lt;list&gt;</w:t>
      </w:r>
      <w:r>
        <w:t xml:space="preserve"> cannot contain anything outside an </w:t>
      </w:r>
      <w:r>
        <w:rPr>
          <w:rStyle w:val="Code"/>
        </w:rPr>
        <w:t>&lt;item&gt;</w:t>
      </w:r>
      <w:r>
        <w:t xml:space="preserve"> except for paired lists (§</w:t>
      </w:r>
      <w:r>
        <w:fldChar w:fldCharType="begin"/>
      </w:r>
      <w:r>
        <w:instrText xml:space="preserve"> REF _Ref233645526 \r \h </w:instrText>
      </w:r>
      <w:r>
        <w:fldChar w:fldCharType="separate"/>
      </w:r>
      <w:r>
        <w:t>14.3.4.1</w:t>
      </w:r>
      <w:r>
        <w:fldChar w:fldCharType="end"/>
      </w:r>
      <w:r>
        <w:t>)</w:t>
      </w:r>
    </w:p>
    <w:p w14:paraId="421EF2E7" w14:textId="77777777">
      <w:pPr>
        <w:pStyle w:val="Lista"/>
      </w:pPr>
      <w:r>
        <w:t xml:space="preserve">the formatting of the list may be specified by adding the attribute </w:t>
      </w:r>
      <w:r>
        <w:rPr>
          <w:rStyle w:val="Codeattribute"/>
        </w:rPr>
        <w:t>@rend</w:t>
      </w:r>
      <w:r>
        <w:t xml:space="preserve"> to the </w:t>
      </w:r>
      <w:r>
        <w:rPr>
          <w:rStyle w:val="Code"/>
        </w:rPr>
        <w:t>&lt;list&gt;</w:t>
      </w:r>
      <w:r>
        <w:t xml:space="preserve"> element, with one of the following values</w:t>
      </w:r>
    </w:p>
    <w:p w14:paraId="3859534C" w14:textId="77777777">
      <w:pPr>
        <w:pStyle w:val="Lista2"/>
      </w:pPr>
      <w:r>
        <w:rPr>
          <w:rStyle w:val="Codevalue"/>
        </w:rPr>
        <w:t>"plain"</w:t>
      </w:r>
      <w:r>
        <w:t xml:space="preserve"> for a plain list</w:t>
      </w:r>
    </w:p>
    <w:p w14:paraId="55DD5A1B" w14:textId="77777777">
      <w:pPr>
        <w:pStyle w:val="Lista3"/>
      </w:pPr>
      <w:r>
        <w:t xml:space="preserve">this is the default value, so using </w:t>
      </w:r>
      <w:r>
        <w:rPr>
          <w:rStyle w:val="Code"/>
        </w:rPr>
        <w:t>&lt;list&gt;</w:t>
      </w:r>
      <w:r>
        <w:t xml:space="preserve"> without </w:t>
      </w:r>
      <w:r>
        <w:rPr>
          <w:rStyle w:val="Codeattribute"/>
        </w:rPr>
        <w:t>@rend</w:t>
      </w:r>
      <w:r>
        <w:t xml:space="preserve"> will produce a plain list and </w:t>
      </w:r>
      <w:r>
        <w:rPr>
          <w:rStyle w:val="Codeattribute"/>
        </w:rPr>
        <w:t>@rend=</w:t>
      </w:r>
      <w:r>
        <w:rPr>
          <w:rStyle w:val="Codevalue"/>
        </w:rPr>
        <w:t>"plain"</w:t>
      </w:r>
      <w:r>
        <w:t xml:space="preserve"> need not be explicitly encoded</w:t>
      </w:r>
    </w:p>
    <w:p w14:paraId="27D6B34C" w14:textId="77777777">
      <w:pPr>
        <w:pStyle w:val="Lista2"/>
      </w:pPr>
      <w:r>
        <w:rPr>
          <w:rStyle w:val="Codevalue"/>
        </w:rPr>
        <w:t>"bulleted"</w:t>
      </w:r>
      <w:r>
        <w:t xml:space="preserve"> to create a bulleted list (illustrated in the nested list in </w:t>
      </w:r>
      <w:r>
        <w:rPr>
          <w:lang w:eastAsia="en-US" w:bidi="ar-SA"/>
        </w:rPr>
        <w:fldChar w:fldCharType="begin"/>
      </w:r>
      <w:r>
        <w:rPr>
          <w:lang w:eastAsia="en-US" w:bidi="ar-SA"/>
        </w:rPr>
        <w:instrText xml:space="preserve"> REF _Ref233646064 \h </w:instrText>
      </w:r>
      <w:r>
        <w:rPr>
          <w:lang w:eastAsia="en-US" w:bidi="ar-SA"/>
        </w:rPr>
      </w:r>
      <w:r>
        <w:rPr>
          <w:lang w:eastAsia="en-US" w:bidi="ar-SA"/>
        </w:rPr>
        <w:fldChar w:fldCharType="separate"/>
      </w:r>
      <w:r>
        <w:t xml:space="preserve">Exhibit </w:t>
      </w:r>
      <w:r>
        <w:rPr>
          <w:noProof/>
        </w:rPr>
        <w:t>14.3</w:t>
      </w:r>
      <w:r>
        <w:t>.</w:t>
      </w:r>
      <w:r>
        <w:rPr>
          <w:noProof/>
        </w:rPr>
        <w:t>C</w:t>
      </w:r>
      <w:r>
        <w:rPr>
          <w:lang w:eastAsia="en-US" w:bidi="ar-SA"/>
        </w:rPr>
        <w:fldChar w:fldCharType="end"/>
      </w:r>
      <w:r>
        <w:rPr>
          <w:lang w:eastAsia="en-US" w:bidi="ar-SA"/>
        </w:rPr>
        <w:t>)</w:t>
      </w:r>
    </w:p>
    <w:p w14:paraId="72A93D41" w14:textId="77777777">
      <w:pPr>
        <w:pStyle w:val="Lista2"/>
      </w:pPr>
      <w:r>
        <w:rPr>
          <w:rStyle w:val="Codevalue"/>
        </w:rPr>
        <w:t>"numbered"</w:t>
      </w:r>
      <w:r>
        <w:t xml:space="preserve"> to create an auto-numbered list</w:t>
      </w:r>
    </w:p>
    <w:p w14:paraId="619FCDDD" w14:textId="77777777">
      <w:pPr>
        <w:pStyle w:val="Cmsor4"/>
      </w:pPr>
      <w:bookmarkStart w:id="971" w:name="_Ref233645526"/>
      <w:r>
        <w:t>Paired lists</w:t>
      </w:r>
      <w:bookmarkEnd w:id="971"/>
    </w:p>
    <w:p w14:paraId="4AA97CD0" w14:textId="77777777">
      <w:pPr>
        <w:rPr>
          <w:lang w:eastAsia="en-US" w:bidi="ar-SA"/>
        </w:rPr>
      </w:pPr>
      <w:r>
        <w:rPr>
          <w:lang w:eastAsia="en-US" w:bidi="ar-SA"/>
        </w:rPr>
        <w:t xml:space="preserve">If and only if you deem this degree of complexity essential for presenting a translation or commentary clearly, lists may be set up so that headwords (such as names, terms or entries) are paired with extensions (such as roles, shares, definitions or descriptions). Such lists shall be encoded as described below and illustrated in </w:t>
      </w:r>
      <w:r>
        <w:rPr>
          <w:lang w:eastAsia="en-US" w:bidi="ar-SA"/>
        </w:rPr>
        <w:fldChar w:fldCharType="begin"/>
      </w:r>
      <w:r>
        <w:rPr>
          <w:lang w:eastAsia="en-US" w:bidi="ar-SA"/>
        </w:rPr>
        <w:instrText xml:space="preserve"> REF _Ref233646042 \h </w:instrText>
      </w:r>
      <w:r>
        <w:rPr>
          <w:lang w:eastAsia="en-US" w:bidi="ar-SA"/>
        </w:rPr>
      </w:r>
      <w:r>
        <w:rPr>
          <w:lang w:eastAsia="en-US" w:bidi="ar-SA"/>
        </w:rPr>
        <w:fldChar w:fldCharType="separate"/>
      </w:r>
      <w:r>
        <w:t xml:space="preserve">Exhibit </w:t>
      </w:r>
      <w:r>
        <w:rPr>
          <w:noProof/>
        </w:rPr>
        <w:t>14.3</w:t>
      </w:r>
      <w:r>
        <w:t>.</w:t>
      </w:r>
      <w:r>
        <w:rPr>
          <w:noProof/>
        </w:rPr>
        <w:t>B</w:t>
      </w:r>
      <w:r>
        <w:rPr>
          <w:lang w:eastAsia="en-US" w:bidi="ar-SA"/>
        </w:rPr>
        <w:fldChar w:fldCharType="end"/>
      </w:r>
      <w:r>
        <w:rPr>
          <w:lang w:eastAsia="en-US" w:bidi="ar-SA"/>
        </w:rPr>
        <w:t>.</w:t>
      </w:r>
    </w:p>
    <w:p w14:paraId="6326161F" w14:textId="77777777">
      <w:pPr>
        <w:pStyle w:val="Lista"/>
      </w:pPr>
      <w:r>
        <w:t xml:space="preserve">use the </w:t>
      </w:r>
      <w:r>
        <w:rPr>
          <w:rStyle w:val="Code"/>
        </w:rPr>
        <w:t>&lt;list&gt;</w:t>
      </w:r>
      <w:r>
        <w:t xml:space="preserve"> element with the attribute </w:t>
      </w:r>
      <w:r>
        <w:rPr>
          <w:rStyle w:val="Codeattribute"/>
        </w:rPr>
        <w:t>@rend=</w:t>
      </w:r>
      <w:r>
        <w:rPr>
          <w:rStyle w:val="Codevalue"/>
        </w:rPr>
        <w:t>"paired"</w:t>
      </w:r>
      <w:r>
        <w:t xml:space="preserve"> </w:t>
      </w:r>
    </w:p>
    <w:p w14:paraId="472B85F1" w14:textId="77777777">
      <w:pPr>
        <w:pStyle w:val="Lista"/>
      </w:pPr>
      <w:r>
        <w:t xml:space="preserve">wrap each headword in the element </w:t>
      </w:r>
      <w:r>
        <w:rPr>
          <w:rStyle w:val="Code"/>
        </w:rPr>
        <w:t>&lt;label&gt;</w:t>
      </w:r>
      <w:r>
        <w:t xml:space="preserve"> </w:t>
      </w:r>
    </w:p>
    <w:p w14:paraId="6BBE50DB" w14:textId="77777777">
      <w:pPr>
        <w:pStyle w:val="Lista"/>
        <w:rPr>
          <w:rStyle w:val="Code"/>
          <w:rFonts w:ascii="Gentium" w:hAnsi="Gentium" w:cs="Tiro Devanagari Sanskrit"/>
          <w:noProof w:val="0"/>
          <w:color w:val="auto"/>
          <w:shd w:val="clear" w:color="auto" w:fill="auto"/>
        </w:rPr>
      </w:pPr>
      <w:r>
        <w:t xml:space="preserve">wrap each extension in the element </w:t>
      </w:r>
      <w:r>
        <w:rPr>
          <w:rStyle w:val="Code"/>
        </w:rPr>
        <w:t>&lt;item&gt;</w:t>
      </w:r>
    </w:p>
    <w:p w14:paraId="7F30C762" w14:textId="77777777">
      <w:pPr>
        <w:pStyle w:val="Lista"/>
      </w:pPr>
      <w:r>
        <w:t xml:space="preserve">unlike other lists, </w:t>
      </w:r>
      <w:r>
        <w:rPr>
          <w:rStyle w:val="Code"/>
        </w:rPr>
        <w:t>&lt;label&gt;</w:t>
      </w:r>
      <w:r>
        <w:t xml:space="preserve"> and </w:t>
      </w:r>
      <w:r>
        <w:rPr>
          <w:rStyle w:val="Code"/>
        </w:rPr>
        <w:t>&lt;item&gt;</w:t>
      </w:r>
      <w:r>
        <w:t xml:space="preserve"> elements alternate in this case</w:t>
      </w:r>
    </w:p>
    <w:p w14:paraId="68910C69" w14:textId="7CCA5284">
      <w:pPr>
        <w:pStyle w:val="Lista"/>
      </w:pPr>
      <w:r>
        <w:t xml:space="preserve">all text within the </w:t>
      </w:r>
      <w:r>
        <w:rPr>
          <w:rStyle w:val="Code"/>
        </w:rPr>
        <w:t>&lt;list&gt;</w:t>
      </w:r>
      <w:r>
        <w:t xml:space="preserve"> element must be contained either within </w:t>
      </w:r>
      <w:r>
        <w:rPr>
          <w:rStyle w:val="Code"/>
        </w:rPr>
        <w:t>&lt;label&gt;</w:t>
      </w:r>
      <w:r>
        <w:t xml:space="preserve"> or within </w:t>
      </w:r>
      <w:r>
        <w:rPr>
          <w:rStyle w:val="Code"/>
        </w:rPr>
        <w:t>&lt;item&gt;</w:t>
      </w:r>
    </w:p>
    <w:tbl>
      <w:tblPr>
        <w:tblStyle w:val="CodeSampleTable"/>
        <w:tblW w:w="5000" w:type="pct"/>
        <w:tblLook w:val="04A0" w:firstRow="1" w:lastRow="0" w:firstColumn="1" w:lastColumn="0" w:noHBand="0" w:noVBand="1"/>
      </w:tblPr>
      <w:tblGrid>
        <w:gridCol w:w="9628"/>
      </w:tblGrid>
      <w:tr w14:paraId="585CAC1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95FECC" w14:textId="77777777">
            <w:pPr>
              <w:pStyle w:val="Kpalrs"/>
            </w:pPr>
            <w:bookmarkStart w:id="972" w:name="_Ref233646042"/>
            <w:r>
              <w:t xml:space="preserve">Exhibit </w:t>
            </w:r>
            <w:fldSimple w:instr=" STYLEREF 2 \s ">
              <w:r>
                <w:rPr>
                  <w:noProof/>
                </w:rPr>
                <w:t>14.3</w:t>
              </w:r>
            </w:fldSimple>
            <w:r>
              <w:t>.</w:t>
            </w:r>
            <w:fldSimple w:instr=" SEQ Exhibit \* ALPHABETIC \s 2 ">
              <w:r>
                <w:rPr>
                  <w:noProof/>
                </w:rPr>
                <w:t>B</w:t>
              </w:r>
            </w:fldSimple>
            <w:bookmarkEnd w:id="972"/>
            <w:r>
              <w:t>: encoding a paired list</w:t>
            </w:r>
          </w:p>
        </w:tc>
      </w:tr>
      <w:tr w14:paraId="34C70386" w14:textId="77777777">
        <w:tc>
          <w:tcPr>
            <w:tcW w:w="5000" w:type="pct"/>
          </w:tcPr>
          <w:p w14:paraId="76435309" w14:textId="77777777">
            <w:pPr>
              <w:pStyle w:val="CodeParagraph"/>
              <w:keepNext/>
              <w:rPr>
                <w:rStyle w:val="Code"/>
              </w:rPr>
            </w:pPr>
            <w:r>
              <w:rPr>
                <w:rStyle w:val="Code"/>
              </w:rPr>
              <w:t>&lt;p n="1r16-2r1"&gt;</w:t>
            </w:r>
            <w:r>
              <w:rPr>
                <w:rStyle w:val="Codetext"/>
              </w:rPr>
              <w:t>As for those who</w:t>
            </w:r>
            <w:r>
              <w:rPr>
                <w:rStyle w:val="Code"/>
              </w:rPr>
              <w:t xml:space="preserve"> </w:t>
            </w:r>
          </w:p>
          <w:p w14:paraId="0FD56833" w14:textId="77777777">
            <w:pPr>
              <w:pStyle w:val="CodeParagraph"/>
              <w:keepNext/>
              <w:rPr>
                <w:rStyle w:val="Code"/>
              </w:rPr>
            </w:pPr>
            <w:r>
              <w:rPr>
                <w:rStyle w:val="Code"/>
              </w:rPr>
              <w:t xml:space="preserve">  &lt;list</w:t>
            </w:r>
            <w:r>
              <w:rPr>
                <w:rStyle w:val="Codeattribute"/>
              </w:rPr>
              <w:t xml:space="preserve"> rend=</w:t>
            </w:r>
            <w:r>
              <w:rPr>
                <w:rStyle w:val="Codevalue"/>
              </w:rPr>
              <w:t>"paired"</w:t>
            </w:r>
            <w:r>
              <w:rPr>
                <w:rStyle w:val="Code"/>
              </w:rPr>
              <w:t>&gt;</w:t>
            </w:r>
          </w:p>
          <w:p w14:paraId="090B1D9C" w14:textId="77777777">
            <w:pPr>
              <w:pStyle w:val="CodeParagraph"/>
              <w:keepNext/>
              <w:rPr>
                <w:rStyle w:val="Code"/>
              </w:rPr>
            </w:pPr>
            <w:r>
              <w:rPr>
                <w:rStyle w:val="Code"/>
              </w:rPr>
              <w:t xml:space="preserve">    &lt;label&gt;&lt;foreign&gt;</w:t>
            </w:r>
            <w:r>
              <w:rPr>
                <w:rStyle w:val="Codetext"/>
              </w:rPr>
              <w:t>mañambul</w:t>
            </w:r>
            <w:r>
              <w:rPr>
                <w:rStyle w:val="Code"/>
              </w:rPr>
              <w:t>&lt;/foreign&gt;&lt;/label&gt;&lt;item&gt;</w:t>
            </w:r>
            <w:r>
              <w:rPr>
                <w:rStyle w:val="Codetext"/>
              </w:rPr>
              <w:t>paint black</w:t>
            </w:r>
            <w:r>
              <w:rPr>
                <w:rStyle w:val="Code"/>
              </w:rPr>
              <w:t>&lt;/item&gt;</w:t>
            </w:r>
          </w:p>
          <w:p w14:paraId="0A7B9C2D" w14:textId="77777777">
            <w:pPr>
              <w:pStyle w:val="CodeParagraph"/>
              <w:keepNext/>
              <w:rPr>
                <w:rStyle w:val="Code"/>
              </w:rPr>
            </w:pPr>
            <w:r>
              <w:rPr>
                <w:rStyle w:val="Code"/>
              </w:rPr>
              <w:t xml:space="preserve">    &lt;label&gt;&lt;foreign&gt;</w:t>
            </w:r>
            <w:r>
              <w:rPr>
                <w:rStyle w:val="Codetext"/>
              </w:rPr>
              <w:t>mañavriṅ</w:t>
            </w:r>
            <w:r>
              <w:rPr>
                <w:rStyle w:val="Code"/>
              </w:rPr>
              <w:t>&lt;/foreign&gt;&lt;/label&gt;&lt;item&gt;</w:t>
            </w:r>
            <w:r>
              <w:rPr>
                <w:rStyle w:val="Codetext"/>
              </w:rPr>
              <w:t>make muslin</w:t>
            </w:r>
            <w:r>
              <w:rPr>
                <w:rStyle w:val="Code"/>
              </w:rPr>
              <w:t>&lt;/item&gt;</w:t>
            </w:r>
          </w:p>
          <w:p w14:paraId="43232E28" w14:textId="77777777">
            <w:pPr>
              <w:pStyle w:val="CodeParagraph"/>
              <w:keepNext/>
              <w:rPr>
                <w:rStyle w:val="Code"/>
              </w:rPr>
            </w:pPr>
            <w:r>
              <w:rPr>
                <w:rStyle w:val="Code"/>
              </w:rPr>
              <w:t xml:space="preserve">    &lt;label&gt;&lt;foreign&gt;</w:t>
            </w:r>
            <w:r>
              <w:rPr>
                <w:rStyle w:val="Codetext"/>
              </w:rPr>
              <w:t>maṅlākha</w:t>
            </w:r>
            <w:r>
              <w:rPr>
                <w:rStyle w:val="Code"/>
              </w:rPr>
              <w:t>&lt;/foreign&gt;&lt;/label&gt;&lt;item&gt;</w:t>
            </w:r>
            <w:r>
              <w:rPr>
                <w:rStyle w:val="Codetext"/>
              </w:rPr>
              <w:t>dye red</w:t>
            </w:r>
            <w:r>
              <w:rPr>
                <w:rStyle w:val="Code"/>
              </w:rPr>
              <w:t>&lt;/item&gt;</w:t>
            </w:r>
          </w:p>
          <w:p w14:paraId="37AE9D22" w14:textId="77777777">
            <w:pPr>
              <w:pStyle w:val="CodeParagraph"/>
              <w:keepNext/>
              <w:rPr>
                <w:rStyle w:val="Code"/>
              </w:rPr>
            </w:pPr>
            <w:r>
              <w:rPr>
                <w:rStyle w:val="Code"/>
              </w:rPr>
              <w:t xml:space="preserve">    &lt;label&gt;&lt;foreign&gt;</w:t>
            </w:r>
            <w:r>
              <w:rPr>
                <w:rStyle w:val="Codetext"/>
              </w:rPr>
              <w:t>maṅapus</w:t>
            </w:r>
            <w:r>
              <w:rPr>
                <w:rStyle w:val="Code"/>
              </w:rPr>
              <w:t>&lt;/foreign&gt;&lt;/label&gt;&lt;item&gt;</w:t>
            </w:r>
            <w:r>
              <w:rPr>
                <w:rStyle w:val="Codetext"/>
              </w:rPr>
              <w:t>twist ropes</w:t>
            </w:r>
            <w:r>
              <w:rPr>
                <w:rStyle w:val="Code"/>
              </w:rPr>
              <w:t>&lt;/item&gt;</w:t>
            </w:r>
          </w:p>
          <w:p w14:paraId="40CEEAB5" w14:textId="77777777">
            <w:pPr>
              <w:pStyle w:val="CodeParagraph"/>
              <w:keepNext/>
              <w:rPr>
                <w:rStyle w:val="Code"/>
              </w:rPr>
            </w:pPr>
            <w:r>
              <w:rPr>
                <w:rStyle w:val="Code"/>
              </w:rPr>
              <w:t xml:space="preserve">    &lt;label&gt;&lt;foreign&gt;</w:t>
            </w:r>
            <w:r>
              <w:rPr>
                <w:rStyle w:val="Codetext"/>
              </w:rPr>
              <w:t>maṅubar</w:t>
            </w:r>
            <w:r>
              <w:rPr>
                <w:rStyle w:val="Code"/>
              </w:rPr>
              <w:t>&lt;/foreign&gt;&lt;/label&gt;&lt;item&gt;</w:t>
            </w:r>
            <w:r>
              <w:rPr>
                <w:rStyle w:val="Codetext"/>
              </w:rPr>
              <w:t>dye red</w:t>
            </w:r>
            <w:r>
              <w:rPr>
                <w:rStyle w:val="Code"/>
              </w:rPr>
              <w:t>&lt;/item&gt;</w:t>
            </w:r>
          </w:p>
          <w:p w14:paraId="5D0EF4EC" w14:textId="77777777">
            <w:pPr>
              <w:pStyle w:val="CodeParagraph"/>
              <w:keepNext/>
              <w:rPr>
                <w:rStyle w:val="Code"/>
              </w:rPr>
            </w:pPr>
            <w:r>
              <w:rPr>
                <w:rStyle w:val="Code"/>
              </w:rPr>
              <w:t xml:space="preserve">    ...</w:t>
            </w:r>
          </w:p>
          <w:p w14:paraId="21D6F367" w14:textId="77777777">
            <w:pPr>
              <w:pStyle w:val="CodeParagraph"/>
              <w:keepNext/>
              <w:rPr>
                <w:rStyle w:val="Code"/>
              </w:rPr>
            </w:pPr>
            <w:r>
              <w:rPr>
                <w:rStyle w:val="Code"/>
              </w:rPr>
              <w:t xml:space="preserve">  &lt;/list&gt;</w:t>
            </w:r>
          </w:p>
          <w:p w14:paraId="4E447EF3" w14:textId="77777777">
            <w:pPr>
              <w:pStyle w:val="CodeParagraph"/>
              <w:keepNext/>
              <w:rPr>
                <w:rFonts w:ascii="Consolas" w:hAnsi="Consolas" w:cs="Consolas"/>
                <w:noProof/>
                <w:color w:val="002060"/>
                <w:shd w:val="clear" w:color="auto" w:fill="F2F2F2" w:themeFill="background1" w:themeFillShade="F2"/>
              </w:rPr>
            </w:pPr>
            <w:r>
              <w:rPr>
                <w:rStyle w:val="Code"/>
              </w:rPr>
              <w:t xml:space="preserve">  </w:t>
            </w:r>
            <w:r>
              <w:rPr>
                <w:rStyle w:val="Codetext"/>
              </w:rPr>
              <w:t>Only the</w:t>
            </w:r>
            <w:r>
              <w:rPr>
                <w:rStyle w:val="Code"/>
              </w:rPr>
              <w:t xml:space="preserve"> &lt;foreign&gt;</w:t>
            </w:r>
            <w:r>
              <w:rPr>
                <w:rStyle w:val="Codetext"/>
              </w:rPr>
              <w:t>rakryān</w:t>
            </w:r>
            <w:r>
              <w:rPr>
                <w:rStyle w:val="Code"/>
              </w:rPr>
              <w:t xml:space="preserve">&lt;/foreign&gt; </w:t>
            </w:r>
            <w:r>
              <w:rPr>
                <w:rStyle w:val="Codetext"/>
              </w:rPr>
              <w:t>founder of the freehold herself shall have authority over all its royal revenues.</w:t>
            </w:r>
            <w:r>
              <w:rPr>
                <w:rStyle w:val="Code"/>
              </w:rPr>
              <w:t>&lt;/p&gt;</w:t>
            </w:r>
          </w:p>
        </w:tc>
      </w:tr>
      <w:tr w14:paraId="68400083" w14:textId="77777777">
        <w:tc>
          <w:tcPr>
            <w:tcW w:w="5000" w:type="pct"/>
          </w:tcPr>
          <w:p w14:paraId="51DEFDF3" w14:textId="77777777">
            <w:pPr>
              <w:pStyle w:val="TableNote"/>
            </w:pPr>
            <w:r>
              <w:t>display:</w:t>
            </w:r>
          </w:p>
          <w:p w14:paraId="72C13E0C" w14:textId="77777777">
            <w:pPr>
              <w:pStyle w:val="Tabletext"/>
            </w:pPr>
            <w:r>
              <w:t>As for those who</w:t>
            </w:r>
          </w:p>
          <w:p w14:paraId="7A764C57" w14:textId="77777777">
            <w:pPr>
              <w:pStyle w:val="Tabletext"/>
            </w:pPr>
            <w:r>
              <w:t xml:space="preserve">    </w:t>
            </w:r>
            <w:r>
              <w:rPr>
                <w:rStyle w:val="Foreign"/>
                <w:b/>
                <w:bCs/>
              </w:rPr>
              <w:t>mañambul</w:t>
            </w:r>
            <w:r>
              <w:tab/>
              <w:t>paint black</w:t>
            </w:r>
          </w:p>
          <w:p w14:paraId="275B9AB8" w14:textId="77777777">
            <w:pPr>
              <w:pStyle w:val="Tabletext"/>
            </w:pPr>
            <w:r>
              <w:t xml:space="preserve">    </w:t>
            </w:r>
            <w:r>
              <w:rPr>
                <w:rStyle w:val="Foreign"/>
                <w:b/>
                <w:bCs/>
              </w:rPr>
              <w:t>mañavriṅ</w:t>
            </w:r>
            <w:r>
              <w:tab/>
              <w:t>make muslin</w:t>
            </w:r>
          </w:p>
          <w:p w14:paraId="004B5B17" w14:textId="77777777">
            <w:pPr>
              <w:pStyle w:val="Tabletext"/>
            </w:pPr>
            <w:r>
              <w:t xml:space="preserve">    </w:t>
            </w:r>
            <w:r>
              <w:rPr>
                <w:rStyle w:val="Foreign"/>
                <w:b/>
                <w:bCs/>
              </w:rPr>
              <w:t>maṅlākha</w:t>
            </w:r>
            <w:r>
              <w:tab/>
              <w:t>dye red</w:t>
            </w:r>
          </w:p>
          <w:p w14:paraId="65F23774" w14:textId="77777777">
            <w:pPr>
              <w:pStyle w:val="Tabletext"/>
            </w:pPr>
            <w:r>
              <w:t xml:space="preserve">    </w:t>
            </w:r>
            <w:r>
              <w:rPr>
                <w:rStyle w:val="Foreign"/>
                <w:b/>
                <w:bCs/>
              </w:rPr>
              <w:t>maṅapus</w:t>
            </w:r>
            <w:r>
              <w:tab/>
              <w:t>twist ropes</w:t>
            </w:r>
          </w:p>
          <w:p w14:paraId="18463C87" w14:textId="77777777">
            <w:pPr>
              <w:pStyle w:val="Tabletext"/>
            </w:pPr>
            <w:r>
              <w:t xml:space="preserve">    </w:t>
            </w:r>
            <w:r>
              <w:rPr>
                <w:rStyle w:val="Foreign"/>
                <w:b/>
                <w:bCs/>
              </w:rPr>
              <w:t>maṅubar</w:t>
            </w:r>
            <w:r>
              <w:tab/>
              <w:t>dye red</w:t>
            </w:r>
          </w:p>
          <w:p w14:paraId="598CD1AC" w14:textId="77777777">
            <w:pPr>
              <w:pStyle w:val="Tabletext"/>
            </w:pPr>
            <w:r>
              <w:t xml:space="preserve">    ...</w:t>
            </w:r>
          </w:p>
          <w:p w14:paraId="0A548A08" w14:textId="77777777">
            <w:pPr>
              <w:pStyle w:val="Tabletext"/>
            </w:pPr>
            <w:r>
              <w:t xml:space="preserve">Only the </w:t>
            </w:r>
            <w:r>
              <w:rPr>
                <w:rStyle w:val="Foreign"/>
              </w:rPr>
              <w:t>rakryān</w:t>
            </w:r>
            <w:r>
              <w:t xml:space="preserve"> founder of the freehold herself shall have authority over all its royal revenues.</w:t>
            </w:r>
          </w:p>
        </w:tc>
      </w:tr>
    </w:tbl>
    <w:p w14:paraId="66880D4C" w14:textId="77777777">
      <w:pPr>
        <w:pStyle w:val="Cmsor4"/>
      </w:pPr>
      <w:r>
        <w:t>Multi-level lists</w:t>
      </w:r>
    </w:p>
    <w:p w14:paraId="0C73103A" w14:textId="77777777">
      <w:pPr>
        <w:rPr>
          <w:lang w:eastAsia="en-US" w:bidi="ar-SA"/>
        </w:rPr>
      </w:pPr>
      <w:r>
        <w:rPr>
          <w:lang w:eastAsia="en-US" w:bidi="ar-SA"/>
        </w:rPr>
        <w:t xml:space="preserve">If and only if you deem this degree of complexity essential for presenting a translation or commentary clearly, lists may be embedded within other lists. Such lists shall be encoded as described below and illustrated in </w:t>
      </w:r>
      <w:r>
        <w:rPr>
          <w:lang w:eastAsia="en-US" w:bidi="ar-SA"/>
        </w:rPr>
        <w:fldChar w:fldCharType="begin"/>
      </w:r>
      <w:r>
        <w:rPr>
          <w:lang w:eastAsia="en-US" w:bidi="ar-SA"/>
        </w:rPr>
        <w:instrText xml:space="preserve"> REF _Ref233646064 \h </w:instrText>
      </w:r>
      <w:r>
        <w:rPr>
          <w:lang w:eastAsia="en-US" w:bidi="ar-SA"/>
        </w:rPr>
      </w:r>
      <w:r>
        <w:rPr>
          <w:lang w:eastAsia="en-US" w:bidi="ar-SA"/>
        </w:rPr>
        <w:fldChar w:fldCharType="separate"/>
      </w:r>
      <w:r>
        <w:t xml:space="preserve">Exhibit </w:t>
      </w:r>
      <w:r>
        <w:rPr>
          <w:noProof/>
        </w:rPr>
        <w:t>14.3</w:t>
      </w:r>
      <w:r>
        <w:t>.</w:t>
      </w:r>
      <w:r>
        <w:rPr>
          <w:noProof/>
        </w:rPr>
        <w:t>C</w:t>
      </w:r>
      <w:r>
        <w:rPr>
          <w:lang w:eastAsia="en-US" w:bidi="ar-SA"/>
        </w:rPr>
        <w:fldChar w:fldCharType="end"/>
      </w:r>
      <w:r>
        <w:rPr>
          <w:lang w:eastAsia="en-US" w:bidi="ar-SA"/>
        </w:rPr>
        <w:t>.</w:t>
      </w:r>
    </w:p>
    <w:p w14:paraId="49763E8E" w14:textId="65C6F4BC">
      <w:pPr>
        <w:pStyle w:val="Lista"/>
      </w:pPr>
      <w:r>
        <w:t xml:space="preserve">within any </w:t>
      </w:r>
      <w:r>
        <w:rPr>
          <w:rStyle w:val="Code"/>
        </w:rPr>
        <w:t>&lt;item&gt;</w:t>
      </w:r>
      <w:r>
        <w:t xml:space="preserve"> of a list, create another </w:t>
      </w:r>
      <w:r>
        <w:rPr>
          <w:rStyle w:val="Code"/>
        </w:rPr>
        <w:t>&lt;list&gt;</w:t>
      </w:r>
      <w:r>
        <w:t xml:space="preserve"> element containing items in turn</w:t>
      </w:r>
    </w:p>
    <w:tbl>
      <w:tblPr>
        <w:tblStyle w:val="CodeSampleTable"/>
        <w:tblW w:w="5000" w:type="pct"/>
        <w:tblLook w:val="04A0" w:firstRow="1" w:lastRow="0" w:firstColumn="1" w:lastColumn="0" w:noHBand="0" w:noVBand="1"/>
      </w:tblPr>
      <w:tblGrid>
        <w:gridCol w:w="9628"/>
      </w:tblGrid>
      <w:tr w14:paraId="43592E8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84AA999" w14:textId="77777777">
            <w:pPr>
              <w:pStyle w:val="Kpalrs"/>
            </w:pPr>
            <w:bookmarkStart w:id="973" w:name="_Ref233646064"/>
            <w:r>
              <w:lastRenderedPageBreak/>
              <w:t xml:space="preserve">Exhibit </w:t>
            </w:r>
            <w:fldSimple w:instr=" STYLEREF 2 \s ">
              <w:r>
                <w:rPr>
                  <w:noProof/>
                </w:rPr>
                <w:t>14.3</w:t>
              </w:r>
            </w:fldSimple>
            <w:r>
              <w:t>.</w:t>
            </w:r>
            <w:fldSimple w:instr=" SEQ Exhibit \* ALPHABETIC \s 2 ">
              <w:r>
                <w:rPr>
                  <w:noProof/>
                </w:rPr>
                <w:t>C</w:t>
              </w:r>
            </w:fldSimple>
            <w:bookmarkEnd w:id="973"/>
            <w:r>
              <w:t>: encoding a multi-level list</w:t>
            </w:r>
          </w:p>
        </w:tc>
      </w:tr>
      <w:tr w14:paraId="33213A57" w14:textId="77777777">
        <w:tc>
          <w:tcPr>
            <w:tcW w:w="5000" w:type="pct"/>
          </w:tcPr>
          <w:p w14:paraId="4F5A7949" w14:textId="77777777">
            <w:pPr>
              <w:pStyle w:val="CodeParagraph"/>
              <w:keepNext/>
              <w:rPr>
                <w:rStyle w:val="Code"/>
              </w:rPr>
            </w:pPr>
            <w:r>
              <w:rPr>
                <w:rStyle w:val="Code"/>
              </w:rPr>
              <w:t xml:space="preserve">&lt;p </w:t>
            </w:r>
            <w:r>
              <w:rPr>
                <w:rStyle w:val="Codeattribute"/>
              </w:rPr>
              <w:t>n=</w:t>
            </w:r>
            <w:r>
              <w:rPr>
                <w:rStyle w:val="Codevalue"/>
              </w:rPr>
              <w:t>"4r11-4r20"</w:t>
            </w:r>
            <w:r>
              <w:rPr>
                <w:rStyle w:val="Code"/>
              </w:rPr>
              <w:t>&gt;</w:t>
            </w:r>
            <w:r>
              <w:rPr>
                <w:rStyle w:val="Codetext"/>
              </w:rPr>
              <w:t>... No one was left behind in taking part in feasting on the market place of Ālasantan:</w:t>
            </w:r>
            <w:r>
              <w:rPr>
                <w:rStyle w:val="Code"/>
              </w:rPr>
              <w:t xml:space="preserve"> </w:t>
            </w:r>
          </w:p>
          <w:p w14:paraId="5CEBBE9C" w14:textId="77777777">
            <w:pPr>
              <w:pStyle w:val="CodeParagraph"/>
              <w:keepNext/>
              <w:rPr>
                <w:rStyle w:val="Code"/>
              </w:rPr>
            </w:pPr>
            <w:r>
              <w:rPr>
                <w:rStyle w:val="Code"/>
              </w:rPr>
              <w:t xml:space="preserve">  &lt;list&gt;</w:t>
            </w:r>
          </w:p>
          <w:p w14:paraId="5AFC3F63" w14:textId="77777777">
            <w:pPr>
              <w:pStyle w:val="CodeParagraph"/>
              <w:keepNext/>
              <w:rPr>
                <w:rStyle w:val="Code"/>
              </w:rPr>
            </w:pPr>
            <w:r>
              <w:rPr>
                <w:rStyle w:val="Code"/>
              </w:rPr>
              <w:t xml:space="preserve">    &lt;item&gt;</w:t>
            </w:r>
            <w:r>
              <w:rPr>
                <w:rStyle w:val="Codetext"/>
              </w:rPr>
              <w:t>being regaled,</w:t>
            </w:r>
            <w:r>
              <w:rPr>
                <w:rStyle w:val="Code"/>
              </w:rPr>
              <w:t>&lt;/item&gt;</w:t>
            </w:r>
          </w:p>
          <w:p w14:paraId="1A189534" w14:textId="77777777">
            <w:pPr>
              <w:pStyle w:val="CodeParagraph"/>
              <w:keepNext/>
              <w:rPr>
                <w:rStyle w:val="Code"/>
              </w:rPr>
            </w:pPr>
            <w:r>
              <w:rPr>
                <w:rStyle w:val="Code"/>
              </w:rPr>
              <w:t xml:space="preserve">    &lt;item&gt;</w:t>
            </w:r>
            <w:r>
              <w:rPr>
                <w:rStyle w:val="Codetext"/>
              </w:rPr>
              <w:t>being offered dressed-up rice,</w:t>
            </w:r>
            <w:r>
              <w:rPr>
                <w:rStyle w:val="Code"/>
              </w:rPr>
              <w:t xml:space="preserve">&lt;/item&gt; </w:t>
            </w:r>
          </w:p>
          <w:p w14:paraId="3C20B65F" w14:textId="77777777">
            <w:pPr>
              <w:pStyle w:val="CodeParagraph"/>
              <w:keepNext/>
              <w:rPr>
                <w:rStyle w:val="Code"/>
              </w:rPr>
            </w:pPr>
            <w:r>
              <w:rPr>
                <w:rStyle w:val="Code"/>
              </w:rPr>
              <w:t xml:space="preserve">    &lt;item&gt;</w:t>
            </w:r>
            <w:r>
              <w:rPr>
                <w:rStyle w:val="Codetext"/>
              </w:rPr>
              <w:t>being ladled</w:t>
            </w:r>
          </w:p>
          <w:p w14:paraId="4E01231E" w14:textId="77777777">
            <w:pPr>
              <w:pStyle w:val="CodeParagraph"/>
              <w:keepNext/>
              <w:rPr>
                <w:rStyle w:val="Code"/>
              </w:rPr>
            </w:pPr>
            <w:r>
              <w:rPr>
                <w:rStyle w:val="Code"/>
              </w:rPr>
              <w:t xml:space="preserve">      &lt;list </w:t>
            </w:r>
            <w:r>
              <w:rPr>
                <w:rStyle w:val="Codeattribute"/>
              </w:rPr>
              <w:t>rend=</w:t>
            </w:r>
            <w:r>
              <w:rPr>
                <w:rStyle w:val="Codevalue"/>
              </w:rPr>
              <w:t>"bulleted"</w:t>
            </w:r>
            <w:r>
              <w:rPr>
                <w:rStyle w:val="Code"/>
              </w:rPr>
              <w:t>&gt;</w:t>
            </w:r>
          </w:p>
          <w:p w14:paraId="1CAD101D" w14:textId="77777777">
            <w:pPr>
              <w:pStyle w:val="CodeParagraph"/>
              <w:keepNext/>
              <w:rPr>
                <w:rStyle w:val="Code"/>
              </w:rPr>
            </w:pPr>
            <w:r>
              <w:rPr>
                <w:rStyle w:val="Code"/>
              </w:rPr>
              <w:t xml:space="preserve">        &lt;item&gt;</w:t>
            </w:r>
            <w:r>
              <w:rPr>
                <w:rStyle w:val="Codetext"/>
              </w:rPr>
              <w:t>cooked foods,</w:t>
            </w:r>
            <w:r>
              <w:rPr>
                <w:rStyle w:val="Code"/>
              </w:rPr>
              <w:t>&lt;/item&gt;</w:t>
            </w:r>
          </w:p>
          <w:p w14:paraId="364FF6B0" w14:textId="77777777">
            <w:pPr>
              <w:pStyle w:val="CodeParagraph"/>
              <w:keepNext/>
              <w:rPr>
                <w:rStyle w:val="Code"/>
              </w:rPr>
            </w:pPr>
            <w:r>
              <w:rPr>
                <w:rStyle w:val="Code"/>
              </w:rPr>
              <w:t xml:space="preserve">        &lt;item&gt;</w:t>
            </w:r>
            <w:r>
              <w:rPr>
                <w:rStyle w:val="Codetext"/>
              </w:rPr>
              <w:t>snacks,</w:t>
            </w:r>
            <w:r>
              <w:rPr>
                <w:rStyle w:val="Code"/>
              </w:rPr>
              <w:t>&lt;/item&gt;</w:t>
            </w:r>
          </w:p>
          <w:p w14:paraId="34B782B9" w14:textId="77777777">
            <w:pPr>
              <w:pStyle w:val="CodeParagraph"/>
              <w:keepNext/>
              <w:rPr>
                <w:rStyle w:val="Code"/>
              </w:rPr>
            </w:pPr>
            <w:r>
              <w:rPr>
                <w:rStyle w:val="Code"/>
              </w:rPr>
              <w:t xml:space="preserve">        &lt;item&gt;&lt;foreign&gt;</w:t>
            </w:r>
            <w:r>
              <w:rPr>
                <w:rStyle w:val="Codetext"/>
              </w:rPr>
              <w:t>kasyan</w:t>
            </w:r>
            <w:r>
              <w:rPr>
                <w:rStyle w:val="Code"/>
              </w:rPr>
              <w:t>&lt;/foreign&gt;</w:t>
            </w:r>
            <w:r>
              <w:rPr>
                <w:rStyle w:val="Codetext"/>
              </w:rPr>
              <w:t>,</w:t>
            </w:r>
            <w:r>
              <w:rPr>
                <w:rStyle w:val="Code"/>
              </w:rPr>
              <w:t>&lt;/item&gt;</w:t>
            </w:r>
          </w:p>
          <w:p w14:paraId="7F1EC34D" w14:textId="77777777">
            <w:pPr>
              <w:pStyle w:val="CodeParagraph"/>
              <w:keepNext/>
              <w:rPr>
                <w:rStyle w:val="Code"/>
              </w:rPr>
            </w:pPr>
            <w:r>
              <w:rPr>
                <w:rStyle w:val="Code"/>
              </w:rPr>
              <w:t xml:space="preserve">      &lt;/list&gt;</w:t>
            </w:r>
          </w:p>
          <w:p w14:paraId="5A3767D8" w14:textId="77777777">
            <w:pPr>
              <w:pStyle w:val="CodeParagraph"/>
              <w:keepNext/>
              <w:rPr>
                <w:rStyle w:val="Code"/>
              </w:rPr>
            </w:pPr>
            <w:r>
              <w:rPr>
                <w:rStyle w:val="Code"/>
              </w:rPr>
              <w:t xml:space="preserve">    &lt;/item&gt;</w:t>
            </w:r>
          </w:p>
          <w:p w14:paraId="1A97A183" w14:textId="77777777">
            <w:pPr>
              <w:pStyle w:val="CodeParagraph"/>
              <w:keepNext/>
              <w:rPr>
                <w:rStyle w:val="Code"/>
              </w:rPr>
            </w:pPr>
            <w:r>
              <w:rPr>
                <w:rStyle w:val="Code"/>
              </w:rPr>
              <w:t xml:space="preserve">    &lt;item&gt;</w:t>
            </w:r>
            <w:r>
              <w:rPr>
                <w:rStyle w:val="Codetext"/>
              </w:rPr>
              <w:t>being relaxed with liquor,</w:t>
            </w:r>
            <w:r>
              <w:rPr>
                <w:rStyle w:val="Code"/>
              </w:rPr>
              <w:t xml:space="preserve"> &lt;foreign&gt;</w:t>
            </w:r>
            <w:r>
              <w:rPr>
                <w:rStyle w:val="Codetext"/>
              </w:rPr>
              <w:t>atak</w:t>
            </w:r>
            <w:r>
              <w:rPr>
                <w:rStyle w:val="Code"/>
              </w:rPr>
              <w:t xml:space="preserve">&lt;/foreign&gt; &lt;supplied </w:t>
            </w:r>
            <w:r>
              <w:rPr>
                <w:rStyle w:val="Codeattribute"/>
              </w:rPr>
              <w:t>reason=</w:t>
            </w:r>
            <w:r>
              <w:rPr>
                <w:rStyle w:val="Codevalue"/>
              </w:rPr>
              <w:t>"subaudible"</w:t>
            </w:r>
            <w:r>
              <w:rPr>
                <w:rStyle w:val="Code"/>
              </w:rPr>
              <w:t>&gt;</w:t>
            </w:r>
            <w:r>
              <w:rPr>
                <w:rStyle w:val="Codetext"/>
              </w:rPr>
              <w:t>and</w:t>
            </w:r>
            <w:r>
              <w:rPr>
                <w:rStyle w:val="Code"/>
              </w:rPr>
              <w:t>&lt;/supplied&gt;</w:t>
            </w:r>
            <w:r>
              <w:rPr>
                <w:rStyle w:val="Codetext"/>
              </w:rPr>
              <w:t xml:space="preserve"> milk</w:t>
            </w:r>
            <w:r>
              <w:rPr>
                <w:rStyle w:val="Code"/>
              </w:rPr>
              <w:t>&lt;/item&gt;</w:t>
            </w:r>
          </w:p>
          <w:p w14:paraId="461BE27A" w14:textId="77777777">
            <w:pPr>
              <w:pStyle w:val="CodeParagraph"/>
              <w:keepNext/>
              <w:rPr>
                <w:rStyle w:val="Code"/>
              </w:rPr>
            </w:pPr>
            <w:r>
              <w:rPr>
                <w:rStyle w:val="Code"/>
              </w:rPr>
              <w:t xml:space="preserve">  &lt;/list&gt;</w:t>
            </w:r>
          </w:p>
          <w:p w14:paraId="36CC2B87" w14:textId="77777777">
            <w:pPr>
              <w:pStyle w:val="CodeParagraph"/>
              <w:keepNext/>
              <w:rPr>
                <w:rStyle w:val="Codetext"/>
              </w:rPr>
            </w:pPr>
            <w:r>
              <w:rPr>
                <w:rStyle w:val="Codetext"/>
              </w:rPr>
              <w:t xml:space="preserve">  The total of containers per</w:t>
            </w:r>
            <w:r>
              <w:rPr>
                <w:rStyle w:val="Code"/>
              </w:rPr>
              <w:t xml:space="preserve"> &lt;supplied </w:t>
            </w:r>
            <w:r>
              <w:rPr>
                <w:rStyle w:val="Codeattribute"/>
              </w:rPr>
              <w:t>reason=</w:t>
            </w:r>
            <w:r>
              <w:rPr>
                <w:rStyle w:val="Codevalue"/>
              </w:rPr>
              <w:t>"subaudible"</w:t>
            </w:r>
            <w:r>
              <w:rPr>
                <w:rStyle w:val="Code"/>
              </w:rPr>
              <w:t>&gt;</w:t>
            </w:r>
            <w:r>
              <w:rPr>
                <w:rStyle w:val="Codetext"/>
              </w:rPr>
              <w:t>banana</w:t>
            </w:r>
            <w:r>
              <w:rPr>
                <w:rStyle w:val="Code"/>
              </w:rPr>
              <w:t>&lt;/supplied&gt;</w:t>
            </w:r>
            <w:r>
              <w:rPr>
                <w:rStyle w:val="Codetext"/>
              </w:rPr>
              <w:t xml:space="preserve"> leaf was nine, apart from the fish. ...</w:t>
            </w:r>
          </w:p>
          <w:p w14:paraId="51AE9F47" w14:textId="77777777">
            <w:pPr>
              <w:pStyle w:val="CodeParagraph"/>
              <w:keepNext/>
              <w:rPr>
                <w:rStyle w:val="Code"/>
              </w:rPr>
            </w:pPr>
            <w:r>
              <w:rPr>
                <w:rStyle w:val="Code"/>
              </w:rPr>
              <w:t>&lt;/p&gt;</w:t>
            </w:r>
          </w:p>
        </w:tc>
      </w:tr>
      <w:tr w14:paraId="432EF394" w14:textId="77777777">
        <w:tc>
          <w:tcPr>
            <w:tcW w:w="5000" w:type="pct"/>
          </w:tcPr>
          <w:p w14:paraId="1CC7E364" w14:textId="77777777">
            <w:pPr>
              <w:pStyle w:val="TableNote"/>
            </w:pPr>
            <w:r>
              <w:t>display:</w:t>
            </w:r>
          </w:p>
          <w:p w14:paraId="3B6B2741" w14:textId="77777777">
            <w:pPr>
              <w:pStyle w:val="Tabletext"/>
            </w:pPr>
            <w:r>
              <w:t xml:space="preserve">No one was left behind in taking part in feasting on the market place of </w:t>
            </w:r>
            <w:proofErr w:type="spellStart"/>
            <w:r>
              <w:t>Ālasantan</w:t>
            </w:r>
            <w:proofErr w:type="spellEnd"/>
            <w:r>
              <w:t>:</w:t>
            </w:r>
          </w:p>
          <w:p w14:paraId="18CDBDBC" w14:textId="77777777">
            <w:pPr>
              <w:pStyle w:val="Tabletext"/>
            </w:pPr>
            <w:r>
              <w:t xml:space="preserve">    being regaled,</w:t>
            </w:r>
          </w:p>
          <w:p w14:paraId="27F495F6" w14:textId="77777777">
            <w:pPr>
              <w:pStyle w:val="Tabletext"/>
            </w:pPr>
            <w:r>
              <w:t xml:space="preserve">    being offered dressed-up rice,</w:t>
            </w:r>
          </w:p>
          <w:p w14:paraId="6D29CED6" w14:textId="77777777">
            <w:pPr>
              <w:pStyle w:val="Tabletext"/>
            </w:pPr>
            <w:r>
              <w:t xml:space="preserve">    being ladled:</w:t>
            </w:r>
          </w:p>
          <w:p w14:paraId="77F0EB17" w14:textId="77777777">
            <w:pPr>
              <w:pStyle w:val="Tabletext"/>
              <w:numPr>
                <w:ilvl w:val="0"/>
                <w:numId w:val="16"/>
              </w:numPr>
            </w:pPr>
            <w:r>
              <w:t>cooked foods,</w:t>
            </w:r>
          </w:p>
          <w:p w14:paraId="7077BB3A" w14:textId="77777777">
            <w:pPr>
              <w:pStyle w:val="Tabletext"/>
              <w:numPr>
                <w:ilvl w:val="0"/>
                <w:numId w:val="16"/>
              </w:numPr>
            </w:pPr>
            <w:r>
              <w:t>snacks,</w:t>
            </w:r>
          </w:p>
          <w:p w14:paraId="3C56933C" w14:textId="77777777">
            <w:pPr>
              <w:pStyle w:val="Tabletext"/>
              <w:numPr>
                <w:ilvl w:val="0"/>
                <w:numId w:val="16"/>
              </w:numPr>
            </w:pPr>
            <w:r>
              <w:rPr>
                <w:rStyle w:val="Foreign"/>
              </w:rPr>
              <w:t>kasyan</w:t>
            </w:r>
            <w:r>
              <w:t>,</w:t>
            </w:r>
          </w:p>
          <w:p w14:paraId="605B45AD" w14:textId="77777777">
            <w:pPr>
              <w:pStyle w:val="Tabletext"/>
            </w:pPr>
            <w:r>
              <w:t xml:space="preserve">being relaxed with liquor, </w:t>
            </w:r>
            <w:r>
              <w:rPr>
                <w:rStyle w:val="Foreign"/>
              </w:rPr>
              <w:t>atak</w:t>
            </w:r>
            <w:r>
              <w:t xml:space="preserve"> </w:t>
            </w:r>
            <w:r>
              <w:rPr>
                <w:rFonts w:ascii="Cambria Math" w:hAnsi="Cambria Math" w:cs="Cambria Math"/>
              </w:rPr>
              <w:t>⟨</w:t>
            </w:r>
            <w:r>
              <w:t>and</w:t>
            </w:r>
            <w:r>
              <w:rPr>
                <w:rFonts w:ascii="Cambria Math" w:hAnsi="Cambria Math" w:cs="Cambria Math"/>
              </w:rPr>
              <w:t>⟩</w:t>
            </w:r>
            <w:r>
              <w:t xml:space="preserve"> milk</w:t>
            </w:r>
          </w:p>
          <w:p w14:paraId="288CF8BB" w14:textId="77777777">
            <w:pPr>
              <w:pStyle w:val="Tabletext"/>
            </w:pPr>
            <w:r>
              <w:t xml:space="preserve">The total of containers per </w:t>
            </w:r>
            <w:r>
              <w:rPr>
                <w:rFonts w:ascii="Cambria Math" w:hAnsi="Cambria Math" w:cs="Cambria Math"/>
              </w:rPr>
              <w:t>⟨</w:t>
            </w:r>
            <w:r>
              <w:t>banana</w:t>
            </w:r>
            <w:r>
              <w:rPr>
                <w:rFonts w:ascii="Cambria Math" w:hAnsi="Cambria Math" w:cs="Cambria Math"/>
              </w:rPr>
              <w:t>⟩</w:t>
            </w:r>
            <w:r>
              <w:t xml:space="preserve"> leaf was nine, apart from the fish. ...</w:t>
            </w:r>
          </w:p>
        </w:tc>
      </w:tr>
    </w:tbl>
    <w:p w14:paraId="5DF51B75" w14:textId="77777777">
      <w:pPr>
        <w:pStyle w:val="Cmsor2"/>
      </w:pPr>
      <w:bookmarkStart w:id="974" w:name="_4euu8urmvkq9" w:colFirst="0" w:colLast="0"/>
      <w:bookmarkStart w:id="975" w:name="_Toc243900443"/>
      <w:bookmarkEnd w:id="974"/>
      <w:r>
        <w:t>Languages</w:t>
      </w:r>
      <w:bookmarkEnd w:id="975"/>
    </w:p>
    <w:p w14:paraId="1F2B3731" w14:textId="77777777">
      <w:pPr>
        <w:pStyle w:val="Cmsor3"/>
      </w:pPr>
      <w:bookmarkStart w:id="976" w:name="_wp8hx3ov5ccr" w:colFirst="0" w:colLast="0"/>
      <w:bookmarkStart w:id="977" w:name="_Ref233727317"/>
      <w:bookmarkStart w:id="978" w:name="_Toc243900444"/>
      <w:bookmarkEnd w:id="976"/>
      <w:r>
        <w:t>Encoding language</w:t>
      </w:r>
      <w:bookmarkEnd w:id="977"/>
      <w:bookmarkEnd w:id="978"/>
    </w:p>
    <w:p w14:paraId="57F1048D" w14:textId="77777777">
      <w:pPr>
        <w:rPr>
          <w:lang w:eastAsia="en-US" w:bidi="ar-SA"/>
        </w:rPr>
      </w:pPr>
      <w:r>
        <w:t xml:space="preserve">The language of the contents of any XML element may be specified using the attribute </w:t>
      </w:r>
      <w:r>
        <w:rPr>
          <w:rStyle w:val="Codeattribute"/>
        </w:rPr>
        <w:t>@xml:lang</w:t>
      </w:r>
      <w:r>
        <w:t>. In DHARMA practice the permitted values of this attribute shall be ISO language tags, to be used as described in §</w:t>
      </w:r>
      <w:r>
        <w:fldChar w:fldCharType="begin"/>
      </w:r>
      <w:r>
        <w:instrText xml:space="preserve"> REF _Ref233793597 \r \h </w:instrText>
      </w:r>
      <w:r>
        <w:fldChar w:fldCharType="separate"/>
      </w:r>
      <w:r>
        <w:t>14.4.1.1</w:t>
      </w:r>
      <w:r>
        <w:fldChar w:fldCharType="end"/>
      </w:r>
      <w:r>
        <w:t>.</w:t>
      </w:r>
    </w:p>
    <w:p w14:paraId="54488670" w14:textId="77777777">
      <w:pPr>
        <w:pStyle w:val="Lista"/>
      </w:pPr>
      <w:r>
        <w:t xml:space="preserve">when an XML element’s language has been encoded with </w:t>
      </w:r>
      <w:r>
        <w:rPr>
          <w:rStyle w:val="Codeattribute"/>
        </w:rPr>
        <w:t>@xml:lang</w:t>
      </w:r>
      <w:r>
        <w:t>, all descendants of that element are understood to inherit its language unless otherwise encoded</w:t>
      </w:r>
    </w:p>
    <w:p w14:paraId="7D5A6222" w14:textId="77777777">
      <w:pPr>
        <w:pStyle w:val="Lista"/>
      </w:pPr>
      <w:r>
        <w:t xml:space="preserve">the </w:t>
      </w:r>
      <w:r>
        <w:rPr>
          <w:rStyle w:val="Code"/>
        </w:rPr>
        <w:t>&lt;TEI&gt;</w:t>
      </w:r>
      <w:r>
        <w:t xml:space="preserve"> container </w:t>
      </w:r>
      <w:r>
        <w:rPr>
          <w:noProof/>
        </w:rPr>
        <w:t>(</w:t>
      </w:r>
      <w:r>
        <w:t>§</w:t>
      </w:r>
      <w:r>
        <w:fldChar w:fldCharType="begin"/>
      </w:r>
      <w:r>
        <w:instrText xml:space="preserve"> REF _Ref43990558 \r \h  \* MERGEFORMAT </w:instrText>
      </w:r>
      <w:r>
        <w:fldChar w:fldCharType="separate"/>
      </w:r>
      <w:r>
        <w:t>2.3</w:t>
      </w:r>
      <w:r>
        <w:fldChar w:fldCharType="end"/>
      </w:r>
      <w:r>
        <w:t>) of our entire XML documents specifies English as the language of the document, which is thus by default inherited by everything in the document</w:t>
      </w:r>
    </w:p>
    <w:p w14:paraId="0F739E54" w14:textId="77777777">
      <w:pPr>
        <w:pStyle w:val="Lista"/>
      </w:pPr>
      <w:r>
        <w:t xml:space="preserve">when a structural unit of the document is in another language, the attribute </w:t>
      </w:r>
      <w:r>
        <w:rPr>
          <w:rStyle w:val="Codeattribute"/>
        </w:rPr>
        <w:t>@xml:lang</w:t>
      </w:r>
      <w:r>
        <w:t xml:space="preserve"> must be added to the start-tag of the corresponding structural element to specify the language:</w:t>
      </w:r>
    </w:p>
    <w:p w14:paraId="618DA640" w14:textId="77777777">
      <w:pPr>
        <w:pStyle w:val="Lista2"/>
      </w:pPr>
      <w:r>
        <w:t>the edition division of our XML files must normally be set to the primary source language as per §</w:t>
      </w:r>
      <w:r>
        <w:fldChar w:fldCharType="begin"/>
      </w:r>
      <w:r>
        <w:instrText xml:space="preserve"> REF _Ref231978649 \r \h </w:instrText>
      </w:r>
      <w:r>
        <w:fldChar w:fldCharType="separate"/>
      </w:r>
      <w:r>
        <w:t>8.1.1</w:t>
      </w:r>
      <w:r>
        <w:fldChar w:fldCharType="end"/>
      </w:r>
    </w:p>
    <w:p w14:paraId="122FC5C3" w14:textId="77777777">
      <w:pPr>
        <w:pStyle w:val="Lista3"/>
      </w:pPr>
      <w:r>
        <w:t>parts of the edition which are in a different source language must be encoded as per §</w:t>
      </w:r>
      <w:r>
        <w:fldChar w:fldCharType="begin"/>
      </w:r>
      <w:r>
        <w:instrText xml:space="preserve"> REF _Ref231974552 \r \h </w:instrText>
      </w:r>
      <w:r>
        <w:fldChar w:fldCharType="separate"/>
      </w:r>
      <w:r>
        <w:t>8.2.3</w:t>
      </w:r>
      <w:r>
        <w:fldChar w:fldCharType="end"/>
      </w:r>
    </w:p>
    <w:p w14:paraId="4DC27B84" w14:textId="77777777">
      <w:pPr>
        <w:pStyle w:val="Lista3"/>
      </w:pPr>
      <w:r>
        <w:t>editorial additions to the source document, such as headings (§</w:t>
      </w:r>
      <w:r>
        <w:fldChar w:fldCharType="begin"/>
      </w:r>
      <w:r>
        <w:instrText xml:space="preserve"> REF _Ref225177909 \r \h </w:instrText>
      </w:r>
      <w:r>
        <w:fldChar w:fldCharType="separate"/>
      </w:r>
      <w:r>
        <w:t>4.2.1.3</w:t>
      </w:r>
      <w:r>
        <w:fldChar w:fldCharType="end"/>
      </w:r>
      <w:r>
        <w:t>) and labels (§</w:t>
      </w:r>
      <w:r>
        <w:fldChar w:fldCharType="begin"/>
      </w:r>
      <w:r>
        <w:instrText xml:space="preserve"> REF _Ref182299869 \r \h </w:instrText>
      </w:r>
      <w:r>
        <w:fldChar w:fldCharType="separate"/>
      </w:r>
      <w:r>
        <w:t>4.4.3.2</w:t>
      </w:r>
      <w:r>
        <w:fldChar w:fldCharType="end"/>
      </w:r>
      <w:r>
        <w:t>) must be explicitly encoded as English, as by default they inherit the language of the edition</w:t>
      </w:r>
    </w:p>
    <w:p w14:paraId="39096134" w14:textId="77777777">
      <w:pPr>
        <w:pStyle w:val="Lista2"/>
      </w:pPr>
      <w:r>
        <w:t>language must be explicitly encoded for the translation division(s) of our files (§</w:t>
      </w:r>
      <w:r>
        <w:fldChar w:fldCharType="begin"/>
      </w:r>
      <w:r>
        <w:instrText xml:space="preserve"> REF _Ref233722818 \r \h </w:instrText>
      </w:r>
      <w:r>
        <w:fldChar w:fldCharType="separate"/>
      </w:r>
      <w:r>
        <w:t>11.1</w:t>
      </w:r>
      <w:r>
        <w:fldChar w:fldCharType="end"/>
      </w:r>
      <w:r>
        <w:t>), except for translations into English, in which case no language attribute is needed, since English is inherited</w:t>
      </w:r>
    </w:p>
    <w:p w14:paraId="37E2D119" w14:textId="77777777">
      <w:pPr>
        <w:pStyle w:val="Lista2"/>
      </w:pPr>
      <w:r>
        <w:t>the language of the critical apparatus (§</w:t>
      </w:r>
      <w:r>
        <w:fldChar w:fldCharType="begin"/>
      </w:r>
      <w:r>
        <w:instrText xml:space="preserve"> REF _Ref43978773 \r \h </w:instrText>
      </w:r>
      <w:r>
        <w:fldChar w:fldCharType="separate"/>
      </w:r>
      <w:r>
        <w:t>10</w:t>
      </w:r>
      <w:r>
        <w:fldChar w:fldCharType="end"/>
      </w:r>
      <w:r>
        <w:t>) is English as inherited, while lemmas and readings cited in the apparatus are understood to be in the primary source language encoded on the edition (even though by pure computer logic they too inherit the English language)</w:t>
      </w:r>
    </w:p>
    <w:p w14:paraId="137C7152" w14:textId="77777777">
      <w:pPr>
        <w:pStyle w:val="Lista"/>
      </w:pPr>
      <w:r>
        <w:t xml:space="preserve">anywhere outside the edition division, any pre-existing structural container </w:t>
      </w:r>
      <w:r>
        <w:rPr>
          <w:noProof/>
        </w:rPr>
        <w:t>(</w:t>
      </w:r>
      <w:r>
        <w:t xml:space="preserve">e.g. </w:t>
      </w:r>
      <w:r>
        <w:rPr>
          <w:rStyle w:val="Code"/>
        </w:rPr>
        <w:t>&lt;note&gt;</w:t>
      </w:r>
      <w:r>
        <w:t xml:space="preserve">, </w:t>
      </w:r>
      <w:r>
        <w:rPr>
          <w:rStyle w:val="Code"/>
        </w:rPr>
        <w:t>&lt;p&gt;</w:t>
      </w:r>
      <w:r>
        <w:t xml:space="preserve"> and </w:t>
      </w:r>
      <w:r>
        <w:rPr>
          <w:rStyle w:val="Code"/>
        </w:rPr>
        <w:t>&lt;q&gt;</w:t>
      </w:r>
      <w:r>
        <w:t xml:space="preserve">) shall be tagged with </w:t>
      </w:r>
      <w:r>
        <w:rPr>
          <w:rStyle w:val="Codeattribute"/>
        </w:rPr>
        <w:t>@xml:lang</w:t>
      </w:r>
      <w:r>
        <w:t xml:space="preserve"> if the language of its contents differs from the language of its containing element</w:t>
      </w:r>
    </w:p>
    <w:p w14:paraId="281403F9" w14:textId="77777777">
      <w:pPr>
        <w:pStyle w:val="Lista"/>
      </w:pPr>
      <w:r>
        <w:lastRenderedPageBreak/>
        <w:t xml:space="preserve">where a word, phrase or other short sequence is in a language other than the language of its containing element, this sequence shall be tagged with </w:t>
      </w:r>
      <w:r>
        <w:rPr>
          <w:rStyle w:val="Code"/>
        </w:rPr>
        <w:t>&lt;foreign&gt;</w:t>
      </w:r>
      <w:r>
        <w:t xml:space="preserve"> as per §</w:t>
      </w:r>
      <w:r>
        <w:fldChar w:fldCharType="begin"/>
      </w:r>
      <w:r>
        <w:instrText xml:space="preserve"> REF _Ref43986658 \r \h </w:instrText>
      </w:r>
      <w:r>
        <w:fldChar w:fldCharType="separate"/>
      </w:r>
      <w:r>
        <w:t>14.4.2</w:t>
      </w:r>
      <w:r>
        <w:fldChar w:fldCharType="end"/>
      </w:r>
      <w:r>
        <w:t xml:space="preserve">, with or without </w:t>
      </w:r>
      <w:r>
        <w:rPr>
          <w:rStyle w:val="Codeattribute"/>
        </w:rPr>
        <w:t>@xml:lang</w:t>
      </w:r>
    </w:p>
    <w:p w14:paraId="22E92F3E" w14:textId="77777777">
      <w:pPr>
        <w:pStyle w:val="Cmsor4"/>
      </w:pPr>
      <w:bookmarkStart w:id="979" w:name="_Ref233792736"/>
      <w:bookmarkStart w:id="980" w:name="_Ref233793597"/>
      <w:r>
        <w:t>ISO language tags and script subtags</w:t>
      </w:r>
      <w:bookmarkEnd w:id="979"/>
      <w:bookmarkEnd w:id="980"/>
    </w:p>
    <w:p w14:paraId="66C61172" w14:textId="77777777">
      <w:pPr>
        <w:pStyle w:val="Lista"/>
      </w:pPr>
      <w:r>
        <w:t xml:space="preserve">for specifying languages by means of </w:t>
      </w:r>
      <w:r>
        <w:rPr>
          <w:rStyle w:val="Codeattribute"/>
        </w:rPr>
        <w:t>@xml:lang</w:t>
      </w:r>
      <w:r>
        <w:t>, the DHARMA project uses the language tags defined by the ISO standard 639-3,</w:t>
      </w:r>
      <w:r>
        <w:rPr>
          <w:rStyle w:val="Lbjegyzet-hivatkozs"/>
        </w:rPr>
        <w:footnoteReference w:id="41"/>
      </w:r>
      <w:r>
        <w:t xml:space="preserve"> with a small number of additions for languages without such a standard tag</w:t>
      </w:r>
    </w:p>
    <w:p w14:paraId="57983DE5" w14:textId="77777777">
      <w:pPr>
        <w:pStyle w:val="Lista2"/>
      </w:pPr>
      <w:r>
        <w:t xml:space="preserve">a dedicated list of the codes relevant to our project is available at </w:t>
      </w:r>
      <w:hyperlink r:id="rId78" w:history="1">
        <w:r>
          <w:rPr>
            <w:rStyle w:val="Hiperhivatkozs"/>
          </w:rPr>
          <w:t>https://github.com/erc-dharma/project-documentation/blob/master/DHARMA_languages.tsv</w:t>
        </w:r>
      </w:hyperlink>
      <w:r>
        <w:t xml:space="preserve"> </w:t>
      </w:r>
    </w:p>
    <w:p w14:paraId="068B6139" w14:textId="77777777">
      <w:pPr>
        <w:pStyle w:val="Lista"/>
      </w:pPr>
      <w:r>
        <w:t>script subtags defined by ISO 15924</w:t>
      </w:r>
      <w:r>
        <w:rPr>
          <w:rStyle w:val="Lbjegyzet-hivatkozs"/>
        </w:rPr>
        <w:footnoteReference w:id="42"/>
      </w:r>
      <w:r>
        <w:t xml:space="preserve"> are often subjoined to the language tag with a hyphen as a separator</w:t>
      </w:r>
    </w:p>
    <w:p w14:paraId="2C1D71D1" w14:textId="77777777">
      <w:pPr>
        <w:pStyle w:val="Lista2"/>
      </w:pPr>
      <w:r>
        <w:t xml:space="preserve">in DHARMA practice, the use of script subtags shall be limited to mandatorily adding the suffix </w:t>
      </w:r>
      <w:r>
        <w:rPr>
          <w:rStyle w:val="Codevalue"/>
        </w:rPr>
        <w:t>-Latn</w:t>
      </w:r>
      <w:r>
        <w:t xml:space="preserve"> to the language tag of text originally written in an Indic script and edited in Romanised transliteration </w:t>
      </w:r>
    </w:p>
    <w:p w14:paraId="00A43BEA" w14:textId="77777777">
      <w:pPr>
        <w:pStyle w:val="Lista3"/>
      </w:pPr>
      <w:r>
        <w:t xml:space="preserve">e.g. </w:t>
      </w:r>
      <w:r>
        <w:rPr>
          <w:rStyle w:val="Codeattribute"/>
        </w:rPr>
        <w:t>@xml:lang=</w:t>
      </w:r>
      <w:r>
        <w:rPr>
          <w:rStyle w:val="Codevalue"/>
        </w:rPr>
        <w:t>"san-Latn"</w:t>
      </w:r>
      <w:r>
        <w:t xml:space="preserve"> means Sanskrit text in Romanised transliteration</w:t>
      </w:r>
    </w:p>
    <w:p w14:paraId="379B4372" w14:textId="77777777">
      <w:pPr>
        <w:pStyle w:val="Lista2"/>
      </w:pPr>
      <w:r>
        <w:t>language tags without a script subtag are by default assumed to be in a script typical for the language; thus, in our practice, modern languages shall be encoded without a script subtag, including</w:t>
      </w:r>
    </w:p>
    <w:p w14:paraId="5A77322C" w14:textId="77777777">
      <w:pPr>
        <w:pStyle w:val="Lista3"/>
      </w:pPr>
      <w:r>
        <w:t>modern languages written in some form of the Latin alphabet, such as English and French</w:t>
      </w:r>
    </w:p>
    <w:p w14:paraId="29CCAB69" w14:textId="77777777">
      <w:pPr>
        <w:pStyle w:val="Lista4"/>
      </w:pPr>
      <w:r>
        <w:t xml:space="preserve">e.g. </w:t>
      </w:r>
      <w:r>
        <w:rPr>
          <w:rStyle w:val="Codeattribute"/>
        </w:rPr>
        <w:t>@xml:lang=</w:t>
      </w:r>
      <w:r>
        <w:rPr>
          <w:rStyle w:val="Codevalue"/>
        </w:rPr>
        <w:t>"fra"</w:t>
      </w:r>
      <w:r>
        <w:t xml:space="preserve"> means French text written in the form of the Latin alphabet used for French</w:t>
      </w:r>
    </w:p>
    <w:p w14:paraId="2BD8A46D" w14:textId="77777777">
      <w:pPr>
        <w:pStyle w:val="Lista3"/>
      </w:pPr>
      <w:r>
        <w:t>modern south and southeast Asian languages, when cited in the script typically used for that language</w:t>
      </w:r>
    </w:p>
    <w:p w14:paraId="3128B5CD" w14:textId="77777777">
      <w:pPr>
        <w:pStyle w:val="Lista4"/>
      </w:pPr>
      <w:r>
        <w:t xml:space="preserve">e.g. </w:t>
      </w:r>
      <w:r>
        <w:rPr>
          <w:rStyle w:val="Codeattribute"/>
        </w:rPr>
        <w:t>@xml:lang=</w:t>
      </w:r>
      <w:r>
        <w:rPr>
          <w:rStyle w:val="Codevalue"/>
        </w:rPr>
        <w:t>"ind"</w:t>
      </w:r>
      <w:r>
        <w:t xml:space="preserve"> means Bahasa Indonesia written in the form of the Latin alphabet normally used for Bahasa Indonesia, while </w:t>
      </w:r>
      <w:r>
        <w:rPr>
          <w:rStyle w:val="Codeattribute"/>
        </w:rPr>
        <w:t>@xml:lang=</w:t>
      </w:r>
      <w:r>
        <w:rPr>
          <w:rStyle w:val="Codevalue"/>
        </w:rPr>
        <w:t>"tam"</w:t>
      </w:r>
      <w:r>
        <w:t xml:space="preserve"> means Tamil written in the Tamil script</w:t>
      </w:r>
    </w:p>
    <w:p w14:paraId="01D348E7" w14:textId="77777777">
      <w:pPr>
        <w:pStyle w:val="Lista"/>
      </w:pPr>
      <w:r>
        <w:t xml:space="preserve">in all cases, script subtags in the value of </w:t>
      </w:r>
      <w:r>
        <w:rPr>
          <w:rStyle w:val="Codeattribute"/>
        </w:rPr>
        <w:t>@xml:lang</w:t>
      </w:r>
      <w:r>
        <w:t xml:space="preserve"> encode the script of the contents of the element bearing this attribute, and not the original script in which the source document was written</w:t>
      </w:r>
    </w:p>
    <w:p w14:paraId="21A067B6" w14:textId="77777777">
      <w:pPr>
        <w:pStyle w:val="Lista2"/>
      </w:pPr>
      <w:r>
        <w:t>the encoding of the source script, applicable only to the edition division, is covered in §</w:t>
      </w:r>
      <w:r>
        <w:fldChar w:fldCharType="begin"/>
      </w:r>
      <w:r>
        <w:instrText xml:space="preserve"> REF _Ref231979678 \r \h </w:instrText>
      </w:r>
      <w:r>
        <w:fldChar w:fldCharType="separate"/>
      </w:r>
      <w:r>
        <w:t>8.2</w:t>
      </w:r>
      <w:r>
        <w:fldChar w:fldCharType="end"/>
      </w:r>
      <w:r>
        <w:t xml:space="preserve"> </w:t>
      </w:r>
    </w:p>
    <w:p w14:paraId="21B787E3" w14:textId="77777777">
      <w:pPr>
        <w:pStyle w:val="Cmsor3"/>
      </w:pPr>
      <w:bookmarkStart w:id="981" w:name="_6pkkdwn5pxyn" w:colFirst="0" w:colLast="0"/>
      <w:bookmarkStart w:id="982" w:name="_Ref43986658"/>
      <w:bookmarkStart w:id="983" w:name="_Toc243900445"/>
      <w:bookmarkEnd w:id="981"/>
      <w:r>
        <w:t>Tagging foreign languages outside the edition</w:t>
      </w:r>
      <w:bookmarkEnd w:id="982"/>
      <w:bookmarkEnd w:id="983"/>
    </w:p>
    <w:p w14:paraId="18E4E6FC" w14:textId="77777777">
      <w:pPr>
        <w:rPr>
          <w:lang w:eastAsia="en-US" w:bidi="ar-SA"/>
        </w:rPr>
      </w:pPr>
      <w:r>
        <w:rPr>
          <w:lang w:eastAsia="en-US" w:bidi="ar-SA"/>
        </w:rPr>
        <w:t xml:space="preserve">Segments of text which are in a language different from that of their surroundings and smaller than an already existing block-level container shall be </w:t>
      </w:r>
      <w:r>
        <w:t xml:space="preserve">wrapped in the element </w:t>
      </w:r>
      <w:r>
        <w:rPr>
          <w:rStyle w:val="Code"/>
        </w:rPr>
        <w:t>&lt;foreign&gt;</w:t>
      </w:r>
      <w:r>
        <w:t>. For the use of this element in the edition division, see §</w:t>
      </w:r>
      <w:r>
        <w:fldChar w:fldCharType="begin"/>
      </w:r>
      <w:r>
        <w:instrText xml:space="preserve"> REF _Ref231904363 \r \h </w:instrText>
      </w:r>
      <w:r>
        <w:fldChar w:fldCharType="separate"/>
      </w:r>
      <w:r>
        <w:t>8.1.2.3</w:t>
      </w:r>
      <w:r>
        <w:fldChar w:fldCharType="end"/>
      </w:r>
      <w:r>
        <w:t>. Outside the edition, such segments in a “foreign” language are handled in DHARMA practice as follows.</w:t>
      </w:r>
    </w:p>
    <w:p w14:paraId="207E0B05" w14:textId="77777777">
      <w:pPr>
        <w:pStyle w:val="Lista"/>
      </w:pPr>
      <w:r>
        <w:t xml:space="preserve">words or phrases in a modern language other than that of the surrounding text (e.g. a French phrase in an English commentary) must normally be tagged as </w:t>
      </w:r>
      <w:r>
        <w:rPr>
          <w:rStyle w:val="Code"/>
        </w:rPr>
        <w:t>&lt;foreign&gt;</w:t>
      </w:r>
      <w:r>
        <w:t xml:space="preserve"> with the language mandatorily encoded in </w:t>
      </w:r>
      <w:r>
        <w:rPr>
          <w:rStyle w:val="Codeattribute"/>
        </w:rPr>
        <w:t>@xml:lang</w:t>
      </w:r>
      <w:r>
        <w:t xml:space="preserve"> as per §</w:t>
      </w:r>
      <w:r>
        <w:fldChar w:fldCharType="begin"/>
      </w:r>
      <w:r>
        <w:instrText xml:space="preserve"> REF _Ref233727317 \r \h </w:instrText>
      </w:r>
      <w:r>
        <w:fldChar w:fldCharType="separate"/>
      </w:r>
      <w:r>
        <w:t>14.4.1</w:t>
      </w:r>
      <w:r>
        <w:fldChar w:fldCharType="end"/>
      </w:r>
    </w:p>
    <w:p w14:paraId="1E797E82" w14:textId="77777777">
      <w:pPr>
        <w:pStyle w:val="Lista2"/>
      </w:pPr>
      <w:r>
        <w:t xml:space="preserve">if the modern foreign language normally uses a non-Latin script, but you cite it in transliteration, then the subtag </w:t>
      </w:r>
      <w:r>
        <w:rPr>
          <w:rStyle w:val="Codevalue"/>
        </w:rPr>
        <w:t>-Latn</w:t>
      </w:r>
      <w:r>
        <w:t xml:space="preserve"> must be added to the language tag as per §</w:t>
      </w:r>
      <w:r>
        <w:fldChar w:fldCharType="begin"/>
      </w:r>
      <w:r>
        <w:instrText xml:space="preserve"> REF _Ref233792736 \r \h </w:instrText>
      </w:r>
      <w:r>
        <w:fldChar w:fldCharType="separate"/>
      </w:r>
      <w:r>
        <w:t>14.4.1.1</w:t>
      </w:r>
      <w:r>
        <w:fldChar w:fldCharType="end"/>
      </w:r>
      <w:r>
        <w:t xml:space="preserve"> </w:t>
      </w:r>
    </w:p>
    <w:p w14:paraId="35F703D7" w14:textId="77777777">
      <w:pPr>
        <w:pStyle w:val="Lista2"/>
      </w:pPr>
      <w:r>
        <w:t>however, do not overdo the tagging of international words: e.g. French or Latin loanwords commonly used in English need not be tagged at all</w:t>
      </w:r>
    </w:p>
    <w:p w14:paraId="605B14F0" w14:textId="77777777">
      <w:pPr>
        <w:pStyle w:val="Lista3"/>
      </w:pPr>
      <w:r>
        <w:t xml:space="preserve">as a rule of thumb, if you would italicise a foreign word in print, then tag it as </w:t>
      </w:r>
      <w:r>
        <w:rPr>
          <w:rStyle w:val="Code"/>
        </w:rPr>
        <w:t>&lt;foreign&gt;</w:t>
      </w:r>
      <w:r>
        <w:t xml:space="preserve"> (which will in fact be displayed in italics)</w:t>
      </w:r>
    </w:p>
    <w:p w14:paraId="213F201E" w14:textId="77777777">
      <w:pPr>
        <w:pStyle w:val="Lista"/>
      </w:pPr>
      <w:r>
        <w:t>when words or phrases from one of our project’s source languages (especially from the language[s] of the text being edited and Sanskrit) are used in a modern-language context, then</w:t>
      </w:r>
    </w:p>
    <w:p w14:paraId="0DBFEC14" w14:textId="77777777">
      <w:pPr>
        <w:pStyle w:val="Lista2"/>
      </w:pPr>
      <w:r>
        <w:t xml:space="preserve">mandatorily tag them as </w:t>
      </w:r>
      <w:r>
        <w:rPr>
          <w:rStyle w:val="Code"/>
        </w:rPr>
        <w:t>&lt;foreign&gt;</w:t>
      </w:r>
    </w:p>
    <w:p w14:paraId="16D07231" w14:textId="77777777">
      <w:pPr>
        <w:pStyle w:val="Lista2"/>
      </w:pPr>
      <w:r>
        <w:t xml:space="preserve">while encoding their language with </w:t>
      </w:r>
      <w:r>
        <w:rPr>
          <w:rStyle w:val="Codeattribute"/>
        </w:rPr>
        <w:t>@xml:lang</w:t>
      </w:r>
      <w:r>
        <w:t xml:space="preserve"> is optional and generally counter-recommended in order to reduce code clutter</w:t>
      </w:r>
    </w:p>
    <w:p w14:paraId="55B97ABF" w14:textId="77777777">
      <w:pPr>
        <w:pStyle w:val="Lista"/>
      </w:pPr>
      <w:r>
        <w:t xml:space="preserve">the optionality of  </w:t>
      </w:r>
      <w:r>
        <w:rPr>
          <w:rStyle w:val="Codeattribute"/>
        </w:rPr>
        <w:t>@xml:lang</w:t>
      </w:r>
      <w:r>
        <w:t xml:space="preserve"> applies in particular to</w:t>
      </w:r>
    </w:p>
    <w:p w14:paraId="47A6CD06" w14:textId="77777777">
      <w:pPr>
        <w:pStyle w:val="Lista2"/>
      </w:pPr>
      <w:r>
        <w:t xml:space="preserve">citations from the source in a translation, commentary or note (including apparatus notes), e.g. </w:t>
      </w:r>
      <w:r>
        <w:rPr>
          <w:rStyle w:val="Codetext"/>
        </w:rPr>
        <w:t xml:space="preserve">Two </w:t>
      </w:r>
      <w:r>
        <w:rPr>
          <w:rStyle w:val="Code"/>
        </w:rPr>
        <w:t>&lt;foreign&gt;</w:t>
      </w:r>
      <w:r>
        <w:rPr>
          <w:rStyle w:val="Codetext"/>
        </w:rPr>
        <w:t>kulyavāpa</w:t>
      </w:r>
      <w:r>
        <w:rPr>
          <w:rStyle w:val="Code"/>
        </w:rPr>
        <w:t>&lt;/foreign&gt;</w:t>
      </w:r>
      <w:r>
        <w:rPr>
          <w:rStyle w:val="Codetext"/>
        </w:rPr>
        <w:t>s of land</w:t>
      </w:r>
    </w:p>
    <w:p w14:paraId="65143EA3" w14:textId="77777777">
      <w:pPr>
        <w:pStyle w:val="Lista2"/>
      </w:pPr>
      <w:r>
        <w:lastRenderedPageBreak/>
        <w:t>strings of text that are not meaningful in and of themselves, such as</w:t>
      </w:r>
    </w:p>
    <w:p w14:paraId="54B3DCCA" w14:textId="77777777">
      <w:pPr>
        <w:pStyle w:val="Lista3"/>
      </w:pPr>
      <w:r>
        <w:t xml:space="preserve">single (transliterated) characters mentioned in a palaeographic description, e.g. </w:t>
      </w:r>
      <w:r>
        <w:rPr>
          <w:rStyle w:val="Codetext"/>
        </w:rPr>
        <w:t xml:space="preserve">The scribe tends to use </w:t>
      </w:r>
      <w:r>
        <w:rPr>
          <w:rStyle w:val="Code"/>
        </w:rPr>
        <w:t>&lt;foreign&gt;</w:t>
      </w:r>
      <w:r>
        <w:rPr>
          <w:rStyle w:val="Codetext"/>
        </w:rPr>
        <w:t>ṅh</w:t>
      </w:r>
      <w:r>
        <w:rPr>
          <w:rStyle w:val="Code"/>
        </w:rPr>
        <w:t>&lt;/foreign&gt;</w:t>
      </w:r>
      <w:r>
        <w:rPr>
          <w:rStyle w:val="Codetext"/>
        </w:rPr>
        <w:t xml:space="preserve"> instead of </w:t>
      </w:r>
      <w:r>
        <w:rPr>
          <w:rStyle w:val="Code"/>
        </w:rPr>
        <w:t>&lt;foreign&gt;</w:t>
      </w:r>
      <w:r>
        <w:rPr>
          <w:rStyle w:val="Codetext"/>
        </w:rPr>
        <w:t>ṁh</w:t>
      </w:r>
      <w:r>
        <w:rPr>
          <w:rStyle w:val="Code"/>
        </w:rPr>
        <w:t>&lt;/foreign&gt;</w:t>
      </w:r>
    </w:p>
    <w:p w14:paraId="132A089A" w14:textId="77777777">
      <w:pPr>
        <w:pStyle w:val="Lista3"/>
      </w:pPr>
      <w:r>
        <w:t xml:space="preserve">morphological components or unintelligible segments mentioned in a discussion, e.g. </w:t>
      </w:r>
      <w:r>
        <w:rPr>
          <w:rStyle w:val="Codetext"/>
        </w:rPr>
        <w:t xml:space="preserve">The suffix </w:t>
      </w:r>
      <w:r>
        <w:rPr>
          <w:rStyle w:val="Code"/>
        </w:rPr>
        <w:t>&lt;foreign&gt;</w:t>
      </w:r>
      <w:r>
        <w:rPr>
          <w:rStyle w:val="Codetext"/>
        </w:rPr>
        <w:t>-vat</w:t>
      </w:r>
      <w:r>
        <w:rPr>
          <w:rStyle w:val="Code"/>
        </w:rPr>
        <w:t>&lt;/foreign&gt;</w:t>
      </w:r>
    </w:p>
    <w:p w14:paraId="4E98BFE8" w14:textId="77777777">
      <w:pPr>
        <w:pStyle w:val="Lista2"/>
      </w:pPr>
      <w:r>
        <w:t xml:space="preserve">technical terms in Sanskrit or another major language applicable to the inscription’s context, e.g. </w:t>
      </w:r>
      <w:r>
        <w:rPr>
          <w:rStyle w:val="Codetext"/>
        </w:rPr>
        <w:t xml:space="preserve">a </w:t>
      </w:r>
      <w:r>
        <w:rPr>
          <w:rStyle w:val="Code"/>
        </w:rPr>
        <w:t>&lt;foreign&gt;</w:t>
      </w:r>
      <w:r>
        <w:rPr>
          <w:rStyle w:val="Codetext"/>
        </w:rPr>
        <w:t>bahuvrīhi</w:t>
      </w:r>
      <w:r>
        <w:rPr>
          <w:rStyle w:val="Code"/>
        </w:rPr>
        <w:t>&lt;/foreign&gt;</w:t>
      </w:r>
      <w:r>
        <w:rPr>
          <w:rStyle w:val="Codetext"/>
        </w:rPr>
        <w:t xml:space="preserve"> compound</w:t>
      </w:r>
    </w:p>
    <w:p w14:paraId="5506F774" w14:textId="77777777">
      <w:pPr>
        <w:pStyle w:val="Lista2"/>
      </w:pPr>
      <w:r>
        <w:t>terms cited in a dictionary reference (§</w:t>
      </w:r>
      <w:r>
        <w:fldChar w:fldCharType="begin"/>
      </w:r>
      <w:r>
        <w:instrText xml:space="preserve"> REF _Ref233811283 \r \h </w:instrText>
      </w:r>
      <w:r>
        <w:fldChar w:fldCharType="separate"/>
      </w:r>
      <w:r>
        <w:t>14.6.1.2</w:t>
      </w:r>
      <w:r>
        <w:fldChar w:fldCharType="end"/>
      </w:r>
      <w:r>
        <w:t>)</w:t>
      </w:r>
    </w:p>
    <w:p w14:paraId="0750049F" w14:textId="77777777">
      <w:pPr>
        <w:pStyle w:val="Lista"/>
      </w:pPr>
      <w:r>
        <w:t xml:space="preserve">in each of these cases, </w:t>
      </w:r>
      <w:r>
        <w:rPr>
          <w:rStyle w:val="Codeattribute"/>
        </w:rPr>
        <w:t>@xml:lang</w:t>
      </w:r>
      <w:r>
        <w:t xml:space="preserve"> is not expressly prohibited, and you may choose to add it in any situation where you feel that the ambiguity arising from the lack of such encoding would be detrimental to the understanding of your work</w:t>
      </w:r>
    </w:p>
    <w:p w14:paraId="23CDF552" w14:textId="77777777">
      <w:pPr>
        <w:pStyle w:val="Lista2"/>
      </w:pPr>
      <w:r>
        <w:t xml:space="preserve">when you choose to use </w:t>
      </w:r>
      <w:r>
        <w:rPr>
          <w:rStyle w:val="Codeattribute"/>
        </w:rPr>
        <w:t>@xml:lang</w:t>
      </w:r>
      <w:r>
        <w:t xml:space="preserve"> in any of these non-mandatory cases, do not forget to include the subtag </w:t>
      </w:r>
      <w:r>
        <w:rPr>
          <w:rStyle w:val="Codevalue"/>
        </w:rPr>
        <w:t>-Latn</w:t>
      </w:r>
      <w:r>
        <w:t xml:space="preserve"> as per §</w:t>
      </w:r>
      <w:r>
        <w:fldChar w:fldCharType="begin"/>
      </w:r>
      <w:r>
        <w:instrText xml:space="preserve"> REF _Ref233792736 \r \h </w:instrText>
      </w:r>
      <w:r>
        <w:fldChar w:fldCharType="separate"/>
      </w:r>
      <w:r>
        <w:t>14.4.1.1</w:t>
      </w:r>
      <w:r>
        <w:fldChar w:fldCharType="end"/>
      </w:r>
      <w:r>
        <w:t xml:space="preserve"> </w:t>
      </w:r>
    </w:p>
    <w:p w14:paraId="2F490F0D" w14:textId="77777777">
      <w:pPr>
        <w:pStyle w:val="Cmsor4"/>
      </w:pPr>
      <w:r>
        <w:t>Encoding source script outside the edition</w:t>
      </w:r>
    </w:p>
    <w:p w14:paraId="20D32B68" w14:textId="77777777">
      <w:pPr>
        <w:pStyle w:val="Lista"/>
      </w:pPr>
      <w:r>
        <w:t xml:space="preserve">the encoding of the source script with </w:t>
      </w:r>
      <w:r>
        <w:rPr>
          <w:rStyle w:val="Codeattribute"/>
        </w:rPr>
        <w:t>@rendition</w:t>
      </w:r>
      <w:r>
        <w:t xml:space="preserve"> (§</w:t>
      </w:r>
      <w:r>
        <w:fldChar w:fldCharType="begin"/>
      </w:r>
      <w:r>
        <w:instrText xml:space="preserve"> REF _Ref232173895 \r \h </w:instrText>
      </w:r>
      <w:r>
        <w:fldChar w:fldCharType="separate"/>
      </w:r>
      <w:r>
        <w:t>8.2.3.4</w:t>
      </w:r>
      <w:r>
        <w:fldChar w:fldCharType="end"/>
      </w:r>
      <w:r>
        <w:t>) should generally be avoided when citing text in a modern-language context</w:t>
      </w:r>
    </w:p>
    <w:p w14:paraId="60350BC5" w14:textId="77777777">
      <w:pPr>
        <w:pStyle w:val="Lista"/>
      </w:pPr>
      <w:r>
        <w:t>but when text from an inscription is cited with full editorial markup for the sake of complete accuracy (§</w:t>
      </w:r>
      <w:r>
        <w:fldChar w:fldCharType="begin"/>
      </w:r>
      <w:r>
        <w:instrText xml:space="preserve"> REF _Ref43990337 \r \h </w:instrText>
      </w:r>
      <w:r>
        <w:fldChar w:fldCharType="separate"/>
      </w:r>
      <w:r>
        <w:t>14.1</w:t>
      </w:r>
      <w:r>
        <w:fldChar w:fldCharType="end"/>
      </w:r>
      <w:r>
        <w:t>), then such encoding may also be retained if there is good reason to do so</w:t>
      </w:r>
    </w:p>
    <w:p w14:paraId="6E118058" w14:textId="77777777">
      <w:pPr>
        <w:pStyle w:val="Lista"/>
      </w:pPr>
      <w:r>
        <w:t>text that was written in the Grantha script in the source may be encoded outside the edition as described in §</w:t>
      </w:r>
      <w:r>
        <w:fldChar w:fldCharType="begin"/>
      </w:r>
      <w:r>
        <w:instrText xml:space="preserve"> REF _Ref233727983 \r \h </w:instrText>
      </w:r>
      <w:r>
        <w:fldChar w:fldCharType="separate"/>
      </w:r>
      <w:r>
        <w:t>14.2.3</w:t>
      </w:r>
      <w:r>
        <w:fldChar w:fldCharType="end"/>
      </w:r>
      <w:r>
        <w:t xml:space="preserve"> </w:t>
      </w:r>
    </w:p>
    <w:p w14:paraId="3075B2DF" w14:textId="77777777">
      <w:pPr>
        <w:pStyle w:val="Cmsor2"/>
      </w:pPr>
      <w:bookmarkStart w:id="984" w:name="_yj9mfyez22i9" w:colFirst="0" w:colLast="0"/>
      <w:bookmarkStart w:id="985" w:name="_Ref43989684"/>
      <w:bookmarkStart w:id="986" w:name="_Toc243900446"/>
      <w:bookmarkEnd w:id="984"/>
      <w:r>
        <w:t>Notes</w:t>
      </w:r>
      <w:bookmarkEnd w:id="985"/>
      <w:bookmarkEnd w:id="986"/>
    </w:p>
    <w:p w14:paraId="2E5BD514" w14:textId="77777777">
      <w:r>
        <w:t>In DHARMA digital editions, notes — encoded as per §</w:t>
      </w:r>
      <w:r>
        <w:fldChar w:fldCharType="begin"/>
      </w:r>
      <w:r>
        <w:instrText xml:space="preserve"> REF _Ref233729831 \r \h </w:instrText>
      </w:r>
      <w:r>
        <w:fldChar w:fldCharType="separate"/>
      </w:r>
      <w:r>
        <w:t>14.5.1</w:t>
      </w:r>
      <w:r>
        <w:fldChar w:fldCharType="end"/>
      </w:r>
      <w:r>
        <w:t xml:space="preserve"> — may only be used in the apparatus, the translation, the commentary, and the bibliography.</w:t>
      </w:r>
    </w:p>
    <w:p w14:paraId="140A1F5C" w14:textId="77777777">
      <w:pPr>
        <w:pStyle w:val="Lista"/>
      </w:pPr>
      <w:r>
        <w:t xml:space="preserve">in the critical apparatus, notes may only appear as the last child element(s) of an </w:t>
      </w:r>
      <w:r>
        <w:rPr>
          <w:rStyle w:val="Code"/>
        </w:rPr>
        <w:t>&lt;app&gt;</w:t>
      </w:r>
      <w:r>
        <w:t xml:space="preserve"> element (§</w:t>
      </w:r>
      <w:r>
        <w:fldChar w:fldCharType="begin"/>
      </w:r>
      <w:r>
        <w:instrText xml:space="preserve"> REF _Ref43988104 \r \h </w:instrText>
      </w:r>
      <w:r>
        <w:fldChar w:fldCharType="separate"/>
      </w:r>
      <w:r>
        <w:t>10.7</w:t>
      </w:r>
      <w:r>
        <w:fldChar w:fldCharType="end"/>
      </w:r>
      <w:r>
        <w:t>), but not at any other place, for instance within the lemma or a particular reading</w:t>
      </w:r>
    </w:p>
    <w:p w14:paraId="6361BDA6" w14:textId="77777777">
      <w:pPr>
        <w:pStyle w:val="Lista"/>
      </w:pPr>
      <w:r>
        <w:t>in the structured bibliographies (§</w:t>
      </w:r>
      <w:r>
        <w:fldChar w:fldCharType="begin"/>
      </w:r>
      <w:r>
        <w:instrText xml:space="preserve"> REF _Ref63676627 \r \h </w:instrText>
      </w:r>
      <w:r>
        <w:fldChar w:fldCharType="separate"/>
      </w:r>
      <w:r>
        <w:t>13.3</w:t>
      </w:r>
      <w:r>
        <w:fldChar w:fldCharType="end"/>
      </w:r>
      <w:r>
        <w:t xml:space="preserve">), notes may only appear as the last child element of a </w:t>
      </w:r>
      <w:r>
        <w:rPr>
          <w:rStyle w:val="Code"/>
        </w:rPr>
        <w:t>&lt;bibl&gt;</w:t>
      </w:r>
      <w:r>
        <w:t xml:space="preserve"> element, but not at any other place, for instance before a </w:t>
      </w:r>
      <w:r>
        <w:rPr>
          <w:rStyle w:val="Code"/>
        </w:rPr>
        <w:t>&lt;citedRange&gt;</w:t>
      </w:r>
      <w:r>
        <w:t xml:space="preserve"> element or between </w:t>
      </w:r>
      <w:r>
        <w:rPr>
          <w:rStyle w:val="Code"/>
        </w:rPr>
        <w:t>&lt;bibl&gt;</w:t>
      </w:r>
      <w:r>
        <w:t xml:space="preserve"> elements</w:t>
      </w:r>
    </w:p>
    <w:p w14:paraId="37B5701B" w14:textId="77777777">
      <w:pPr>
        <w:pStyle w:val="Lista"/>
      </w:pPr>
      <w:r>
        <w:t>elsewhere, i.e. in the translation, the commentary and the epigraphic lemma, notes may appear at any point where free text is permitted</w:t>
      </w:r>
    </w:p>
    <w:p w14:paraId="469A9DBD" w14:textId="77777777">
      <w:pPr>
        <w:pStyle w:val="Cmsor3"/>
      </w:pPr>
      <w:bookmarkStart w:id="987" w:name="_Ref233729831"/>
      <w:bookmarkStart w:id="988" w:name="_Toc243900447"/>
      <w:r>
        <w:t>Encoding notes</w:t>
      </w:r>
      <w:bookmarkEnd w:id="987"/>
      <w:bookmarkEnd w:id="988"/>
    </w:p>
    <w:p w14:paraId="34A24503" w14:textId="77777777">
      <w:pPr>
        <w:pStyle w:val="Lista"/>
      </w:pPr>
      <w:r>
        <w:t xml:space="preserve">to create a note, add the element </w:t>
      </w:r>
      <w:r>
        <w:rPr>
          <w:rStyle w:val="Code"/>
        </w:rPr>
        <w:t>&lt;note&gt;</w:t>
      </w:r>
      <w:r>
        <w:t xml:space="preserve"> at the point where the note should be anchored</w:t>
      </w:r>
    </w:p>
    <w:p w14:paraId="503E4667" w14:textId="77777777">
      <w:pPr>
        <w:pStyle w:val="Lista2"/>
      </w:pPr>
      <w:r>
        <w:t xml:space="preserve">as applicable, the attributes </w:t>
      </w:r>
      <w:r>
        <w:rPr>
          <w:rStyle w:val="Codeattribute"/>
        </w:rPr>
        <w:t>@resp</w:t>
      </w:r>
      <w:r>
        <w:t xml:space="preserve"> or </w:t>
      </w:r>
      <w:r>
        <w:rPr>
          <w:rStyle w:val="Codeattribute"/>
        </w:rPr>
        <w:t>@source</w:t>
      </w:r>
      <w:r>
        <w:t xml:space="preserve"> may be added to this element to encode the authorship of a note as per §</w:t>
      </w:r>
      <w:r>
        <w:fldChar w:fldCharType="begin"/>
      </w:r>
      <w:r>
        <w:instrText xml:space="preserve"> REF _Ref233730339 \r \h </w:instrText>
      </w:r>
      <w:r>
        <w:fldChar w:fldCharType="separate"/>
      </w:r>
      <w:r>
        <w:t>14.5.1.1</w:t>
      </w:r>
      <w:r>
        <w:fldChar w:fldCharType="end"/>
      </w:r>
    </w:p>
    <w:p w14:paraId="001FADBF" w14:textId="77777777">
      <w:pPr>
        <w:pStyle w:val="Lista2"/>
      </w:pPr>
      <w:r>
        <w:t>this element may contain text as well as markup as described in §</w:t>
      </w:r>
      <w:r>
        <w:fldChar w:fldCharType="begin"/>
      </w:r>
      <w:r>
        <w:instrText xml:space="preserve"> REF _Ref233731527 \r \h </w:instrText>
      </w:r>
      <w:r>
        <w:fldChar w:fldCharType="separate"/>
      </w:r>
      <w:r>
        <w:t>14.5.2</w:t>
      </w:r>
      <w:r>
        <w:fldChar w:fldCharType="end"/>
      </w:r>
    </w:p>
    <w:p w14:paraId="5A592112" w14:textId="77777777">
      <w:pPr>
        <w:pStyle w:val="Lista"/>
      </w:pPr>
      <w:r>
        <w:rPr>
          <w:rStyle w:val="Code"/>
        </w:rPr>
        <w:t>&lt;note&gt;</w:t>
      </w:r>
      <w:r>
        <w:t xml:space="preserve"> elements must always be within the structural containers applicable to the division, i.e. within </w:t>
      </w:r>
      <w:r>
        <w:rPr>
          <w:rStyle w:val="Code"/>
        </w:rPr>
        <w:t>&lt;p&gt;</w:t>
      </w:r>
      <w:r>
        <w:t xml:space="preserve"> in a translation or commentary, within </w:t>
      </w:r>
      <w:r>
        <w:rPr>
          <w:rStyle w:val="Code"/>
        </w:rPr>
        <w:t>&lt;app&gt;</w:t>
      </w:r>
      <w:r>
        <w:t xml:space="preserve"> in the apparatus, and within </w:t>
      </w:r>
      <w:r>
        <w:rPr>
          <w:rStyle w:val="Code"/>
        </w:rPr>
        <w:t>&lt;bibl&gt;</w:t>
      </w:r>
      <w:r>
        <w:t xml:space="preserve"> in the structured bibliography</w:t>
      </w:r>
    </w:p>
    <w:p w14:paraId="2856A195" w14:textId="77777777">
      <w:pPr>
        <w:pStyle w:val="Lista2"/>
      </w:pPr>
      <w:r>
        <w:t xml:space="preserve">in freeform text </w:t>
      </w:r>
      <w:r>
        <w:rPr>
          <w:noProof/>
        </w:rPr>
        <w:t>(</w:t>
      </w:r>
      <w:r>
        <w:t xml:space="preserve">i.e. in a translation or commentary), place the </w:t>
      </w:r>
      <w:r>
        <w:rPr>
          <w:rStyle w:val="Code"/>
        </w:rPr>
        <w:t>&lt;note&gt;</w:t>
      </w:r>
      <w:r>
        <w:t xml:space="preserve"> element after any adjacent punctuation mark, not before it</w:t>
      </w:r>
    </w:p>
    <w:p w14:paraId="1E81A487" w14:textId="77777777">
      <w:pPr>
        <w:pStyle w:val="Lista2"/>
      </w:pPr>
      <w:r>
        <w:t xml:space="preserve">when attaching a note to text tagged with another element (e.g. </w:t>
      </w:r>
      <w:r>
        <w:rPr>
          <w:rStyle w:val="Code"/>
        </w:rPr>
        <w:t>&lt;foreign&gt;</w:t>
      </w:r>
      <w:r>
        <w:t>), put the note after the end-tag of the other element</w:t>
      </w:r>
    </w:p>
    <w:p w14:paraId="6E9188E3" w14:textId="77777777">
      <w:pPr>
        <w:pStyle w:val="Lista3"/>
      </w:pPr>
      <w:r>
        <w:t xml:space="preserve">this also applies to bibliographic citations other than those in the structured bibliographies: if you wish to attach a note to a bibliographic citation amid free text, place the </w:t>
      </w:r>
      <w:r>
        <w:rPr>
          <w:rStyle w:val="Code"/>
        </w:rPr>
        <w:t>&lt;note&gt;</w:t>
      </w:r>
      <w:r>
        <w:t xml:space="preserve"> element after the end-tag </w:t>
      </w:r>
      <w:r>
        <w:rPr>
          <w:rStyle w:val="Code"/>
        </w:rPr>
        <w:t>&lt;/bibl&gt;</w:t>
      </w:r>
    </w:p>
    <w:p w14:paraId="603D4EFE" w14:textId="77777777">
      <w:pPr>
        <w:pStyle w:val="Cmsor4"/>
      </w:pPr>
      <w:bookmarkStart w:id="989" w:name="_Ref233730339"/>
      <w:r>
        <w:lastRenderedPageBreak/>
        <w:t>The authorship of notes</w:t>
      </w:r>
      <w:bookmarkEnd w:id="989"/>
    </w:p>
    <w:p w14:paraId="2B0C6115" w14:textId="77777777">
      <w:pPr>
        <w:rPr>
          <w:lang w:eastAsia="en-US" w:bidi="ar-SA"/>
        </w:rPr>
      </w:pPr>
      <w:r>
        <w:rPr>
          <w:lang w:eastAsia="en-US" w:bidi="ar-SA"/>
        </w:rPr>
        <w:t>The author of a note is by default understood to be the same person as the author of the note’s ancestor element. Thus, a note in the apparatus, commentary or bibliography is understood to be the product of the edition’s author(s) encoded in the responsibility statement (§</w:t>
      </w:r>
      <w:r>
        <w:rPr>
          <w:lang w:eastAsia="en-US" w:bidi="ar-SA"/>
        </w:rPr>
        <w:fldChar w:fldCharType="begin"/>
      </w:r>
      <w:r>
        <w:rPr>
          <w:lang w:eastAsia="en-US" w:bidi="ar-SA"/>
        </w:rPr>
        <w:instrText xml:space="preserve"> REF _Ref43990001 \r \h </w:instrText>
      </w:r>
      <w:r>
        <w:rPr>
          <w:lang w:eastAsia="en-US" w:bidi="ar-SA"/>
        </w:rPr>
      </w:r>
      <w:r>
        <w:rPr>
          <w:lang w:eastAsia="en-US" w:bidi="ar-SA"/>
        </w:rPr>
        <w:fldChar w:fldCharType="separate"/>
      </w:r>
      <w:r>
        <w:rPr>
          <w:lang w:eastAsia="en-US" w:bidi="ar-SA"/>
        </w:rPr>
        <w:t>15.1.2</w:t>
      </w:r>
      <w:r>
        <w:rPr>
          <w:lang w:eastAsia="en-US" w:bidi="ar-SA"/>
        </w:rPr>
        <w:fldChar w:fldCharType="end"/>
      </w:r>
      <w:r>
        <w:rPr>
          <w:lang w:eastAsia="en-US" w:bidi="ar-SA"/>
        </w:rPr>
        <w:t>), while a note in the translation is understood to be the product of the author encoded on the translation division (§</w:t>
      </w:r>
      <w:r>
        <w:rPr>
          <w:lang w:eastAsia="en-US" w:bidi="ar-SA"/>
        </w:rPr>
        <w:fldChar w:fldCharType="begin"/>
      </w:r>
      <w:r>
        <w:rPr>
          <w:lang w:eastAsia="en-US" w:bidi="ar-SA"/>
        </w:rPr>
        <w:instrText xml:space="preserve"> REF _Ref233276652 \r \h </w:instrText>
      </w:r>
      <w:r>
        <w:rPr>
          <w:lang w:eastAsia="en-US" w:bidi="ar-SA"/>
        </w:rPr>
      </w:r>
      <w:r>
        <w:rPr>
          <w:lang w:eastAsia="en-US" w:bidi="ar-SA"/>
        </w:rPr>
        <w:fldChar w:fldCharType="separate"/>
      </w:r>
      <w:r>
        <w:rPr>
          <w:lang w:eastAsia="en-US" w:bidi="ar-SA"/>
        </w:rPr>
        <w:t>11.1.2</w:t>
      </w:r>
      <w:r>
        <w:rPr>
          <w:lang w:eastAsia="en-US" w:bidi="ar-SA"/>
        </w:rPr>
        <w:fldChar w:fldCharType="end"/>
      </w:r>
      <w:r>
        <w:rPr>
          <w:lang w:eastAsia="en-US" w:bidi="ar-SA"/>
        </w:rPr>
        <w:t>). When a note from another person is adopted verbatim, this shall be encoded as follows.</w:t>
      </w:r>
    </w:p>
    <w:p w14:paraId="14F5314E" w14:textId="77777777">
      <w:pPr>
        <w:pStyle w:val="Lista"/>
      </w:pPr>
      <w:r>
        <w:t xml:space="preserve">to attribute a note to a DHARMA contributor, use </w:t>
      </w:r>
      <w:r>
        <w:rPr>
          <w:rStyle w:val="Codeattribute"/>
        </w:rPr>
        <w:t>@resp</w:t>
      </w:r>
      <w:r>
        <w:t xml:space="preserve"> </w:t>
      </w:r>
      <w:r>
        <w:rPr>
          <w:noProof/>
        </w:rPr>
        <w:t>(</w:t>
      </w:r>
      <w:r>
        <w:t>§</w:t>
      </w:r>
      <w:r>
        <w:fldChar w:fldCharType="begin"/>
      </w:r>
      <w:r>
        <w:instrText xml:space="preserve"> REF _Ref43989765 \w \h  \* MERGEFORMAT </w:instrText>
      </w:r>
      <w:r>
        <w:fldChar w:fldCharType="separate"/>
      </w:r>
      <w:r>
        <w:t>14.6.5</w:t>
      </w:r>
      <w:r>
        <w:fldChar w:fldCharType="end"/>
      </w:r>
      <w:r>
        <w:t>) on the note</w:t>
      </w:r>
    </w:p>
    <w:p w14:paraId="1D714C8A" w14:textId="77777777">
      <w:pPr>
        <w:pStyle w:val="Lista"/>
      </w:pPr>
      <w:r>
        <w:t xml:space="preserve">to attribute a note to a publication, use </w:t>
      </w:r>
      <w:r>
        <w:rPr>
          <w:rStyle w:val="Codeattribute"/>
        </w:rPr>
        <w:t>@source</w:t>
      </w:r>
      <w:r>
        <w:t xml:space="preserve"> </w:t>
      </w:r>
      <w:r>
        <w:rPr>
          <w:noProof/>
        </w:rPr>
        <w:t>(</w:t>
      </w:r>
      <w:r>
        <w:t>§</w:t>
      </w:r>
      <w:r>
        <w:fldChar w:fldCharType="begin"/>
      </w:r>
      <w:r>
        <w:instrText xml:space="preserve"> REF _Ref43989551 \w \h  \* MERGEFORMAT </w:instrText>
      </w:r>
      <w:r>
        <w:fldChar w:fldCharType="separate"/>
      </w:r>
      <w:r>
        <w:t>14.6.2</w:t>
      </w:r>
      <w:r>
        <w:fldChar w:fldCharType="end"/>
      </w:r>
      <w:r>
        <w:t>) on the note</w:t>
      </w:r>
    </w:p>
    <w:p w14:paraId="1E91FD63" w14:textId="77777777">
      <w:pPr>
        <w:pStyle w:val="Lista"/>
      </w:pPr>
      <w:r>
        <w:t>paraphrased notes are regarded as the product of the person doing the paraphrasing and must not be attributed in this manner</w:t>
      </w:r>
    </w:p>
    <w:p w14:paraId="61B27BBB" w14:textId="77777777">
      <w:pPr>
        <w:pStyle w:val="Lista2"/>
      </w:pPr>
      <w:r>
        <w:t xml:space="preserve">the author of the original note shall be credited by including a regular citation </w:t>
      </w:r>
      <w:r>
        <w:rPr>
          <w:noProof/>
        </w:rPr>
        <w:t>(</w:t>
      </w:r>
      <w:r>
        <w:t>§</w:t>
      </w:r>
      <w:r>
        <w:fldChar w:fldCharType="begin"/>
      </w:r>
      <w:r>
        <w:instrText xml:space="preserve"> REF _Ref233877601 \r \h </w:instrText>
      </w:r>
      <w:r>
        <w:fldChar w:fldCharType="separate"/>
      </w:r>
      <w:r>
        <w:t>14.6.1</w:t>
      </w:r>
      <w:r>
        <w:fldChar w:fldCharType="end"/>
      </w:r>
      <w:r>
        <w:t>) in the paraphrase or, if the reference is obvious from the context, simply by referring to the original author by name</w:t>
      </w:r>
    </w:p>
    <w:p w14:paraId="17419AB0" w14:textId="77777777">
      <w:pPr>
        <w:pStyle w:val="Cmsor3"/>
      </w:pPr>
      <w:bookmarkStart w:id="990" w:name="_Ref233731527"/>
      <w:bookmarkStart w:id="991" w:name="_Toc243900448"/>
      <w:r>
        <w:t>The content of notes</w:t>
      </w:r>
      <w:bookmarkEnd w:id="990"/>
      <w:bookmarkEnd w:id="991"/>
    </w:p>
    <w:p w14:paraId="4AD81F0A" w14:textId="77777777">
      <w:pPr>
        <w:pStyle w:val="Lista"/>
      </w:pPr>
      <w:r>
        <w:t>notes shall be written as freeform text, preferably consisting of complete sentences in English, starting with a capital letter and ending with punctuation</w:t>
      </w:r>
    </w:p>
    <w:p w14:paraId="602B98F3" w14:textId="77777777">
      <w:pPr>
        <w:pStyle w:val="Lista"/>
      </w:pPr>
      <w:r>
        <w:t>in general, notes may contain globally available encoding (§</w:t>
      </w:r>
      <w:r>
        <w:fldChar w:fldCharType="begin"/>
      </w:r>
      <w:r>
        <w:instrText xml:space="preserve"> REF _Ref43990225 \r \h </w:instrText>
      </w:r>
      <w:r>
        <w:fldChar w:fldCharType="separate"/>
      </w:r>
      <w:r>
        <w:t>14</w:t>
      </w:r>
      <w:r>
        <w:fldChar w:fldCharType="end"/>
      </w:r>
      <w:r>
        <w:t>) as and when applicable</w:t>
      </w:r>
    </w:p>
    <w:p w14:paraId="039785B6" w14:textId="77777777">
      <w:pPr>
        <w:pStyle w:val="Lista2"/>
      </w:pPr>
      <w:r>
        <w:t>in particular, proper encoding must be applied within notes to</w:t>
      </w:r>
    </w:p>
    <w:p w14:paraId="66F14C04" w14:textId="77777777">
      <w:pPr>
        <w:pStyle w:val="Lista3"/>
      </w:pPr>
      <w:r>
        <w:t>bibliographic citations (§</w:t>
      </w:r>
      <w:r>
        <w:fldChar w:fldCharType="begin"/>
      </w:r>
      <w:r>
        <w:instrText xml:space="preserve"> REF _Ref233877601 \r \h </w:instrText>
      </w:r>
      <w:r>
        <w:fldChar w:fldCharType="separate"/>
      </w:r>
      <w:r>
        <w:t>14.6.1</w:t>
      </w:r>
      <w:r>
        <w:fldChar w:fldCharType="end"/>
      </w:r>
      <w:r>
        <w:t>), which should be present wherever you refer to a published opinion</w:t>
      </w:r>
    </w:p>
    <w:p w14:paraId="51FE186F" w14:textId="77777777">
      <w:pPr>
        <w:pStyle w:val="Lista3"/>
      </w:pPr>
      <w:r>
        <w:rPr>
          <w:rStyle w:val="Code"/>
        </w:rPr>
        <w:t>&lt;foreign&gt;</w:t>
      </w:r>
      <w:r>
        <w:t xml:space="preserve"> markup (§</w:t>
      </w:r>
      <w:r>
        <w:fldChar w:fldCharType="begin"/>
      </w:r>
      <w:r>
        <w:instrText xml:space="preserve"> REF _Ref43986658 \r \h </w:instrText>
      </w:r>
      <w:r>
        <w:fldChar w:fldCharType="separate"/>
      </w:r>
      <w:r>
        <w:t>14.4.2</w:t>
      </w:r>
      <w:r>
        <w:fldChar w:fldCharType="end"/>
      </w:r>
      <w:r>
        <w:t>) for text in a source language</w:t>
      </w:r>
    </w:p>
    <w:p w14:paraId="1BFC3225" w14:textId="77777777">
      <w:pPr>
        <w:pStyle w:val="Lista2"/>
      </w:pPr>
      <w:r>
        <w:t>while notes should generally be kept reasonably short and simple, long and complicated notes can and should be divided up using block-level containers (§</w:t>
      </w:r>
      <w:r>
        <w:fldChar w:fldCharType="begin"/>
      </w:r>
      <w:r>
        <w:instrText xml:space="preserve"> REF _Ref233789547 \r \h </w:instrText>
      </w:r>
      <w:r>
        <w:fldChar w:fldCharType="separate"/>
      </w:r>
      <w:r>
        <w:t>14.3</w:t>
      </w:r>
      <w:r>
        <w:fldChar w:fldCharType="end"/>
      </w:r>
      <w:r>
        <w:t>)</w:t>
      </w:r>
    </w:p>
    <w:p w14:paraId="351C646C" w14:textId="77777777">
      <w:pPr>
        <w:pStyle w:val="Lista3"/>
      </w:pPr>
      <w:r>
        <w:t>except apparatus notes, which (because they will be rendered for display as inline parts of apparatus entries) must not contain block-level containers</w:t>
      </w:r>
    </w:p>
    <w:p w14:paraId="1D4558CE" w14:textId="77777777">
      <w:pPr>
        <w:pStyle w:val="Lista"/>
      </w:pPr>
      <w:r>
        <w:t xml:space="preserve">in order to avoid complications in display, processing and interpretability, a </w:t>
      </w:r>
      <w:r>
        <w:rPr>
          <w:rStyle w:val="Code"/>
        </w:rPr>
        <w:t>&lt;note&gt;</w:t>
      </w:r>
      <w:r>
        <w:t xml:space="preserve"> element must never contain another </w:t>
      </w:r>
      <w:r>
        <w:rPr>
          <w:rStyle w:val="Code"/>
        </w:rPr>
        <w:t>&lt;note&gt;</w:t>
      </w:r>
      <w:r>
        <w:t xml:space="preserve"> element</w:t>
      </w:r>
    </w:p>
    <w:p w14:paraId="086C9AF3" w14:textId="77777777">
      <w:pPr>
        <w:pStyle w:val="Cmsor2"/>
      </w:pPr>
      <w:bookmarkStart w:id="992" w:name="_Toc243900449"/>
      <w:r>
        <w:t>Citation, quotation and reference</w:t>
      </w:r>
      <w:bookmarkEnd w:id="992"/>
    </w:p>
    <w:p w14:paraId="49811406" w14:textId="77777777">
      <w:pPr>
        <w:pStyle w:val="Cmsor3"/>
      </w:pPr>
      <w:bookmarkStart w:id="993" w:name="_Ref233877601"/>
      <w:bookmarkStart w:id="994" w:name="_Toc243900450"/>
      <w:r>
        <w:t>Encoding bibliographic citations</w:t>
      </w:r>
      <w:bookmarkEnd w:id="993"/>
      <w:bookmarkEnd w:id="994"/>
    </w:p>
    <w:p w14:paraId="77EA0969" w14:textId="77777777">
      <w:r>
        <w:t xml:space="preserve">References to any published work shall be encoded as machine-interpretable citations using the element </w:t>
      </w:r>
      <w:r>
        <w:rPr>
          <w:rStyle w:val="Code"/>
        </w:rPr>
        <w:t>&lt;bibl&gt;</w:t>
      </w:r>
      <w:r>
        <w:t>. This encoding is available in any part of your XML document where free modern-language text is permitted.</w:t>
      </w:r>
    </w:p>
    <w:p w14:paraId="6877FC2D" w14:textId="77777777">
      <w:pPr>
        <w:pStyle w:val="Lista"/>
      </w:pPr>
      <w:r>
        <w:t xml:space="preserve">a citation is encoded in the form of the element </w:t>
      </w:r>
      <w:r>
        <w:rPr>
          <w:rStyle w:val="Code"/>
        </w:rPr>
        <w:t>&lt;bibl&gt;</w:t>
      </w:r>
      <w:r>
        <w:t xml:space="preserve"> as illustrated in </w:t>
      </w:r>
      <w:r>
        <w:fldChar w:fldCharType="begin"/>
      </w:r>
      <w:r>
        <w:instrText xml:space="preserve"> REF _Ref233799826 \h </w:instrText>
      </w:r>
      <w:r>
        <w:fldChar w:fldCharType="separate"/>
      </w:r>
      <w:r>
        <w:t xml:space="preserve">Exhibit </w:t>
      </w:r>
      <w:r>
        <w:rPr>
          <w:noProof/>
        </w:rPr>
        <w:t>14.6</w:t>
      </w:r>
      <w:r>
        <w:t>.</w:t>
      </w:r>
      <w:r>
        <w:rPr>
          <w:noProof/>
        </w:rPr>
        <w:t>A</w:t>
      </w:r>
      <w:r>
        <w:fldChar w:fldCharType="end"/>
      </w:r>
    </w:p>
    <w:p w14:paraId="5E122E13" w14:textId="77777777">
      <w:pPr>
        <w:pStyle w:val="Lista2"/>
      </w:pPr>
      <w:r>
        <w:t xml:space="preserve">either without attributes </w:t>
      </w:r>
    </w:p>
    <w:p w14:paraId="7A7E8609" w14:textId="77777777">
      <w:pPr>
        <w:pStyle w:val="Lista2"/>
      </w:pPr>
      <w:r>
        <w:t xml:space="preserve">or, if applicable, with </w:t>
      </w:r>
      <w:r>
        <w:rPr>
          <w:rStyle w:val="Codeattribute"/>
        </w:rPr>
        <w:t>@rend</w:t>
      </w:r>
      <w:r>
        <w:t xml:space="preserve"> taking values as per §</w:t>
      </w:r>
      <w:r>
        <w:fldChar w:fldCharType="begin"/>
      </w:r>
      <w:r>
        <w:instrText xml:space="preserve"> REF _Ref233818238 \r \h </w:instrText>
      </w:r>
      <w:r>
        <w:fldChar w:fldCharType="separate"/>
      </w:r>
      <w:r>
        <w:t>14.6.1.6</w:t>
      </w:r>
      <w:r>
        <w:fldChar w:fldCharType="end"/>
      </w:r>
      <w:r>
        <w:t xml:space="preserve"> to hide the name of the author and/or to display the citation as “ibid.”</w:t>
      </w:r>
    </w:p>
    <w:p w14:paraId="62E90021" w14:textId="77777777">
      <w:pPr>
        <w:pStyle w:val="Lista"/>
      </w:pPr>
      <w:r>
        <w:rPr>
          <w:rStyle w:val="Code"/>
        </w:rPr>
        <w:t>&lt;bibl&gt;</w:t>
      </w:r>
      <w:r>
        <w:t xml:space="preserve"> must mandatorily contain the empty element </w:t>
      </w:r>
      <w:r>
        <w:rPr>
          <w:rStyle w:val="Code"/>
        </w:rPr>
        <w:t>&lt;ptr/&gt;</w:t>
      </w:r>
      <w:r>
        <w:t xml:space="preserve"> </w:t>
      </w:r>
      <w:r>
        <w:rPr>
          <w:noProof/>
        </w:rPr>
        <w:t>(for “</w:t>
      </w:r>
      <w:r>
        <w:t xml:space="preserve">pointer”) as its first child, with the mandatory attribute </w:t>
      </w:r>
      <w:r>
        <w:rPr>
          <w:rStyle w:val="Codeattribute"/>
        </w:rPr>
        <w:t>@target</w:t>
      </w:r>
    </w:p>
    <w:p w14:paraId="1FB6CB61" w14:textId="77777777">
      <w:pPr>
        <w:pStyle w:val="Lista2"/>
      </w:pPr>
      <w:r>
        <w:t xml:space="preserve">the value of this attribute shall be the Zotero Short Title (ZG §4.10) of the cited publication, prefixed with the string </w:t>
      </w:r>
      <w:r>
        <w:rPr>
          <w:rStyle w:val="Codevalue"/>
        </w:rPr>
        <w:t>bib:</w:t>
      </w:r>
    </w:p>
    <w:p w14:paraId="42A51677" w14:textId="77777777">
      <w:pPr>
        <w:pStyle w:val="Lista"/>
      </w:pPr>
      <w:r>
        <w:t xml:space="preserve">as applicable, </w:t>
      </w:r>
      <w:r>
        <w:rPr>
          <w:rStyle w:val="Code"/>
        </w:rPr>
        <w:t>&lt;bibl&gt;</w:t>
      </w:r>
      <w:r>
        <w:t xml:space="preserve"> may contain the element </w:t>
      </w:r>
      <w:r>
        <w:rPr>
          <w:rStyle w:val="Code"/>
        </w:rPr>
        <w:t>&lt;citedRange&gt;</w:t>
      </w:r>
      <w:r>
        <w:t xml:space="preserve"> as its second child, to limit the citation to a specific part of the publication</w:t>
      </w:r>
    </w:p>
    <w:p w14:paraId="525B9EFB" w14:textId="77777777">
      <w:pPr>
        <w:pStyle w:val="Lista2"/>
      </w:pPr>
      <w:r>
        <w:t>using page numbers as set out in §</w:t>
      </w:r>
      <w:r>
        <w:fldChar w:fldCharType="begin"/>
      </w:r>
      <w:r>
        <w:instrText xml:space="preserve"> REF _Ref233811140 \r \h </w:instrText>
      </w:r>
      <w:r>
        <w:fldChar w:fldCharType="separate"/>
      </w:r>
      <w:r>
        <w:t>14.6.1.1</w:t>
      </w:r>
      <w:r>
        <w:fldChar w:fldCharType="end"/>
      </w:r>
    </w:p>
    <w:p w14:paraId="1FEEF587" w14:textId="77777777">
      <w:pPr>
        <w:pStyle w:val="Lista3"/>
      </w:pPr>
      <w:r>
        <w:t>this is the typical mode for making a citation specific</w:t>
      </w:r>
    </w:p>
    <w:p w14:paraId="2D4DF690" w14:textId="77777777">
      <w:pPr>
        <w:pStyle w:val="Lista2"/>
      </w:pPr>
      <w:r>
        <w:t>using other units of reference as set out in §</w:t>
      </w:r>
      <w:r>
        <w:fldChar w:fldCharType="begin"/>
      </w:r>
      <w:r>
        <w:instrText xml:space="preserve"> REF _Ref233811283 \r \h </w:instrText>
      </w:r>
      <w:r>
        <w:fldChar w:fldCharType="separate"/>
      </w:r>
      <w:r>
        <w:t>14.6.1.2</w:t>
      </w:r>
      <w:r>
        <w:fldChar w:fldCharType="end"/>
      </w:r>
    </w:p>
    <w:p w14:paraId="22F8C6D5" w14:textId="77777777">
      <w:pPr>
        <w:pStyle w:val="Lista3"/>
      </w:pPr>
      <w:r>
        <w:t>this mode is chiefly for references that, by general scholarly convention, do not include a page range, such as dictionary entries, sections from grammars, and some anthologies of inscriptions</w:t>
      </w:r>
    </w:p>
    <w:p w14:paraId="3CF0AF06" w14:textId="77777777">
      <w:pPr>
        <w:pStyle w:val="Lista3"/>
      </w:pPr>
      <w:r>
        <w:t>a combination of different reference units may be encoded as set out in §</w:t>
      </w:r>
      <w:r>
        <w:fldChar w:fldCharType="begin"/>
      </w:r>
      <w:r>
        <w:instrText xml:space="preserve"> REF _Ref233811301 \r \h </w:instrText>
      </w:r>
      <w:r>
        <w:fldChar w:fldCharType="separate"/>
      </w:r>
      <w:r>
        <w:t>14.6.1.4</w:t>
      </w:r>
      <w:r>
        <w:fldChar w:fldCharType="end"/>
      </w:r>
    </w:p>
    <w:p w14:paraId="78774441" w14:textId="77777777">
      <w:pPr>
        <w:pStyle w:val="Lista2"/>
      </w:pPr>
      <w:r>
        <w:lastRenderedPageBreak/>
        <w:t>using a freestyle specification as set out in §</w:t>
      </w:r>
      <w:r>
        <w:fldChar w:fldCharType="begin"/>
      </w:r>
      <w:r>
        <w:instrText xml:space="preserve"> REF _Ref233811324 \r \h </w:instrText>
      </w:r>
      <w:r>
        <w:fldChar w:fldCharType="separate"/>
      </w:r>
      <w:r>
        <w:t>14.6.1.5</w:t>
      </w:r>
      <w:r>
        <w:fldChar w:fldCharType="end"/>
      </w:r>
    </w:p>
    <w:p w14:paraId="128271F8" w14:textId="77777777">
      <w:pPr>
        <w:pStyle w:val="Lista3"/>
      </w:pPr>
      <w:r>
        <w:t>this mode is for highly complex details that cannot be fitted to the constraints of the above modes</w:t>
      </w:r>
    </w:p>
    <w:p w14:paraId="315AF06A" w14:textId="77777777">
      <w:pPr>
        <w:pStyle w:val="Lista2"/>
      </w:pPr>
      <w:r>
        <w:t>encoding the specifics of the cited locus or range in this way is generally mandatory unless you are citing a publication as a whole</w:t>
      </w:r>
    </w:p>
    <w:p w14:paraId="2BC6C6FB" w14:textId="0ADBC27C">
      <w:pPr>
        <w:pStyle w:val="Lista3"/>
      </w:pPr>
      <w:r>
        <w:t>however, when referring to an entire publication that is part of a volume (such as a journal article or book chapter), the page range for the whole publication need not and must not be encoded, as the range for such a publication as a whole is already featured in the relevant Zotero entry</w:t>
      </w:r>
    </w:p>
    <w:tbl>
      <w:tblPr>
        <w:tblStyle w:val="CodeSampleTable"/>
        <w:tblW w:w="5000" w:type="pct"/>
        <w:tblLook w:val="04A0" w:firstRow="1" w:lastRow="0" w:firstColumn="1" w:lastColumn="0" w:noHBand="0" w:noVBand="1"/>
      </w:tblPr>
      <w:tblGrid>
        <w:gridCol w:w="9628"/>
      </w:tblGrid>
      <w:tr w14:paraId="50302CA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3CC5045" w14:textId="77777777">
            <w:pPr>
              <w:pStyle w:val="Kpalrs"/>
            </w:pPr>
            <w:bookmarkStart w:id="995" w:name="_Ref233799826"/>
            <w:r>
              <w:t xml:space="preserve">Exhibit </w:t>
            </w:r>
            <w:fldSimple w:instr=" STYLEREF 2 \s ">
              <w:r>
                <w:rPr>
                  <w:noProof/>
                </w:rPr>
                <w:t>14.6</w:t>
              </w:r>
            </w:fldSimple>
            <w:r>
              <w:t>.</w:t>
            </w:r>
            <w:fldSimple w:instr=" SEQ Exhibit \* ALPHABETIC \s 2 ">
              <w:r>
                <w:rPr>
                  <w:noProof/>
                </w:rPr>
                <w:t>A</w:t>
              </w:r>
            </w:fldSimple>
            <w:bookmarkEnd w:id="995"/>
            <w:r>
              <w:t>: encoding a basic citation</w:t>
            </w:r>
          </w:p>
        </w:tc>
      </w:tr>
      <w:tr w14:paraId="12771C8E" w14:textId="77777777">
        <w:tc>
          <w:tcPr>
            <w:tcW w:w="5000" w:type="pct"/>
          </w:tcPr>
          <w:p w14:paraId="632EB8DF" w14:textId="77777777">
            <w:pPr>
              <w:pStyle w:val="TableNote"/>
              <w:keepNext/>
            </w:pPr>
            <w:r>
              <w:t>Agrawala 1983</w:t>
            </w:r>
          </w:p>
        </w:tc>
      </w:tr>
      <w:tr w14:paraId="55337E79" w14:textId="77777777">
        <w:tc>
          <w:tcPr>
            <w:tcW w:w="5000" w:type="pct"/>
          </w:tcPr>
          <w:p w14:paraId="7E8F296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"bib:Agrawala1983_01"</w:t>
            </w:r>
            <w:r>
              <w:rPr>
                <w:rStyle w:val="Code"/>
              </w:rPr>
              <w:t>/&gt;</w:t>
            </w:r>
            <w:r>
              <w:rPr>
                <w:rStyle w:val="Codetext"/>
              </w:rPr>
              <w:br/>
            </w:r>
            <w:r>
              <w:rPr>
                <w:rStyle w:val="Code"/>
              </w:rPr>
              <w:t>&lt;/bibl&gt;</w:t>
            </w:r>
          </w:p>
        </w:tc>
      </w:tr>
    </w:tbl>
    <w:p w14:paraId="7DEE1511" w14:textId="77777777">
      <w:pPr>
        <w:pStyle w:val="Cmsor4"/>
      </w:pPr>
      <w:bookmarkStart w:id="996" w:name="_Ref233811140"/>
      <w:r>
        <w:t>Specifying page numbers</w:t>
      </w:r>
      <w:bookmarkEnd w:id="996"/>
    </w:p>
    <w:p w14:paraId="31AB2117" w14:textId="77777777">
      <w:r>
        <w:t xml:space="preserve">Since </w:t>
      </w:r>
      <w:r>
        <w:rPr>
          <w:rStyle w:val="Code"/>
        </w:rPr>
        <w:t>&lt;citedRange&gt;</w:t>
      </w:r>
      <w:r>
        <w:t xml:space="preserve"> will be understood by default to refer to page numbers, no further code is needed for creating references to pages unless they are combined with other units of reference as per §</w:t>
      </w:r>
      <w:r>
        <w:fldChar w:fldCharType="begin"/>
      </w:r>
      <w:r>
        <w:instrText xml:space="preserve"> REF _Ref233812949 \r \h </w:instrText>
      </w:r>
      <w:r>
        <w:fldChar w:fldCharType="separate"/>
      </w:r>
      <w:r>
        <w:t>14.6.1.4</w:t>
      </w:r>
      <w:r>
        <w:fldChar w:fldCharType="end"/>
      </w:r>
      <w:r>
        <w:t>.</w:t>
      </w:r>
    </w:p>
    <w:p w14:paraId="0D214933" w14:textId="77777777">
      <w:pPr>
        <w:pStyle w:val="Lista"/>
      </w:pPr>
      <w:r>
        <w:t xml:space="preserve">when specifying a reference through page numbers, simply enter the applicable number(s) within </w:t>
      </w:r>
      <w:r>
        <w:rPr>
          <w:rStyle w:val="Code"/>
        </w:rPr>
        <w:t>&lt;citedRange&gt;</w:t>
      </w:r>
    </w:p>
    <w:p w14:paraId="5101D4D6" w14:textId="77777777">
      <w:pPr>
        <w:pStyle w:val="Lista"/>
      </w:pPr>
      <w:r>
        <w:t>references to page numbers may be specified in any of the following ways</w:t>
      </w:r>
    </w:p>
    <w:p w14:paraId="4E4EEF22" w14:textId="77777777">
      <w:pPr>
        <w:pStyle w:val="Lista2"/>
      </w:pPr>
      <w:r>
        <w:t xml:space="preserve">a single page number, e.g. </w:t>
      </w:r>
      <w:r>
        <w:rPr>
          <w:rStyle w:val="Code"/>
        </w:rPr>
        <w:t>&lt;citedRange&gt;</w:t>
      </w:r>
      <w:r>
        <w:rPr>
          <w:rStyle w:val="Codetext"/>
        </w:rPr>
        <w:t>12</w:t>
      </w:r>
      <w:r>
        <w:rPr>
          <w:rStyle w:val="Code"/>
        </w:rPr>
        <w:t>&lt;/citedRange&gt;</w:t>
      </w:r>
    </w:p>
    <w:p w14:paraId="4538B994" w14:textId="77777777">
      <w:pPr>
        <w:pStyle w:val="Lista2"/>
      </w:pPr>
      <w:r>
        <w:t xml:space="preserve">a range of pages recorded as two numbers with an intervening hyphen, e.g. </w:t>
      </w:r>
      <w:r>
        <w:rPr>
          <w:rStyle w:val="Code"/>
        </w:rPr>
        <w:t>&lt;citedRange&gt;</w:t>
      </w:r>
      <w:r>
        <w:rPr>
          <w:rStyle w:val="Codetext"/>
        </w:rPr>
        <w:t>12-21</w:t>
      </w:r>
      <w:r>
        <w:rPr>
          <w:rStyle w:val="Code"/>
        </w:rPr>
        <w:t>&lt;/citedRange&gt;</w:t>
      </w:r>
    </w:p>
    <w:p w14:paraId="2C342E85" w14:textId="77777777">
      <w:pPr>
        <w:pStyle w:val="Lista3"/>
      </w:pPr>
      <w:r>
        <w:t xml:space="preserve">never drop digits from the number marking the endpoint of a range, e.g. </w:t>
      </w:r>
      <w:r>
        <w:rPr>
          <w:rStyle w:val="Code"/>
        </w:rPr>
        <w:t>&lt;citedRange&gt;</w:t>
      </w:r>
      <w:r>
        <w:rPr>
          <w:rStyle w:val="Codetext"/>
        </w:rPr>
        <w:t>123-124</w:t>
      </w:r>
      <w:r>
        <w:rPr>
          <w:rStyle w:val="Code"/>
        </w:rPr>
        <w:t>&lt;/citedRange&gt;</w:t>
      </w:r>
      <w:r>
        <w:t xml:space="preserve"> </w:t>
      </w:r>
      <w:r>
        <w:rPr>
          <w:noProof/>
        </w:rPr>
        <w:t>(</w:t>
      </w:r>
      <w:r>
        <w:t>not 123-4 or 123-24)</w:t>
      </w:r>
    </w:p>
    <w:p w14:paraId="68E9704B" w14:textId="77777777">
      <w:pPr>
        <w:pStyle w:val="Lista3"/>
      </w:pPr>
      <w:r>
        <w:t>when referring to a range of pages, always indicate the full range rather than just the starting point (avoid forms like 123f. or 123ff.)</w:t>
      </w:r>
    </w:p>
    <w:p w14:paraId="5E85CE20" w14:textId="77777777">
      <w:pPr>
        <w:pStyle w:val="Lista3"/>
      </w:pPr>
      <w:r>
        <w:t xml:space="preserve">see </w:t>
      </w:r>
      <w:r>
        <w:fldChar w:fldCharType="begin"/>
      </w:r>
      <w:r>
        <w:instrText xml:space="preserve"> REF _Ref233817611 \h </w:instrText>
      </w:r>
      <w:r>
        <w:fldChar w:fldCharType="separate"/>
      </w:r>
      <w:r>
        <w:t xml:space="preserve">Exhibit </w:t>
      </w:r>
      <w:r>
        <w:rPr>
          <w:noProof/>
        </w:rPr>
        <w:t>14.6</w:t>
      </w:r>
      <w:r>
        <w:t>.</w:t>
      </w:r>
      <w:r>
        <w:rPr>
          <w:noProof/>
        </w:rPr>
        <w:t>B</w:t>
      </w:r>
      <w:r>
        <w:fldChar w:fldCharType="end"/>
      </w:r>
      <w:r>
        <w:t xml:space="preserve"> for an illustration</w:t>
      </w:r>
    </w:p>
    <w:p w14:paraId="4E419C82" w14:textId="77777777">
      <w:pPr>
        <w:pStyle w:val="Lista2"/>
        <w:rPr>
          <w:rStyle w:val="Code"/>
          <w:rFonts w:ascii="Gentium" w:hAnsi="Gentium" w:cs="Tiro Devanagari Sanskrit"/>
          <w:noProof w:val="0"/>
          <w:color w:val="auto"/>
          <w:shd w:val="clear" w:color="auto" w:fill="auto"/>
        </w:rPr>
      </w:pPr>
      <w:r>
        <w:t xml:space="preserve">two or more non-consecutive pages separated by a comma (and a space), e.g. </w:t>
      </w:r>
      <w:r>
        <w:rPr>
          <w:rStyle w:val="Code"/>
        </w:rPr>
        <w:t>&lt;citedRange&gt;</w:t>
      </w:r>
      <w:r>
        <w:rPr>
          <w:rStyle w:val="Codetext"/>
        </w:rPr>
        <w:t>12, 24</w:t>
      </w:r>
      <w:r>
        <w:rPr>
          <w:rStyle w:val="Code"/>
        </w:rPr>
        <w:t>&lt;/citedRange&gt;</w:t>
      </w:r>
    </w:p>
    <w:p w14:paraId="077AC218" w14:textId="529D5FED">
      <w:pPr>
        <w:pStyle w:val="Lista"/>
      </w:pPr>
      <w:r>
        <w:t>page numbers which are not Arabic numerals may need to be converted to Arabic numerals as per §</w:t>
      </w:r>
      <w:r>
        <w:fldChar w:fldCharType="begin"/>
      </w:r>
      <w:r>
        <w:instrText xml:space="preserve"> REF _Ref233812153 \r \h </w:instrText>
      </w:r>
      <w:r>
        <w:fldChar w:fldCharType="separate"/>
      </w:r>
      <w:r>
        <w:t>14.6.1.3</w:t>
      </w:r>
      <w:r>
        <w:fldChar w:fldCharType="end"/>
      </w:r>
    </w:p>
    <w:tbl>
      <w:tblPr>
        <w:tblStyle w:val="CodeSampleTable"/>
        <w:tblW w:w="5000" w:type="pct"/>
        <w:tblLook w:val="04A0" w:firstRow="1" w:lastRow="0" w:firstColumn="1" w:lastColumn="0" w:noHBand="0" w:noVBand="1"/>
      </w:tblPr>
      <w:tblGrid>
        <w:gridCol w:w="9628"/>
      </w:tblGrid>
      <w:tr w14:paraId="19E9FD94"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B74C659" w14:textId="77777777">
            <w:pPr>
              <w:pStyle w:val="Kpalrs"/>
            </w:pPr>
            <w:bookmarkStart w:id="997" w:name="_Ref233817611"/>
            <w:bookmarkStart w:id="998" w:name="_Ref233817605"/>
            <w:r>
              <w:t xml:space="preserve">Exhibit </w:t>
            </w:r>
            <w:fldSimple w:instr=" STYLEREF 2 \s ">
              <w:r>
                <w:rPr>
                  <w:noProof/>
                </w:rPr>
                <w:t>14.6</w:t>
              </w:r>
            </w:fldSimple>
            <w:r>
              <w:t>.</w:t>
            </w:r>
            <w:fldSimple w:instr=" SEQ Exhibit \* ALPHABETIC \s 2 ">
              <w:r>
                <w:rPr>
                  <w:noProof/>
                </w:rPr>
                <w:t>B</w:t>
              </w:r>
            </w:fldSimple>
            <w:bookmarkEnd w:id="997"/>
            <w:r>
              <w:t>: encoding a basic citation with a page range</w:t>
            </w:r>
            <w:bookmarkEnd w:id="998"/>
          </w:p>
        </w:tc>
      </w:tr>
      <w:tr w14:paraId="041ACAFC" w14:textId="77777777">
        <w:tc>
          <w:tcPr>
            <w:tcW w:w="5000" w:type="pct"/>
          </w:tcPr>
          <w:p w14:paraId="40B1E7EA" w14:textId="77777777">
            <w:pPr>
              <w:pStyle w:val="TableNote"/>
              <w:keepNext/>
            </w:pPr>
            <w:r>
              <w:t>Majumdar 1943: 23–28</w:t>
            </w:r>
          </w:p>
        </w:tc>
      </w:tr>
      <w:tr w14:paraId="32CCAF1C" w14:textId="77777777">
        <w:tc>
          <w:tcPr>
            <w:tcW w:w="5000" w:type="pct"/>
          </w:tcPr>
          <w:p w14:paraId="12E9EA4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p>
        </w:tc>
      </w:tr>
    </w:tbl>
    <w:p w14:paraId="7166836F" w14:textId="77777777">
      <w:pPr>
        <w:pStyle w:val="Cmsor4"/>
      </w:pPr>
      <w:bookmarkStart w:id="999" w:name="_Ref233811283"/>
      <w:bookmarkStart w:id="1000" w:name="_Ref233811284"/>
      <w:r>
        <w:t>Citation specifics other than pages</w:t>
      </w:r>
      <w:bookmarkEnd w:id="999"/>
      <w:bookmarkEnd w:id="1000"/>
    </w:p>
    <w:p w14:paraId="04CD375C" w14:textId="77777777">
      <w:r>
        <w:t xml:space="preserve">To use entities other than pages in the specification of a citation, add the attribute </w:t>
      </w:r>
      <w:r>
        <w:rPr>
          <w:rStyle w:val="Codeattribute"/>
        </w:rPr>
        <w:t>@unit</w:t>
      </w:r>
      <w:r>
        <w:t xml:space="preserve"> to </w:t>
      </w:r>
      <w:r>
        <w:rPr>
          <w:rStyle w:val="Code"/>
        </w:rPr>
        <w:t>&lt;citedRange&gt;</w:t>
      </w:r>
      <w:r>
        <w:t xml:space="preserve"> and formulate the contents of the element accordingly.</w:t>
      </w:r>
    </w:p>
    <w:p w14:paraId="4FD1659D" w14:textId="77777777">
      <w:pPr>
        <w:pStyle w:val="Lista"/>
      </w:pPr>
      <w:r>
        <w:t xml:space="preserve">in DHARMA practice, the following values of </w:t>
      </w:r>
      <w:r>
        <w:rPr>
          <w:rStyle w:val="Codeattribute"/>
        </w:rPr>
        <w:t>@unit</w:t>
      </w:r>
      <w:r>
        <w:t xml:space="preserve"> may be used on </w:t>
      </w:r>
      <w:r>
        <w:rPr>
          <w:rStyle w:val="Code"/>
        </w:rPr>
        <w:t>&lt;citedRange&gt;</w:t>
      </w:r>
    </w:p>
    <w:p w14:paraId="2F3423C9" w14:textId="77777777">
      <w:pPr>
        <w:pStyle w:val="Lista2"/>
      </w:pPr>
      <w:r>
        <w:rPr>
          <w:rStyle w:val="Codevalue"/>
        </w:rPr>
        <w:t>"appendix"</w:t>
      </w:r>
      <w:r>
        <w:t xml:space="preserve"> for numbered appendices</w:t>
      </w:r>
    </w:p>
    <w:p w14:paraId="7E4D9122" w14:textId="77777777">
      <w:pPr>
        <w:pStyle w:val="Lista2"/>
      </w:pPr>
      <w:r>
        <w:rPr>
          <w:rStyle w:val="Codevalue"/>
        </w:rPr>
        <w:t>"book"</w:t>
      </w:r>
      <w:r>
        <w:t xml:space="preserve"> for numbered divisions within a single volume, especially when designated by the term “book” or an equivalent, where the reference system is restarted in each division</w:t>
      </w:r>
    </w:p>
    <w:p w14:paraId="00C5D19F" w14:textId="77777777">
      <w:pPr>
        <w:pStyle w:val="Lista3"/>
      </w:pPr>
      <w:r>
        <w:t xml:space="preserve">such as Sircar’s </w:t>
      </w:r>
      <w:r>
        <w:rPr>
          <w:i/>
          <w:iCs/>
        </w:rPr>
        <w:t>Select Inscriptions</w:t>
      </w:r>
      <w:r>
        <w:t>, where item numbers are restarted in each “book” of both volumes</w:t>
      </w:r>
    </w:p>
    <w:p w14:paraId="40077570" w14:textId="77777777">
      <w:pPr>
        <w:pStyle w:val="Lista3"/>
      </w:pPr>
      <w:r>
        <w:t>distinguish this unit from “part” and “volume”</w:t>
      </w:r>
    </w:p>
    <w:p w14:paraId="793117C3" w14:textId="77777777">
      <w:pPr>
        <w:pStyle w:val="Lista2"/>
      </w:pPr>
      <w:r>
        <w:rPr>
          <w:rStyle w:val="Codevalue"/>
        </w:rPr>
        <w:t>"entry"</w:t>
      </w:r>
      <w:r>
        <w:t xml:space="preserve"> for an item in a dictionary or encyclopaedia </w:t>
      </w:r>
      <w:r>
        <w:rPr>
          <w:noProof/>
        </w:rPr>
        <w:t>(</w:t>
      </w:r>
      <w:r>
        <w:t xml:space="preserve">to be displayed as </w:t>
      </w:r>
      <w:r>
        <w:rPr>
          <w:rStyle w:val="Foreign"/>
        </w:rPr>
        <w:t>s.v.</w:t>
      </w:r>
      <w:r>
        <w:t>)</w:t>
      </w:r>
    </w:p>
    <w:p w14:paraId="6B69837B" w14:textId="77777777">
      <w:pPr>
        <w:pStyle w:val="Lista3"/>
      </w:pPr>
      <w:r>
        <w:t xml:space="preserve">if the reference is to a dictionary entry, optionally enclose the contents of </w:t>
      </w:r>
      <w:r>
        <w:rPr>
          <w:rStyle w:val="Code"/>
        </w:rPr>
        <w:t>&lt;citedRange&gt;</w:t>
      </w:r>
      <w:r>
        <w:t xml:space="preserve"> in </w:t>
      </w:r>
      <w:r>
        <w:rPr>
          <w:rStyle w:val="Code"/>
        </w:rPr>
        <w:t>&lt;foreign&gt;</w:t>
      </w:r>
      <w:r>
        <w:t xml:space="preserve"> (as per §</w:t>
      </w:r>
      <w:r>
        <w:fldChar w:fldCharType="begin"/>
      </w:r>
      <w:r>
        <w:instrText xml:space="preserve"> REF _Ref43986658 \r \h </w:instrText>
      </w:r>
      <w:r>
        <w:fldChar w:fldCharType="separate"/>
      </w:r>
      <w:r>
        <w:t>14.4.2</w:t>
      </w:r>
      <w:r>
        <w:fldChar w:fldCharType="end"/>
      </w:r>
      <w:r>
        <w:t>)</w:t>
      </w:r>
    </w:p>
    <w:p w14:paraId="49E5F866" w14:textId="77777777">
      <w:pPr>
        <w:pStyle w:val="Lista4"/>
        <w:rPr>
          <w:rStyle w:val="Code"/>
          <w:rFonts w:ascii="Gentium" w:hAnsi="Gentium" w:cs="Tiro Devanagari Sanskrit"/>
          <w:noProof w:val="0"/>
          <w:color w:val="auto"/>
          <w:shd w:val="clear" w:color="auto" w:fill="auto"/>
        </w:rPr>
      </w:pPr>
      <w:r>
        <w:t xml:space="preserve">this is not a technical requirement but a cosmetic option: the output will be italicised when wrapped in </w:t>
      </w:r>
      <w:r>
        <w:rPr>
          <w:rStyle w:val="Code"/>
        </w:rPr>
        <w:t>&lt;foreign&gt;</w:t>
      </w:r>
      <w:r>
        <w:t xml:space="preserve">, but not italicised without </w:t>
      </w:r>
      <w:r>
        <w:rPr>
          <w:rStyle w:val="Code"/>
        </w:rPr>
        <w:t>&lt;foreign&gt;</w:t>
      </w:r>
    </w:p>
    <w:p w14:paraId="16773E7E" w14:textId="77777777">
      <w:pPr>
        <w:pStyle w:val="Lista3"/>
      </w:pPr>
      <w:r>
        <w:lastRenderedPageBreak/>
        <w:t>to encode a reference containing only “s.v.” (without the actual headword), use a freestyle specification (§</w:t>
      </w:r>
      <w:r>
        <w:fldChar w:fldCharType="begin"/>
      </w:r>
      <w:r>
        <w:instrText xml:space="preserve"> REF _Ref233811324 \r \h </w:instrText>
      </w:r>
      <w:r>
        <w:fldChar w:fldCharType="separate"/>
      </w:r>
      <w:r>
        <w:t>14.6.1.5</w:t>
      </w:r>
      <w:r>
        <w:fldChar w:fldCharType="end"/>
      </w:r>
      <w:r>
        <w:t>) or simply add “s.v.” in the text outside the encoded citation</w:t>
      </w:r>
    </w:p>
    <w:p w14:paraId="77A52EA7" w14:textId="77777777">
      <w:pPr>
        <w:pStyle w:val="Lista2"/>
      </w:pPr>
      <w:r>
        <w:rPr>
          <w:rStyle w:val="Codevalue"/>
        </w:rPr>
        <w:t>"figure"</w:t>
      </w:r>
      <w:r>
        <w:t xml:space="preserve"> for illustrations and other graphics</w:t>
      </w:r>
    </w:p>
    <w:p w14:paraId="16FBB66E" w14:textId="77777777">
      <w:pPr>
        <w:pStyle w:val="Lista3"/>
      </w:pPr>
      <w:r>
        <w:t>distinguish this unit from “plate”</w:t>
      </w:r>
    </w:p>
    <w:p w14:paraId="519253E1" w14:textId="77777777">
      <w:pPr>
        <w:pStyle w:val="Lista2"/>
      </w:pPr>
      <w:r>
        <w:rPr>
          <w:rStyle w:val="Codevalue"/>
        </w:rPr>
        <w:t>"item"</w:t>
      </w:r>
      <w:r>
        <w:t xml:space="preserve"> for a numbered item in an anthology of editions or an item in a numbered list </w:t>
      </w:r>
      <w:r>
        <w:rPr>
          <w:noProof/>
        </w:rPr>
        <w:t>(</w:t>
      </w:r>
      <w:r>
        <w:t>to be displayed as №)</w:t>
      </w:r>
    </w:p>
    <w:p w14:paraId="75A8C83C" w14:textId="77777777">
      <w:pPr>
        <w:pStyle w:val="Lista3"/>
      </w:pPr>
      <w:r>
        <w:t xml:space="preserve">see </w:t>
      </w:r>
      <w:r>
        <w:fldChar w:fldCharType="begin"/>
      </w:r>
      <w:r>
        <w:instrText xml:space="preserve"> REF _Ref233646064 \h </w:instrText>
      </w:r>
      <w:r>
        <w:fldChar w:fldCharType="separate"/>
      </w:r>
      <w:r>
        <w:t xml:space="preserve">Exhibit </w:t>
      </w:r>
      <w:r>
        <w:rPr>
          <w:noProof/>
        </w:rPr>
        <w:t>14.3</w:t>
      </w:r>
      <w:r>
        <w:t>.</w:t>
      </w:r>
      <w:r>
        <w:rPr>
          <w:noProof/>
        </w:rPr>
        <w:t>C</w:t>
      </w:r>
      <w:r>
        <w:fldChar w:fldCharType="end"/>
      </w:r>
      <w:r>
        <w:t xml:space="preserve"> for an illustration</w:t>
      </w:r>
    </w:p>
    <w:p w14:paraId="67169C68" w14:textId="77777777">
      <w:pPr>
        <w:pStyle w:val="Lista2"/>
      </w:pPr>
      <w:r>
        <w:rPr>
          <w:rStyle w:val="Codevalue"/>
        </w:rPr>
        <w:t>"line"</w:t>
      </w:r>
      <w:r>
        <w:t xml:space="preserve"> for a lineated work where citations are conventionally identified by line number</w:t>
      </w:r>
    </w:p>
    <w:p w14:paraId="697B304C" w14:textId="77777777">
      <w:pPr>
        <w:pStyle w:val="Lista2"/>
      </w:pPr>
      <w:r>
        <w:rPr>
          <w:rStyle w:val="Codevalue"/>
        </w:rPr>
        <w:t>"note"</w:t>
      </w:r>
      <w:r>
        <w:t xml:space="preserve"> for a numbered </w:t>
      </w:r>
      <w:r>
        <w:rPr>
          <w:noProof/>
        </w:rPr>
        <w:t>(</w:t>
      </w:r>
      <w:r>
        <w:t>foot or end) note</w:t>
      </w:r>
    </w:p>
    <w:p w14:paraId="35F8D0BE" w14:textId="77777777">
      <w:pPr>
        <w:pStyle w:val="Lista2"/>
      </w:pPr>
      <w:r>
        <w:rPr>
          <w:rStyle w:val="Codevalue"/>
        </w:rPr>
        <w:t>"page"</w:t>
      </w:r>
      <w:r>
        <w:t xml:space="preserve"> for pages</w:t>
      </w:r>
    </w:p>
    <w:p w14:paraId="256CC98A" w14:textId="77777777">
      <w:pPr>
        <w:pStyle w:val="Lista3"/>
      </w:pPr>
      <w:r>
        <w:t>this value is understood by default and, as noted in §</w:t>
      </w:r>
      <w:r>
        <w:fldChar w:fldCharType="begin"/>
      </w:r>
      <w:r>
        <w:instrText xml:space="preserve"> REF _Ref233811140 \r \h </w:instrText>
      </w:r>
      <w:r>
        <w:fldChar w:fldCharType="separate"/>
      </w:r>
      <w:r>
        <w:t>14.6.1.1</w:t>
      </w:r>
      <w:r>
        <w:fldChar w:fldCharType="end"/>
      </w:r>
      <w:r>
        <w:t>, need not be encoded except when more than one specification is given for a single citation as per §</w:t>
      </w:r>
      <w:r>
        <w:fldChar w:fldCharType="begin"/>
      </w:r>
      <w:r>
        <w:instrText xml:space="preserve"> REF _Ref233811301 \r \h </w:instrText>
      </w:r>
      <w:r>
        <w:fldChar w:fldCharType="separate"/>
      </w:r>
      <w:r>
        <w:t>14.6.1.4</w:t>
      </w:r>
      <w:r>
        <w:fldChar w:fldCharType="end"/>
      </w:r>
    </w:p>
    <w:p w14:paraId="597C75AB" w14:textId="77777777">
      <w:pPr>
        <w:pStyle w:val="Lista2"/>
      </w:pPr>
      <w:r>
        <w:rPr>
          <w:rStyle w:val="Codevalue"/>
        </w:rPr>
        <w:t>"part"</w:t>
      </w:r>
      <w:r>
        <w:t xml:space="preserve"> to distinguish sections of publications where identical page numbers re-occur within a single volume </w:t>
      </w:r>
      <w:r>
        <w:rPr>
          <w:noProof/>
        </w:rPr>
        <w:t>(</w:t>
      </w:r>
      <w:r>
        <w:t>such as Epigraphia Carnatica)</w:t>
      </w:r>
    </w:p>
    <w:p w14:paraId="16BB065A" w14:textId="77777777">
      <w:pPr>
        <w:pStyle w:val="Lista2"/>
      </w:pPr>
      <w:r>
        <w:rPr>
          <w:rStyle w:val="Codevalue"/>
        </w:rPr>
        <w:t>"plate"</w:t>
      </w:r>
      <w:r>
        <w:t xml:space="preserve"> for visual material designated by the term “plate” or printed on pages separate from text</w:t>
      </w:r>
    </w:p>
    <w:p w14:paraId="1FEF6D62" w14:textId="77777777">
      <w:pPr>
        <w:pStyle w:val="Lista3"/>
      </w:pPr>
      <w:r>
        <w:t>distinguish this unit from “figure”</w:t>
      </w:r>
    </w:p>
    <w:p w14:paraId="3F441567" w14:textId="77777777">
      <w:pPr>
        <w:pStyle w:val="Lista2"/>
      </w:pPr>
      <w:r>
        <w:rPr>
          <w:rStyle w:val="Codevalue"/>
        </w:rPr>
        <w:t>"section"</w:t>
      </w:r>
      <w:r>
        <w:t xml:space="preserve"> for one of many numbered paragraphs or short sections where this form of citation is practicable, such as many grammars as well as the descriptive parts of many volumes of the </w:t>
      </w:r>
      <w:r>
        <w:rPr>
          <w:rStyle w:val="Foreign"/>
        </w:rPr>
        <w:t>Annual Report on Indian Epigraphy</w:t>
      </w:r>
    </w:p>
    <w:p w14:paraId="31F5F13A" w14:textId="77777777">
      <w:pPr>
        <w:pStyle w:val="Lista2"/>
      </w:pPr>
      <w:r>
        <w:rPr>
          <w:rStyle w:val="Codevalue"/>
        </w:rPr>
        <w:t>"table"</w:t>
      </w:r>
      <w:r>
        <w:t xml:space="preserve"> for material labelled as a table or presented in table form</w:t>
      </w:r>
    </w:p>
    <w:p w14:paraId="43340B9F" w14:textId="77777777">
      <w:pPr>
        <w:pStyle w:val="Lista2"/>
      </w:pPr>
      <w:r>
        <w:rPr>
          <w:rStyle w:val="Codevalue"/>
        </w:rPr>
        <w:t>"volume"</w:t>
      </w:r>
      <w:r>
        <w:t xml:space="preserve"> for a specific (physically separate) volume of multi-volume publications</w:t>
      </w:r>
    </w:p>
    <w:p w14:paraId="3EAEAC87" w14:textId="77777777">
      <w:pPr>
        <w:pStyle w:val="Lista3"/>
      </w:pPr>
      <w:r>
        <w:t>distinguish this unit from “book” and “part”</w:t>
      </w:r>
    </w:p>
    <w:p w14:paraId="4E1D81BF" w14:textId="77777777">
      <w:pPr>
        <w:pStyle w:val="Lista"/>
      </w:pPr>
      <w:r>
        <w:t xml:space="preserve">only the above values are permitted (as well as </w:t>
      </w:r>
      <w:r>
        <w:rPr>
          <w:rStyle w:val="Codevalue"/>
        </w:rPr>
        <w:t>"mixed"</w:t>
      </w:r>
      <w:r>
        <w:t>, §</w:t>
      </w:r>
      <w:r>
        <w:fldChar w:fldCharType="begin"/>
      </w:r>
      <w:r>
        <w:instrText xml:space="preserve"> REF _Ref233811324 \r \h </w:instrText>
      </w:r>
      <w:r>
        <w:fldChar w:fldCharType="separate"/>
      </w:r>
      <w:r>
        <w:t>14.6.1.5</w:t>
      </w:r>
      <w:r>
        <w:fldChar w:fldCharType="end"/>
      </w:r>
      <w:r>
        <w:t>)</w:t>
      </w:r>
    </w:p>
    <w:p w14:paraId="5D0759E5" w14:textId="77777777">
      <w:pPr>
        <w:pStyle w:val="Lista2"/>
      </w:pPr>
      <w:r>
        <w:t>if the publication uses different terminology, find the best approximation among the acceptable values</w:t>
      </w:r>
    </w:p>
    <w:p w14:paraId="7E109A67" w14:textId="77777777">
      <w:pPr>
        <w:pStyle w:val="Lista2"/>
      </w:pPr>
      <w:r>
        <w:t xml:space="preserve">if the publication uses a different language, use the English equivalent (e.g. </w:t>
      </w:r>
      <w:r>
        <w:rPr>
          <w:rStyle w:val="Codevalue"/>
        </w:rPr>
        <w:t>"appendix"</w:t>
      </w:r>
      <w:r>
        <w:t xml:space="preserve"> for an original </w:t>
      </w:r>
      <w:r>
        <w:rPr>
          <w:rStyle w:val="Foreign"/>
        </w:rPr>
        <w:t>bijlage</w:t>
      </w:r>
      <w:r>
        <w:t>)</w:t>
      </w:r>
    </w:p>
    <w:p w14:paraId="5E00570E" w14:textId="77777777">
      <w:pPr>
        <w:pStyle w:val="Lista2"/>
      </w:pPr>
      <w:r>
        <w:t>if none of these solutions are satisfactory, encode a freestyle specification (§</w:t>
      </w:r>
      <w:r>
        <w:fldChar w:fldCharType="begin"/>
      </w:r>
      <w:r>
        <w:instrText xml:space="preserve"> REF _Ref233811324 \r \h </w:instrText>
      </w:r>
      <w:r>
        <w:fldChar w:fldCharType="separate"/>
      </w:r>
      <w:r>
        <w:t>14.6.1.5</w:t>
      </w:r>
      <w:r>
        <w:fldChar w:fldCharType="end"/>
      </w:r>
      <w:r>
        <w:t>)</w:t>
      </w:r>
    </w:p>
    <w:p w14:paraId="4E1894D1" w14:textId="77777777">
      <w:pPr>
        <w:pStyle w:val="Lista"/>
      </w:pPr>
      <w:r>
        <w:t xml:space="preserve">just as with page numbers, </w:t>
      </w:r>
      <w:r>
        <w:rPr>
          <w:rStyle w:val="Code"/>
        </w:rPr>
        <w:t>&lt;citedRange&gt;</w:t>
      </w:r>
      <w:r>
        <w:t xml:space="preserve"> with any of the above values of </w:t>
      </w:r>
      <w:r>
        <w:rPr>
          <w:rStyle w:val="Codeattribute"/>
        </w:rPr>
        <w:t>@unit</w:t>
      </w:r>
      <w:r>
        <w:t xml:space="preserve"> may contain an individual identifier, a range separated with a hyphen, or a list separated with commas and spaces</w:t>
      </w:r>
    </w:p>
    <w:p w14:paraId="6E0502E5" w14:textId="326749F8">
      <w:pPr>
        <w:pStyle w:val="Lista"/>
      </w:pPr>
      <w:r>
        <w:t>no machine action will be performed on the specification of a citation, but strive to keep your reference as clear and unambiguous as possible</w:t>
      </w:r>
    </w:p>
    <w:tbl>
      <w:tblPr>
        <w:tblStyle w:val="CodeSampleTable"/>
        <w:tblW w:w="5000" w:type="pct"/>
        <w:tblLook w:val="04A0" w:firstRow="1" w:lastRow="0" w:firstColumn="1" w:lastColumn="0" w:noHBand="0" w:noVBand="1"/>
      </w:tblPr>
      <w:tblGrid>
        <w:gridCol w:w="9628"/>
      </w:tblGrid>
      <w:tr w14:paraId="1167EE2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514CFBE2" w14:textId="77777777">
            <w:pPr>
              <w:pStyle w:val="Kpalrs"/>
            </w:pPr>
            <w:r>
              <w:t xml:space="preserve">Exhibit </w:t>
            </w:r>
            <w:fldSimple w:instr=" STYLEREF 2 \s ">
              <w:r>
                <w:rPr>
                  <w:noProof/>
                </w:rPr>
                <w:t>14.6</w:t>
              </w:r>
            </w:fldSimple>
            <w:r>
              <w:t>.</w:t>
            </w:r>
            <w:fldSimple w:instr=" SEQ Exhibit \* ALPHABETIC \s 2 ">
              <w:r>
                <w:rPr>
                  <w:noProof/>
                </w:rPr>
                <w:t>C</w:t>
              </w:r>
            </w:fldSimple>
            <w:r>
              <w:t>: encoding a citation with an item number</w:t>
            </w:r>
          </w:p>
        </w:tc>
      </w:tr>
      <w:tr w14:paraId="131F829A" w14:textId="77777777">
        <w:tc>
          <w:tcPr>
            <w:tcW w:w="5000" w:type="pct"/>
          </w:tcPr>
          <w:p w14:paraId="5B2770CE" w14:textId="77777777">
            <w:pPr>
              <w:pStyle w:val="TableNote"/>
              <w:keepNext/>
            </w:pPr>
            <w:proofErr w:type="spellStart"/>
            <w:r>
              <w:t>Shastree</w:t>
            </w:r>
            <w:proofErr w:type="spellEnd"/>
            <w:r>
              <w:t xml:space="preserve"> 1844: № 1</w:t>
            </w:r>
          </w:p>
        </w:tc>
      </w:tr>
      <w:tr w14:paraId="0F0393E1" w14:textId="77777777">
        <w:tc>
          <w:tcPr>
            <w:tcW w:w="5000" w:type="pct"/>
          </w:tcPr>
          <w:p w14:paraId="3AE219C6"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w:t>
            </w:r>
            <w:r>
              <w:t xml:space="preserve"> </w:t>
            </w:r>
            <w:r>
              <w:rPr>
                <w:rStyle w:val="Codevalue"/>
              </w:rPr>
              <w:t>Shastree1844_01"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1</w:t>
            </w:r>
            <w:r>
              <w:rPr>
                <w:rStyle w:val="Code"/>
              </w:rPr>
              <w:t>&lt;/citedRange&gt;</w:t>
            </w:r>
            <w:r>
              <w:rPr>
                <w:rStyle w:val="Codetext"/>
              </w:rPr>
              <w:br/>
            </w:r>
            <w:r>
              <w:rPr>
                <w:rStyle w:val="Code"/>
              </w:rPr>
              <w:t>&lt;/bibl&gt;</w:t>
            </w:r>
          </w:p>
        </w:tc>
      </w:tr>
    </w:tbl>
    <w:p w14:paraId="7999749B" w14:textId="77777777">
      <w:pPr>
        <w:pStyle w:val="Cmsor4"/>
      </w:pPr>
      <w:bookmarkStart w:id="1001" w:name="_Ref233812153"/>
      <w:r>
        <w:t>Numeration style in bibliographic citations</w:t>
      </w:r>
      <w:bookmarkEnd w:id="1001"/>
    </w:p>
    <w:p w14:paraId="0F1B56CC" w14:textId="77777777">
      <w:r>
        <w:rPr>
          <w:lang w:eastAsia="en-US" w:bidi="ar-SA"/>
        </w:rPr>
        <w:t xml:space="preserve">For consistency and the convenience of the reader, we generally prefer numeration in Arabic numerals. </w:t>
      </w:r>
      <w:r>
        <w:t xml:space="preserve">As per ZG §4.6, we recommend that you convert any other numerals used in the publication to Arabic numerals unless this results in an ambiguity because Arabic and non-Arabic numerals are both used for the same kind of entity within the same publication. </w:t>
      </w:r>
    </w:p>
    <w:p w14:paraId="26DD8696" w14:textId="77777777">
      <w:pPr>
        <w:pStyle w:val="Lista"/>
      </w:pPr>
      <w:r>
        <w:t>this is strongly recommended for publications in a non-European language that do not use Arabic page numbers anywhere</w:t>
      </w:r>
    </w:p>
    <w:p w14:paraId="1B80DDFE" w14:textId="77777777">
      <w:pPr>
        <w:pStyle w:val="Lista2"/>
      </w:pPr>
      <w:r>
        <w:t>but if one part of the publication has Arabic page numbering and another part has a different numeration system, keep the numbers as they are in order to avoid ambiguity</w:t>
      </w:r>
    </w:p>
    <w:p w14:paraId="39D12746" w14:textId="77777777">
      <w:pPr>
        <w:pStyle w:val="Lista"/>
      </w:pPr>
      <w:r>
        <w:t>this is recommended, as far as deemed practicable, for units other than pages which are numerated in a non-Arabic system</w:t>
      </w:r>
    </w:p>
    <w:p w14:paraId="27DC85A4" w14:textId="77777777">
      <w:pPr>
        <w:pStyle w:val="Lista2"/>
      </w:pPr>
      <w:r>
        <w:t>for example if all appendices or all figures have Roman numeration, this can be converted to Arabic without any ambiguity</w:t>
      </w:r>
    </w:p>
    <w:p w14:paraId="51FFBCEB" w14:textId="77777777">
      <w:pPr>
        <w:pStyle w:val="Cmsor4"/>
      </w:pPr>
      <w:bookmarkStart w:id="1002" w:name="_Ref233811301"/>
      <w:bookmarkStart w:id="1003" w:name="_Ref233812949"/>
      <w:r>
        <w:lastRenderedPageBreak/>
        <w:t>Combining citation specifics</w:t>
      </w:r>
      <w:bookmarkEnd w:id="1002"/>
      <w:bookmarkEnd w:id="1003"/>
    </w:p>
    <w:p w14:paraId="5AFF6321" w14:textId="77777777">
      <w:pPr>
        <w:rPr>
          <w:lang w:eastAsia="en-US" w:bidi="ar-SA"/>
        </w:rPr>
      </w:pPr>
      <w:r>
        <w:rPr>
          <w:lang w:eastAsia="en-US" w:bidi="ar-SA"/>
        </w:rPr>
        <w:t xml:space="preserve">In order to increase accuracy, reduce ambiguity and facilitate looking up references, citations specified with reference to a unit other than page numbers may be complemented with other details, as illustrated in </w:t>
      </w:r>
      <w:r>
        <w:rPr>
          <w:lang w:eastAsia="en-US" w:bidi="ar-SA"/>
        </w:rPr>
        <w:fldChar w:fldCharType="begin"/>
      </w:r>
      <w:r>
        <w:rPr>
          <w:lang w:eastAsia="en-US" w:bidi="ar-SA"/>
        </w:rPr>
        <w:instrText xml:space="preserve"> REF _Ref233818239 \h </w:instrText>
      </w:r>
      <w:r>
        <w:rPr>
          <w:lang w:eastAsia="en-US" w:bidi="ar-SA"/>
        </w:rPr>
      </w:r>
      <w:r>
        <w:rPr>
          <w:lang w:eastAsia="en-US" w:bidi="ar-SA"/>
        </w:rPr>
        <w:fldChar w:fldCharType="separate"/>
      </w:r>
      <w:r>
        <w:t xml:space="preserve">Exhibit </w:t>
      </w:r>
      <w:r>
        <w:rPr>
          <w:noProof/>
        </w:rPr>
        <w:t>14.6</w:t>
      </w:r>
      <w:r>
        <w:t>.</w:t>
      </w:r>
      <w:r>
        <w:rPr>
          <w:noProof/>
        </w:rPr>
        <w:t>D</w:t>
      </w:r>
      <w:r>
        <w:rPr>
          <w:lang w:eastAsia="en-US" w:bidi="ar-SA"/>
        </w:rPr>
        <w:fldChar w:fldCharType="end"/>
      </w:r>
      <w:r>
        <w:rPr>
          <w:lang w:eastAsia="en-US" w:bidi="ar-SA"/>
        </w:rPr>
        <w:t xml:space="preserve"> and </w:t>
      </w:r>
      <w:r>
        <w:rPr>
          <w:lang w:eastAsia="en-US" w:bidi="ar-SA"/>
        </w:rPr>
        <w:fldChar w:fldCharType="begin"/>
      </w:r>
      <w:r>
        <w:rPr>
          <w:lang w:eastAsia="en-US" w:bidi="ar-SA"/>
        </w:rPr>
        <w:instrText xml:space="preserve"> REF _Ref233818240 \h </w:instrText>
      </w:r>
      <w:r>
        <w:rPr>
          <w:lang w:eastAsia="en-US" w:bidi="ar-SA"/>
        </w:rPr>
      </w:r>
      <w:r>
        <w:rPr>
          <w:lang w:eastAsia="en-US" w:bidi="ar-SA"/>
        </w:rPr>
        <w:fldChar w:fldCharType="separate"/>
      </w:r>
      <w:r>
        <w:t xml:space="preserve">Exhibit </w:t>
      </w:r>
      <w:r>
        <w:rPr>
          <w:noProof/>
        </w:rPr>
        <w:t>14.6</w:t>
      </w:r>
      <w:r>
        <w:t>.</w:t>
      </w:r>
      <w:r>
        <w:rPr>
          <w:noProof/>
        </w:rPr>
        <w:t>F</w:t>
      </w:r>
      <w:r>
        <w:rPr>
          <w:lang w:eastAsia="en-US" w:bidi="ar-SA"/>
        </w:rPr>
        <w:fldChar w:fldCharType="end"/>
      </w:r>
      <w:r>
        <w:rPr>
          <w:lang w:eastAsia="en-US" w:bidi="ar-SA"/>
        </w:rPr>
        <w:t>.</w:t>
      </w:r>
    </w:p>
    <w:p w14:paraId="128AC813" w14:textId="77777777">
      <w:pPr>
        <w:pStyle w:val="Lista"/>
      </w:pPr>
      <w:r>
        <w:t>this subsection applies only to cases where all of the specifications point to the same cited locus, e.g. “Figure 3 on page 26”</w:t>
      </w:r>
    </w:p>
    <w:p w14:paraId="712A47A2" w14:textId="77777777">
      <w:pPr>
        <w:pStyle w:val="Lista2"/>
      </w:pPr>
      <w:r>
        <w:t>references to several loci specified by different units (e.g. “Figure 3 and page 26”) can only be expressed through a freestyle citation (§</w:t>
      </w:r>
      <w:r>
        <w:fldChar w:fldCharType="begin"/>
      </w:r>
      <w:r>
        <w:instrText xml:space="preserve"> REF _Ref233811324 \r \h </w:instrText>
      </w:r>
      <w:r>
        <w:fldChar w:fldCharType="separate"/>
      </w:r>
      <w:r>
        <w:t>14.6.1.5</w:t>
      </w:r>
      <w:r>
        <w:fldChar w:fldCharType="end"/>
      </w:r>
      <w:r>
        <w:t>)</w:t>
      </w:r>
    </w:p>
    <w:p w14:paraId="7E0AFDAB" w14:textId="77777777">
      <w:pPr>
        <w:pStyle w:val="Lista"/>
      </w:pPr>
      <w:r>
        <w:t xml:space="preserve">to use more than one unit of reference for identifying a cited locus, create two or more </w:t>
      </w:r>
      <w:r>
        <w:rPr>
          <w:rStyle w:val="Code"/>
        </w:rPr>
        <w:t>&lt;citedRange&gt;</w:t>
      </w:r>
      <w:r>
        <w:t xml:space="preserve"> elements one after the other within your </w:t>
      </w:r>
      <w:r>
        <w:rPr>
          <w:rStyle w:val="Code"/>
        </w:rPr>
        <w:t>&lt;bibl&gt;</w:t>
      </w:r>
      <w:r>
        <w:t xml:space="preserve"> element</w:t>
      </w:r>
    </w:p>
    <w:p w14:paraId="06B29803" w14:textId="77777777">
      <w:pPr>
        <w:pStyle w:val="Lista2"/>
      </w:pPr>
      <w:r>
        <w:t xml:space="preserve">if one of these refers to page numbers, then (unlike the situation where you refer only to page numbers) this must be explicitly encoded by using </w:t>
      </w:r>
      <w:r>
        <w:rPr>
          <w:rStyle w:val="Codeattribute"/>
        </w:rPr>
        <w:t>@unit</w:t>
      </w:r>
      <w:r>
        <w:rPr>
          <w:rStyle w:val="Code"/>
        </w:rPr>
        <w:t>=</w:t>
      </w:r>
      <w:r>
        <w:rPr>
          <w:rStyle w:val="Codevalue"/>
        </w:rPr>
        <w:t>"page"</w:t>
      </w:r>
      <w:r>
        <w:t xml:space="preserve"> on the </w:t>
      </w:r>
      <w:r>
        <w:rPr>
          <w:rStyle w:val="Code"/>
        </w:rPr>
        <w:t>&lt;citedRange&gt;</w:t>
      </w:r>
      <w:r>
        <w:t xml:space="preserve"> element</w:t>
      </w:r>
    </w:p>
    <w:p w14:paraId="0C7E6D8E" w14:textId="77777777">
      <w:pPr>
        <w:pStyle w:val="Lista2"/>
      </w:pPr>
      <w:r>
        <w:t xml:space="preserve">the </w:t>
      </w:r>
      <w:r>
        <w:rPr>
          <w:rStyle w:val="Code"/>
        </w:rPr>
        <w:t>&lt;citedRange&gt;</w:t>
      </w:r>
      <w:r>
        <w:t xml:space="preserve"> elements must appear in the order in which they are eventually to be displayed</w:t>
      </w:r>
    </w:p>
    <w:p w14:paraId="693D987B" w14:textId="77777777">
      <w:pPr>
        <w:pStyle w:val="Lista3"/>
      </w:pPr>
      <w:r>
        <w:t>e.g. a volume number must precede a page number, and a page number must precede a note number</w:t>
      </w:r>
    </w:p>
    <w:p w14:paraId="7B0F93DA" w14:textId="77777777">
      <w:pPr>
        <w:pStyle w:val="Lista"/>
      </w:pPr>
      <w:r>
        <w:t xml:space="preserve">citation of items in the appendices of the </w:t>
      </w:r>
      <w:r>
        <w:rPr>
          <w:rStyle w:val="Foreign"/>
        </w:rPr>
        <w:t>Annual Report on Indian Epigraphy</w:t>
      </w:r>
      <w:r>
        <w:t xml:space="preserve"> should always involve the full specification illustrated in </w:t>
      </w:r>
      <w:r>
        <w:fldChar w:fldCharType="begin"/>
      </w:r>
      <w:r>
        <w:instrText xml:space="preserve"> REF _Ref44079042 \h </w:instrText>
      </w:r>
      <w:r>
        <w:fldChar w:fldCharType="separate"/>
      </w:r>
      <w:r>
        <w:t xml:space="preserve">Exhibit </w:t>
      </w:r>
      <w:r>
        <w:rPr>
          <w:noProof/>
        </w:rPr>
        <w:t>14.6</w:t>
      </w:r>
      <w:r>
        <w:t>.</w:t>
      </w:r>
      <w:r>
        <w:rPr>
          <w:noProof/>
        </w:rPr>
        <w:t>G</w:t>
      </w:r>
      <w:r>
        <w:fldChar w:fldCharType="end"/>
      </w:r>
      <w:r>
        <w:t xml:space="preserve"> and consisting of </w:t>
      </w:r>
    </w:p>
    <w:p w14:paraId="1FA804FD" w14:textId="77777777">
      <w:pPr>
        <w:pStyle w:val="Lista2"/>
      </w:pPr>
      <w:r>
        <w:t>the page number</w:t>
      </w:r>
    </w:p>
    <w:p w14:paraId="0BD41BE1" w14:textId="77777777">
      <w:pPr>
        <w:pStyle w:val="Lista2"/>
      </w:pPr>
      <w:r>
        <w:t xml:space="preserve">the identifier of the appendix including the year </w:t>
      </w:r>
      <w:r>
        <w:rPr>
          <w:noProof/>
        </w:rPr>
        <w:t>(</w:t>
      </w:r>
      <w:r>
        <w:t>or range of years written out in full), separated with a slash from the letter of the appendix</w:t>
      </w:r>
    </w:p>
    <w:p w14:paraId="668B334C" w14:textId="5E387396">
      <w:pPr>
        <w:pStyle w:val="Lista2"/>
      </w:pPr>
      <w:r>
        <w:t>the identifier of the item in the appendix</w:t>
      </w:r>
    </w:p>
    <w:tbl>
      <w:tblPr>
        <w:tblStyle w:val="CodeSampleTable"/>
        <w:tblW w:w="5000" w:type="pct"/>
        <w:tblLook w:val="04A0" w:firstRow="1" w:lastRow="0" w:firstColumn="1" w:lastColumn="0" w:noHBand="0" w:noVBand="1"/>
      </w:tblPr>
      <w:tblGrid>
        <w:gridCol w:w="9628"/>
      </w:tblGrid>
      <w:tr w14:paraId="614B1D2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53BC6ED" w14:textId="77777777">
            <w:pPr>
              <w:pStyle w:val="Kpalrs"/>
            </w:pPr>
            <w:bookmarkStart w:id="1004" w:name="_Ref233818239"/>
            <w:r>
              <w:t xml:space="preserve">Exhibit </w:t>
            </w:r>
            <w:fldSimple w:instr=" STYLEREF 2 \s ">
              <w:r>
                <w:rPr>
                  <w:noProof/>
                </w:rPr>
                <w:t>14.6</w:t>
              </w:r>
            </w:fldSimple>
            <w:r>
              <w:t>.</w:t>
            </w:r>
            <w:fldSimple w:instr=" SEQ Exhibit \* ALPHABETIC \s 2 ">
              <w:r>
                <w:rPr>
                  <w:noProof/>
                </w:rPr>
                <w:t>D</w:t>
              </w:r>
            </w:fldSimple>
            <w:bookmarkEnd w:id="1004"/>
            <w:r>
              <w:t>: encoding a citation with a page and a figure number</w:t>
            </w:r>
          </w:p>
        </w:tc>
      </w:tr>
      <w:tr w14:paraId="5D714089" w14:textId="77777777">
        <w:tc>
          <w:tcPr>
            <w:tcW w:w="5000" w:type="pct"/>
          </w:tcPr>
          <w:p w14:paraId="19AB5890" w14:textId="77777777">
            <w:pPr>
              <w:pStyle w:val="TableNote"/>
              <w:keepNext/>
            </w:pPr>
            <w:r>
              <w:t>Majumdar 1943: 23–28, fig. 12</w:t>
            </w:r>
          </w:p>
        </w:tc>
      </w:tr>
      <w:tr w14:paraId="284DE762" w14:textId="77777777">
        <w:tc>
          <w:tcPr>
            <w:tcW w:w="5000" w:type="pct"/>
          </w:tcPr>
          <w:p w14:paraId="5CC5B8C3"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23-28</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"figure"</w:t>
            </w:r>
            <w:r>
              <w:rPr>
                <w:rStyle w:val="Code"/>
              </w:rPr>
              <w:t>&gt;</w:t>
            </w:r>
            <w:r>
              <w:rPr>
                <w:rStyle w:val="Codetext"/>
              </w:rPr>
              <w:t>12</w:t>
            </w:r>
            <w:r>
              <w:rPr>
                <w:rStyle w:val="Code"/>
              </w:rPr>
              <w:t>&lt;/citedRange&gt;</w:t>
            </w:r>
            <w:r>
              <w:rPr>
                <w:rStyle w:val="Codetext"/>
              </w:rPr>
              <w:br/>
            </w:r>
            <w:r>
              <w:rPr>
                <w:rStyle w:val="Code"/>
              </w:rPr>
              <w:t>&lt;/bibl&gt;</w:t>
            </w:r>
          </w:p>
        </w:tc>
      </w:tr>
    </w:tbl>
    <w:p w14:paraId="4FB26C93" w14:textId="77777777"/>
    <w:tbl>
      <w:tblPr>
        <w:tblStyle w:val="CodeSampleTable"/>
        <w:tblW w:w="5000" w:type="pct"/>
        <w:tblLook w:val="04A0" w:firstRow="1" w:lastRow="0" w:firstColumn="1" w:lastColumn="0" w:noHBand="0" w:noVBand="1"/>
      </w:tblPr>
      <w:tblGrid>
        <w:gridCol w:w="9628"/>
      </w:tblGrid>
      <w:tr w14:paraId="0356F81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0AFC124E" w14:textId="77777777">
            <w:pPr>
              <w:pStyle w:val="Kpalrs"/>
            </w:pPr>
            <w:r>
              <w:t xml:space="preserve">Exhibit </w:t>
            </w:r>
            <w:fldSimple w:instr=" STYLEREF 2 \s ">
              <w:r>
                <w:rPr>
                  <w:noProof/>
                </w:rPr>
                <w:t>14.6</w:t>
              </w:r>
            </w:fldSimple>
            <w:r>
              <w:t>.</w:t>
            </w:r>
            <w:fldSimple w:instr=" SEQ Exhibit \* ALPHABETIC \s 2 ">
              <w:r>
                <w:rPr>
                  <w:noProof/>
                </w:rPr>
                <w:t>E</w:t>
              </w:r>
            </w:fldSimple>
            <w:r>
              <w:t>: encoding a citation with a volume and section number</w:t>
            </w:r>
          </w:p>
        </w:tc>
      </w:tr>
      <w:tr w14:paraId="24868036" w14:textId="77777777">
        <w:tc>
          <w:tcPr>
            <w:tcW w:w="5000" w:type="pct"/>
          </w:tcPr>
          <w:p w14:paraId="3A77E484" w14:textId="77777777">
            <w:pPr>
              <w:pStyle w:val="TableNote"/>
              <w:keepNext/>
            </w:pPr>
            <w:r>
              <w:t>Edgerton 1953, vol. 1: §§34-36</w:t>
            </w:r>
          </w:p>
        </w:tc>
      </w:tr>
      <w:tr w14:paraId="020E6711" w14:textId="77777777">
        <w:tc>
          <w:tcPr>
            <w:tcW w:w="5000" w:type="pct"/>
          </w:tcPr>
          <w:p w14:paraId="56F14C71"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"bib:Edgerton1953_01"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"volume"</w:t>
            </w:r>
            <w:r>
              <w:rPr>
                <w:rStyle w:val="Code"/>
              </w:rPr>
              <w:t>&gt;</w:t>
            </w:r>
            <w:r>
              <w:rPr>
                <w:rStyle w:val="Codetext"/>
              </w:rPr>
              <w:t>1</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"section"</w:t>
            </w:r>
            <w:r>
              <w:rPr>
                <w:rStyle w:val="Code"/>
              </w:rPr>
              <w:t>&gt;</w:t>
            </w:r>
            <w:r>
              <w:rPr>
                <w:rStyle w:val="Codetext"/>
              </w:rPr>
              <w:t>34-36</w:t>
            </w:r>
            <w:r>
              <w:rPr>
                <w:rStyle w:val="Code"/>
              </w:rPr>
              <w:t>&lt;/citedRange&gt;</w:t>
            </w:r>
            <w:r>
              <w:rPr>
                <w:rStyle w:val="Codetext"/>
              </w:rPr>
              <w:br/>
            </w:r>
            <w:r>
              <w:rPr>
                <w:rStyle w:val="Code"/>
              </w:rPr>
              <w:t>&lt;/bibl&gt;</w:t>
            </w:r>
          </w:p>
        </w:tc>
      </w:tr>
    </w:tbl>
    <w:p w14:paraId="7D94ACBF" w14:textId="77777777"/>
    <w:tbl>
      <w:tblPr>
        <w:tblStyle w:val="CodeSampleTable"/>
        <w:tblW w:w="5000" w:type="pct"/>
        <w:tblLook w:val="04A0" w:firstRow="1" w:lastRow="0" w:firstColumn="1" w:lastColumn="0" w:noHBand="0" w:noVBand="1"/>
      </w:tblPr>
      <w:tblGrid>
        <w:gridCol w:w="9628"/>
      </w:tblGrid>
      <w:tr w14:paraId="56D8810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BB416B8" w14:textId="77777777">
            <w:pPr>
              <w:pStyle w:val="Kpalrs"/>
            </w:pPr>
            <w:bookmarkStart w:id="1005" w:name="_Ref233818240"/>
            <w:r>
              <w:t xml:space="preserve">Exhibit </w:t>
            </w:r>
            <w:fldSimple w:instr=" STYLEREF 2 \s ">
              <w:r>
                <w:rPr>
                  <w:noProof/>
                </w:rPr>
                <w:t>14.6</w:t>
              </w:r>
            </w:fldSimple>
            <w:r>
              <w:t>.</w:t>
            </w:r>
            <w:fldSimple w:instr=" SEQ Exhibit \* ALPHABETIC \s 2 ">
              <w:r>
                <w:rPr>
                  <w:noProof/>
                </w:rPr>
                <w:t>F</w:t>
              </w:r>
            </w:fldSimple>
            <w:bookmarkEnd w:id="1005"/>
            <w:r>
              <w:t>: encoding a citation with a volume and page number</w:t>
            </w:r>
          </w:p>
        </w:tc>
      </w:tr>
      <w:tr w14:paraId="2E0BC6B2" w14:textId="77777777">
        <w:tc>
          <w:tcPr>
            <w:tcW w:w="5000" w:type="pct"/>
          </w:tcPr>
          <w:p w14:paraId="4ADA26B5" w14:textId="77777777">
            <w:pPr>
              <w:pStyle w:val="TableNote"/>
              <w:keepNext/>
            </w:pPr>
            <w:r>
              <w:t>Majumdar 1943, vol. 1: 23–28</w:t>
            </w:r>
          </w:p>
        </w:tc>
      </w:tr>
      <w:tr w14:paraId="668A8487" w14:textId="77777777">
        <w:tc>
          <w:tcPr>
            <w:tcW w:w="5000" w:type="pct"/>
          </w:tcPr>
          <w:p w14:paraId="14D26572" w14:textId="77777777">
            <w:pPr>
              <w:pStyle w:val="CodeParagraph"/>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"volume"</w:t>
            </w:r>
            <w:r>
              <w:rPr>
                <w:rStyle w:val="Code"/>
              </w:rPr>
              <w:t>&gt;</w:t>
            </w:r>
            <w:r>
              <w:rPr>
                <w:rStyle w:val="Codetext"/>
              </w:rPr>
              <w:t>1</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23-28</w:t>
            </w:r>
            <w:r>
              <w:rPr>
                <w:rStyle w:val="Code"/>
              </w:rPr>
              <w:t>&lt;/citedRange&gt;</w:t>
            </w:r>
            <w:r>
              <w:rPr>
                <w:rStyle w:val="Codetext"/>
              </w:rPr>
              <w:br/>
            </w:r>
            <w:r>
              <w:rPr>
                <w:rStyle w:val="Code"/>
              </w:rPr>
              <w:t>&lt;/bibl&gt;</w:t>
            </w:r>
          </w:p>
        </w:tc>
      </w:tr>
    </w:tbl>
    <w:p w14:paraId="6B0B1F22" w14:textId="77777777"/>
    <w:tbl>
      <w:tblPr>
        <w:tblStyle w:val="CodeSampleTable"/>
        <w:tblW w:w="5000" w:type="pct"/>
        <w:tblLook w:val="04A0" w:firstRow="1" w:lastRow="0" w:firstColumn="1" w:lastColumn="0" w:noHBand="0" w:noVBand="1"/>
      </w:tblPr>
      <w:tblGrid>
        <w:gridCol w:w="9628"/>
      </w:tblGrid>
      <w:tr w14:paraId="015C39ED"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4B6515E" w14:textId="77777777">
            <w:pPr>
              <w:pStyle w:val="Kpalrs"/>
            </w:pPr>
            <w:bookmarkStart w:id="1006" w:name="_Ref44079042"/>
            <w:r>
              <w:t xml:space="preserve">Exhibit </w:t>
            </w:r>
            <w:fldSimple w:instr=" STYLEREF 2 \s ">
              <w:r>
                <w:rPr>
                  <w:noProof/>
                </w:rPr>
                <w:t>14.6</w:t>
              </w:r>
            </w:fldSimple>
            <w:r>
              <w:t>.</w:t>
            </w:r>
            <w:fldSimple w:instr=" SEQ Exhibit \* ALPHABETIC \s 2 ">
              <w:r>
                <w:rPr>
                  <w:noProof/>
                </w:rPr>
                <w:t>G</w:t>
              </w:r>
            </w:fldSimple>
            <w:bookmarkEnd w:id="1006"/>
            <w:r>
              <w:t>: encoding a citation of the Annual Report on Indian Epigraphy</w:t>
            </w:r>
          </w:p>
        </w:tc>
      </w:tr>
      <w:tr w14:paraId="5109C3B0" w14:textId="77777777">
        <w:tc>
          <w:tcPr>
            <w:tcW w:w="5000" w:type="pct"/>
          </w:tcPr>
          <w:p w14:paraId="4A26E41B" w14:textId="77777777">
            <w:pPr>
              <w:pStyle w:val="TableNote"/>
              <w:keepNext/>
            </w:pPr>
            <w:r>
              <w:t>ARIE 1962–63, p. 157, appendix C/1945–1946, № 1</w:t>
            </w:r>
          </w:p>
        </w:tc>
      </w:tr>
      <w:tr w14:paraId="1FF417C6" w14:textId="77777777">
        <w:tc>
          <w:tcPr>
            <w:tcW w:w="5000" w:type="pct"/>
          </w:tcPr>
          <w:p w14:paraId="7EA5211B" w14:textId="77777777">
            <w:pPr>
              <w:pStyle w:val="CodeParagraph"/>
              <w:keepNext/>
              <w:spacing w:line="240" w:lineRule="auto"/>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"bib:ARIE1962-1963"</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"page"</w:t>
            </w:r>
            <w:r>
              <w:rPr>
                <w:rStyle w:val="Code"/>
              </w:rPr>
              <w:t>&gt;</w:t>
            </w:r>
            <w:r>
              <w:rPr>
                <w:rStyle w:val="Codetext"/>
              </w:rPr>
              <w:t>157</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"appendix"</w:t>
            </w:r>
            <w:r>
              <w:rPr>
                <w:rStyle w:val="Code"/>
              </w:rPr>
              <w:t>&gt;</w:t>
            </w:r>
            <w:r>
              <w:rPr>
                <w:rStyle w:val="Codetext"/>
              </w:rPr>
              <w:t>C/1945-1946</w:t>
            </w:r>
            <w:r>
              <w:rPr>
                <w:rStyle w:val="Code"/>
              </w:rPr>
              <w:t>&lt;/citedRange&gt;</w:t>
            </w:r>
            <w:r>
              <w:rPr>
                <w:rStyle w:val="Codetext"/>
              </w:rPr>
              <w:br/>
              <w:t xml:space="preserve">  </w:t>
            </w:r>
            <w:r>
              <w:rPr>
                <w:rStyle w:val="Code"/>
              </w:rPr>
              <w:t xml:space="preserve">&lt;citedRange </w:t>
            </w:r>
            <w:r>
              <w:rPr>
                <w:rStyle w:val="Codeattribute"/>
              </w:rPr>
              <w:t>unit</w:t>
            </w:r>
            <w:r>
              <w:rPr>
                <w:rStyle w:val="Code"/>
              </w:rPr>
              <w:t>=</w:t>
            </w:r>
            <w:r>
              <w:rPr>
                <w:rStyle w:val="Codevalue"/>
              </w:rPr>
              <w:t>"item"</w:t>
            </w:r>
            <w:r>
              <w:rPr>
                <w:rStyle w:val="Code"/>
              </w:rPr>
              <w:t>&gt;</w:t>
            </w:r>
            <w:r>
              <w:rPr>
                <w:rStyle w:val="Codetext"/>
              </w:rPr>
              <w:t>1</w:t>
            </w:r>
            <w:r>
              <w:rPr>
                <w:rStyle w:val="Code"/>
              </w:rPr>
              <w:t>&lt;/citedRange&gt;</w:t>
            </w:r>
            <w:r>
              <w:rPr>
                <w:rStyle w:val="Codetext"/>
              </w:rPr>
              <w:br/>
            </w:r>
            <w:r>
              <w:rPr>
                <w:rStyle w:val="Code"/>
              </w:rPr>
              <w:t>&lt;/bibl&gt;</w:t>
            </w:r>
          </w:p>
        </w:tc>
      </w:tr>
    </w:tbl>
    <w:p w14:paraId="7240D048" w14:textId="77777777"/>
    <w:p w14:paraId="3B8353B1" w14:textId="77777777">
      <w:pPr>
        <w:pStyle w:val="Cmsor4"/>
      </w:pPr>
      <w:bookmarkStart w:id="1007" w:name="_Ref233811324"/>
      <w:r>
        <w:lastRenderedPageBreak/>
        <w:t>Freestyle specification</w:t>
      </w:r>
      <w:bookmarkEnd w:id="1007"/>
    </w:p>
    <w:p w14:paraId="382E78C1" w14:textId="77777777">
      <w:r>
        <w:rPr>
          <w:lang w:eastAsia="en-US" w:bidi="ar-SA"/>
        </w:rPr>
        <w:t xml:space="preserve">It is sometimes desirable for a single citation to refer to several points in a publication where the points are identified by different units or different combinations of units </w:t>
      </w:r>
      <w:r>
        <w:t>(e.g. “notes 9 and 10 on page 291 and the body text on page 320”, “page 15 and appendix A”,  or “pages 216–217 of Part I and Plate XI in Part II”). Encoding such citations rigorously would be greatly complicated with no tangible return as regards machine actionability, therefore we permit the “freestyle” specification of citations.</w:t>
      </w:r>
    </w:p>
    <w:p w14:paraId="69DB5A94" w14:textId="77777777">
      <w:pPr>
        <w:pStyle w:val="Lista"/>
      </w:pPr>
      <w:r>
        <w:t xml:space="preserve">to encode a freestyle specification, use </w:t>
      </w:r>
      <w:r>
        <w:rPr>
          <w:rStyle w:val="Code"/>
        </w:rPr>
        <w:t>&lt;citedRange&gt;</w:t>
      </w:r>
      <w:r>
        <w:t xml:space="preserve"> with </w:t>
      </w:r>
      <w:r>
        <w:rPr>
          <w:rStyle w:val="Codeattribute"/>
        </w:rPr>
        <w:t>@unit</w:t>
      </w:r>
      <w:r>
        <w:rPr>
          <w:rStyle w:val="Code"/>
        </w:rPr>
        <w:t>=</w:t>
      </w:r>
      <w:r>
        <w:rPr>
          <w:rStyle w:val="Codevalue"/>
        </w:rPr>
        <w:t>"mixed"</w:t>
      </w:r>
      <w:r>
        <w:t xml:space="preserve"> </w:t>
      </w:r>
    </w:p>
    <w:p w14:paraId="1F2ED122" w14:textId="77777777">
      <w:pPr>
        <w:pStyle w:val="Lista"/>
      </w:pPr>
      <w:r>
        <w:t>the contents of this element shall be a human-readable, non-rigorous but unambiguous conventional indication of the target of your citation, such as</w:t>
      </w:r>
    </w:p>
    <w:p w14:paraId="6219D85F" w14:textId="77777777">
      <w:pPr>
        <w:pStyle w:val="Lista3"/>
      </w:pPr>
      <w:r>
        <w:rPr>
          <w:rStyle w:val="Codetext"/>
        </w:rPr>
        <w:t>p. 291 nn. 9, 10; p. 320</w:t>
      </w:r>
      <w:r>
        <w:t xml:space="preserve"> </w:t>
      </w:r>
    </w:p>
    <w:p w14:paraId="148E983F" w14:textId="77777777">
      <w:pPr>
        <w:pStyle w:val="Lista3"/>
      </w:pPr>
      <w:r>
        <w:rPr>
          <w:rStyle w:val="Codetext"/>
        </w:rPr>
        <w:t>p. 15, App. A</w:t>
      </w:r>
      <w:r>
        <w:t xml:space="preserve"> </w:t>
      </w:r>
    </w:p>
    <w:p w14:paraId="3D73534C" w14:textId="77777777">
      <w:pPr>
        <w:pStyle w:val="Lista3"/>
      </w:pPr>
      <w:r>
        <w:rPr>
          <w:rStyle w:val="Codetext"/>
        </w:rPr>
        <w:t>part I, pp. 216–217; part II, pl. XI</w:t>
      </w:r>
    </w:p>
    <w:p w14:paraId="5BB3AE1F" w14:textId="61BE3EF6">
      <w:pPr>
        <w:pStyle w:val="Lista2"/>
      </w:pPr>
      <w:r>
        <w:t xml:space="preserve">see </w:t>
      </w:r>
      <w:r>
        <w:fldChar w:fldCharType="begin"/>
      </w:r>
      <w:r>
        <w:instrText xml:space="preserve"> REF _Ref233819299 \h </w:instrText>
      </w:r>
      <w:r>
        <w:fldChar w:fldCharType="separate"/>
      </w:r>
      <w:r>
        <w:t xml:space="preserve">Exhibit </w:t>
      </w:r>
      <w:r>
        <w:rPr>
          <w:noProof/>
        </w:rPr>
        <w:t>14.6</w:t>
      </w:r>
      <w:r>
        <w:t>.</w:t>
      </w:r>
      <w:r>
        <w:rPr>
          <w:noProof/>
        </w:rPr>
        <w:t>H</w:t>
      </w:r>
      <w:r>
        <w:fldChar w:fldCharType="end"/>
      </w:r>
      <w:r>
        <w:t xml:space="preserve"> for an illustration</w:t>
      </w:r>
    </w:p>
    <w:tbl>
      <w:tblPr>
        <w:tblStyle w:val="CodeSampleTable"/>
        <w:tblW w:w="5000" w:type="pct"/>
        <w:tblLook w:val="04A0" w:firstRow="1" w:lastRow="0" w:firstColumn="1" w:lastColumn="0" w:noHBand="0" w:noVBand="1"/>
      </w:tblPr>
      <w:tblGrid>
        <w:gridCol w:w="9628"/>
      </w:tblGrid>
      <w:tr w14:paraId="05C655FB"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72BC8E2" w14:textId="77777777">
            <w:pPr>
              <w:pStyle w:val="Kpalrs"/>
            </w:pPr>
            <w:bookmarkStart w:id="1008" w:name="_Ref233819299"/>
            <w:r>
              <w:t xml:space="preserve">Exhibit </w:t>
            </w:r>
            <w:fldSimple w:instr=" STYLEREF 2 \s ">
              <w:r>
                <w:rPr>
                  <w:noProof/>
                </w:rPr>
                <w:t>14.6</w:t>
              </w:r>
            </w:fldSimple>
            <w:r>
              <w:t>.</w:t>
            </w:r>
            <w:fldSimple w:instr=" SEQ Exhibit \* ALPHABETIC \s 2 ">
              <w:r>
                <w:rPr>
                  <w:noProof/>
                </w:rPr>
                <w:t>H</w:t>
              </w:r>
            </w:fldSimple>
            <w:bookmarkEnd w:id="1008"/>
            <w:r>
              <w:t>: encoding a freestyle citation</w:t>
            </w:r>
          </w:p>
        </w:tc>
      </w:tr>
      <w:tr w14:paraId="52A4CAA3" w14:textId="77777777">
        <w:tc>
          <w:tcPr>
            <w:tcW w:w="5000" w:type="pct"/>
          </w:tcPr>
          <w:p w14:paraId="24DD236D" w14:textId="77777777">
            <w:pPr>
              <w:pStyle w:val="TableNote"/>
              <w:keepNext/>
            </w:pPr>
            <w:r>
              <w:t>ARIE 1938–39, p. 38, Appendix B/1938-1939, № 271; p. 91, §59</w:t>
            </w:r>
          </w:p>
        </w:tc>
      </w:tr>
      <w:tr w14:paraId="44F2B560" w14:textId="77777777">
        <w:tc>
          <w:tcPr>
            <w:tcW w:w="5000" w:type="pct"/>
          </w:tcPr>
          <w:p w14:paraId="16FEB858" w14:textId="77777777">
            <w:pPr>
              <w:pStyle w:val="CodeParagraph"/>
              <w:keepNext/>
              <w:spacing w:line="240" w:lineRule="auto"/>
              <w:rPr>
                <w:rStyle w:val="Code"/>
              </w:rPr>
            </w:pPr>
            <w:r>
              <w:rPr>
                <w:rStyle w:val="Code"/>
              </w:rPr>
              <w:t>&lt;bibl&gt;</w:t>
            </w:r>
            <w:r>
              <w:rPr>
                <w:rStyle w:val="Codetext"/>
              </w:rPr>
              <w:br/>
              <w:t xml:space="preserve">  </w:t>
            </w:r>
            <w:r>
              <w:rPr>
                <w:rStyle w:val="Code"/>
              </w:rPr>
              <w:t xml:space="preserve">&lt;ptr </w:t>
            </w:r>
            <w:r>
              <w:rPr>
                <w:rStyle w:val="Codeattribute"/>
              </w:rPr>
              <w:t>target</w:t>
            </w:r>
            <w:r>
              <w:rPr>
                <w:rStyle w:val="Code"/>
              </w:rPr>
              <w:t>=</w:t>
            </w:r>
            <w:r>
              <w:rPr>
                <w:rStyle w:val="Codevalue"/>
              </w:rPr>
              <w:t>"bib:ARIE1938-1939"</w:t>
            </w:r>
            <w:r>
              <w:rPr>
                <w:rStyle w:val="Code"/>
              </w:rPr>
              <w:t>/&gt;</w:t>
            </w:r>
            <w:r>
              <w:rPr>
                <w:rStyle w:val="Codetext"/>
              </w:rPr>
              <w:br/>
              <w:t xml:space="preserve">  </w:t>
            </w:r>
            <w:r>
              <w:rPr>
                <w:rStyle w:val="Code"/>
              </w:rPr>
              <w:t xml:space="preserve">&lt;citedRange </w:t>
            </w:r>
            <w:r>
              <w:rPr>
                <w:rStyle w:val="Codeattribute"/>
              </w:rPr>
              <w:t>unit</w:t>
            </w:r>
            <w:r>
              <w:rPr>
                <w:rStyle w:val="Code"/>
              </w:rPr>
              <w:t>=</w:t>
            </w:r>
            <w:r>
              <w:rPr>
                <w:rStyle w:val="Codevalue"/>
              </w:rPr>
              <w:t>"mixed"</w:t>
            </w:r>
            <w:r>
              <w:rPr>
                <w:rStyle w:val="Code"/>
              </w:rPr>
              <w:t>&gt;</w:t>
            </w:r>
            <w:r>
              <w:t xml:space="preserve"> </w:t>
            </w:r>
            <w:r>
              <w:rPr>
                <w:rStyle w:val="Codetext"/>
              </w:rPr>
              <w:t>p. 38, Appendix B/1938-1939, No. 271; p. 91, §59</w:t>
            </w:r>
            <w:r>
              <w:rPr>
                <w:rStyle w:val="Code"/>
              </w:rPr>
              <w:t>&lt;/citedRange&gt;</w:t>
            </w:r>
            <w:r>
              <w:rPr>
                <w:rStyle w:val="Codetext"/>
              </w:rPr>
              <w:br/>
            </w:r>
            <w:r>
              <w:rPr>
                <w:rStyle w:val="Code"/>
              </w:rPr>
              <w:t>&lt;/bibl&gt;</w:t>
            </w:r>
          </w:p>
        </w:tc>
      </w:tr>
    </w:tbl>
    <w:p w14:paraId="5C93623D" w14:textId="77777777">
      <w:pPr>
        <w:pStyle w:val="Cmsor4"/>
      </w:pPr>
      <w:bookmarkStart w:id="1009" w:name="_Ref233818238"/>
      <w:r>
        <w:t>Managing the appearance of displayed citations</w:t>
      </w:r>
      <w:bookmarkEnd w:id="1009"/>
    </w:p>
    <w:p w14:paraId="1D2C9468" w14:textId="77777777">
      <w:r>
        <w:t>In the DHARMA environment, encoded citations will be displayed as an author-date citation (except for specific publications for which our Zotero database specifies a display shorthand such as ARIE, cf. ZG §4.15). When encoding a citation in text (i.e. outside the structured bibliographies), the following considerations apply to the integration of the citation with the surrounding text.</w:t>
      </w:r>
    </w:p>
    <w:p w14:paraId="52460FE1" w14:textId="77777777">
      <w:pPr>
        <w:pStyle w:val="Lista"/>
      </w:pPr>
      <w:r>
        <w:t>the specifics of a citation (page numbers and/or other units) will be automatically shown as conventional human-readable notation</w:t>
      </w:r>
    </w:p>
    <w:p w14:paraId="64DC0A1F" w14:textId="77777777">
      <w:pPr>
        <w:pStyle w:val="Lista2"/>
      </w:pPr>
      <w:r>
        <w:t xml:space="preserve">when a range or list of page numbers or other specifications is encoded in </w:t>
      </w:r>
      <w:r>
        <w:rPr>
          <w:rStyle w:val="Code"/>
        </w:rPr>
        <w:t>&lt;citedRange&gt;</w:t>
      </w:r>
      <w:r>
        <w:t xml:space="preserve">, the notation will be automatically changed to the corresponding plural (e.g. </w:t>
      </w:r>
      <w:r>
        <w:rPr>
          <w:rStyle w:val="Foreign"/>
        </w:rPr>
        <w:t>pp.</w:t>
      </w:r>
      <w:r>
        <w:t xml:space="preserve"> for pages, </w:t>
      </w:r>
      <w:r>
        <w:rPr>
          <w:rStyle w:val="Foreign"/>
        </w:rPr>
        <w:t>§§</w:t>
      </w:r>
      <w:r>
        <w:t xml:space="preserve"> for sections, etc.)</w:t>
      </w:r>
    </w:p>
    <w:p w14:paraId="687D29DD" w14:textId="77777777">
      <w:pPr>
        <w:pStyle w:val="Lista2"/>
      </w:pPr>
      <w:r>
        <w:t>this automatic conversion may occasionally miss items that should be displayed in the plural or produce false positives and display a plural where a singular is desired</w:t>
      </w:r>
    </w:p>
    <w:p w14:paraId="24BC04FD" w14:textId="77777777">
      <w:pPr>
        <w:pStyle w:val="Lista3"/>
      </w:pPr>
      <w:r>
        <w:t>this should not be detrimental to the interpretability of our citations, but if the appearance bothers you after seeing the display transformation of your work, feel free to encode a freestyle reference (§</w:t>
      </w:r>
      <w:r>
        <w:fldChar w:fldCharType="begin"/>
      </w:r>
      <w:r>
        <w:instrText xml:space="preserve"> REF _Ref233811324 \r \h </w:instrText>
      </w:r>
      <w:r>
        <w:fldChar w:fldCharType="separate"/>
      </w:r>
      <w:r>
        <w:t>14.6.1.5</w:t>
      </w:r>
      <w:r>
        <w:fldChar w:fldCharType="end"/>
      </w:r>
      <w:r>
        <w:t>) instead</w:t>
      </w:r>
    </w:p>
    <w:p w14:paraId="5C18217E" w14:textId="77777777">
      <w:pPr>
        <w:pStyle w:val="Lista3"/>
      </w:pPr>
      <w:r>
        <w:t xml:space="preserve">automatic plural display is not generated for </w:t>
      </w:r>
      <w:r>
        <w:rPr>
          <w:rStyle w:val="Codeattribute"/>
        </w:rPr>
        <w:t>@unit=</w:t>
      </w:r>
      <w:r>
        <w:rPr>
          <w:rStyle w:val="Codevalue"/>
        </w:rPr>
        <w:t>"appendix"</w:t>
      </w:r>
      <w:r>
        <w:t>, because one rarely cites more than one appendix simultaneously, whereas some of the appendices we commonly refer to (particularly, ARIE appendices whose numbering contains a year range) would be misinterpreted by the algorithm as multiple values</w:t>
      </w:r>
    </w:p>
    <w:p w14:paraId="24C9D8D5" w14:textId="77777777">
      <w:pPr>
        <w:pStyle w:val="Lista"/>
      </w:pPr>
      <w:r>
        <w:t>parentheses will not be automatically produced around citations</w:t>
      </w:r>
    </w:p>
    <w:p w14:paraId="6E903918" w14:textId="77777777">
      <w:pPr>
        <w:pStyle w:val="Lista2"/>
      </w:pPr>
      <w:r>
        <w:t xml:space="preserve">to show a bibliographic citation in parentheses, you must add the parentheses around the </w:t>
      </w:r>
      <w:r>
        <w:rPr>
          <w:rStyle w:val="Code"/>
        </w:rPr>
        <w:t>&lt;bibl&gt;</w:t>
      </w:r>
      <w:r>
        <w:t xml:space="preserve"> element</w:t>
      </w:r>
    </w:p>
    <w:p w14:paraId="2DEB4621" w14:textId="77777777">
      <w:pPr>
        <w:pStyle w:val="Lista"/>
      </w:pPr>
      <w:r>
        <w:t>the name of the author(s) will always be shown (unless suppressed through a display shorthand in the Zotero record, ZG §4.15)</w:t>
      </w:r>
    </w:p>
    <w:p w14:paraId="35EE35EF" w14:textId="77777777">
      <w:pPr>
        <w:pStyle w:val="Lista2"/>
      </w:pPr>
      <w:r>
        <w:t>when the author name is an integral part of your text and you want only the year of publication and any applicable specifications shown in parentheses, proceed as follows</w:t>
      </w:r>
    </w:p>
    <w:p w14:paraId="0E97D26A" w14:textId="77777777">
      <w:pPr>
        <w:pStyle w:val="Lista3"/>
      </w:pPr>
      <w:r>
        <w:t>write the author name at the place and in the form you want it</w:t>
      </w:r>
    </w:p>
    <w:p w14:paraId="716FF603" w14:textId="77777777">
      <w:pPr>
        <w:pStyle w:val="Lista3"/>
      </w:pPr>
      <w:r>
        <w:t xml:space="preserve">enter the parentheses around the </w:t>
      </w:r>
      <w:r>
        <w:rPr>
          <w:rStyle w:val="Code"/>
        </w:rPr>
        <w:t>&lt;bibl&gt;</w:t>
      </w:r>
      <w:r>
        <w:t xml:space="preserve"> element</w:t>
      </w:r>
    </w:p>
    <w:p w14:paraId="6F3DB232" w14:textId="77777777">
      <w:pPr>
        <w:pStyle w:val="Lista3"/>
      </w:pPr>
      <w:r>
        <w:t xml:space="preserve">add the attribute </w:t>
      </w:r>
      <w:r>
        <w:rPr>
          <w:rStyle w:val="Codeattribute"/>
        </w:rPr>
        <w:t>@rend</w:t>
      </w:r>
      <w:r>
        <w:t xml:space="preserve"> with the value </w:t>
      </w:r>
      <w:r>
        <w:rPr>
          <w:rStyle w:val="Codevalue"/>
        </w:rPr>
        <w:t>"omitname"</w:t>
      </w:r>
      <w:r>
        <w:t xml:space="preserve"> to the </w:t>
      </w:r>
      <w:r>
        <w:rPr>
          <w:rStyle w:val="Code"/>
        </w:rPr>
        <w:t>&lt;bibl&gt;</w:t>
      </w:r>
      <w:r>
        <w:t xml:space="preserve"> element to suppress the automatic display of the author name</w:t>
      </w:r>
    </w:p>
    <w:p w14:paraId="2CEA1197" w14:textId="77777777">
      <w:pPr>
        <w:pStyle w:val="Lista3"/>
      </w:pPr>
      <w:r>
        <w:t xml:space="preserve">see </w:t>
      </w:r>
      <w:r>
        <w:fldChar w:fldCharType="begin"/>
      </w:r>
      <w:r>
        <w:instrText xml:space="preserve"> REF _Ref44079069 \h  \* MERGEFORMAT </w:instrText>
      </w:r>
      <w:r>
        <w:fldChar w:fldCharType="separate"/>
      </w:r>
      <w:r>
        <w:t xml:space="preserve">Exhibit </w:t>
      </w:r>
      <w:r>
        <w:rPr>
          <w:noProof/>
        </w:rPr>
        <w:t>14.6.I</w:t>
      </w:r>
      <w:r>
        <w:fldChar w:fldCharType="end"/>
      </w:r>
      <w:r>
        <w:t xml:space="preserve"> below for an illustration</w:t>
      </w:r>
    </w:p>
    <w:p w14:paraId="2AB19736" w14:textId="77777777">
      <w:pPr>
        <w:pStyle w:val="Lista"/>
      </w:pPr>
      <w:r>
        <w:lastRenderedPageBreak/>
        <w:t>if you wish to show “ibid.” instead of the name of the author</w:t>
      </w:r>
      <w:r>
        <w:rPr>
          <w:noProof/>
        </w:rPr>
        <w:t>(</w:t>
      </w:r>
      <w:r>
        <w:t>s):</w:t>
      </w:r>
    </w:p>
    <w:p w14:paraId="7A02C5C9" w14:textId="77777777">
      <w:pPr>
        <w:pStyle w:val="Lista2"/>
      </w:pPr>
      <w:r>
        <w:t xml:space="preserve">add the attribute </w:t>
      </w:r>
      <w:r>
        <w:rPr>
          <w:rStyle w:val="Codeattribute"/>
        </w:rPr>
        <w:t>@rend</w:t>
      </w:r>
      <w:r>
        <w:t xml:space="preserve"> with the value </w:t>
      </w:r>
      <w:r>
        <w:rPr>
          <w:rStyle w:val="Codevalue"/>
        </w:rPr>
        <w:t>"ibid"</w:t>
      </w:r>
      <w:r>
        <w:t xml:space="preserve"> to the </w:t>
      </w:r>
      <w:r>
        <w:rPr>
          <w:rStyle w:val="Code"/>
        </w:rPr>
        <w:t>&lt;bibl&gt;</w:t>
      </w:r>
      <w:r>
        <w:t xml:space="preserve"> element, which will display “ibid.” instead of the name</w:t>
      </w:r>
    </w:p>
    <w:p w14:paraId="576AA1AF" w14:textId="77777777">
      <w:pPr>
        <w:pStyle w:val="Lista2"/>
      </w:pPr>
      <w:r>
        <w:t>this encoding may be used</w:t>
      </w:r>
    </w:p>
    <w:p w14:paraId="30C9A58B" w14:textId="77777777">
      <w:pPr>
        <w:pStyle w:val="Lista3"/>
      </w:pPr>
      <w:r>
        <w:t>with a page reference to refer to another part of a publication cited immediately before</w:t>
      </w:r>
    </w:p>
    <w:p w14:paraId="42E09FB6" w14:textId="77777777">
      <w:pPr>
        <w:pStyle w:val="Lista3"/>
      </w:pPr>
      <w:r>
        <w:t>without a page reference to refer to the same locus as that cited immediately before</w:t>
      </w:r>
    </w:p>
    <w:p w14:paraId="3E5BD745" w14:textId="77777777">
      <w:pPr>
        <w:pStyle w:val="Lista2"/>
      </w:pPr>
      <w:r>
        <w:t>as above, parentheses will not be automatically added and will have to be created by you if you need them</w:t>
      </w:r>
    </w:p>
    <w:p w14:paraId="0D6B194C" w14:textId="3905BC8C">
      <w:pPr>
        <w:pStyle w:val="Lista2"/>
      </w:pPr>
      <w:r>
        <w:t xml:space="preserve">see </w:t>
      </w:r>
      <w:r>
        <w:fldChar w:fldCharType="begin"/>
      </w:r>
      <w:r>
        <w:instrText xml:space="preserve"> REF _Ref44079082 \h  \* MERGEFORMAT </w:instrText>
      </w:r>
      <w:r>
        <w:fldChar w:fldCharType="separate"/>
      </w:r>
      <w:r>
        <w:t xml:space="preserve">Exhibit </w:t>
      </w:r>
      <w:r>
        <w:rPr>
          <w:noProof/>
        </w:rPr>
        <w:t>14.6.J</w:t>
      </w:r>
      <w:r>
        <w:fldChar w:fldCharType="end"/>
      </w:r>
      <w:r>
        <w:t xml:space="preserve"> below for an illustration</w:t>
      </w:r>
    </w:p>
    <w:tbl>
      <w:tblPr>
        <w:tblStyle w:val="CodeSampleTable"/>
        <w:tblW w:w="5000" w:type="pct"/>
        <w:tblLook w:val="04A0" w:firstRow="1" w:lastRow="0" w:firstColumn="1" w:lastColumn="0" w:noHBand="0" w:noVBand="1"/>
      </w:tblPr>
      <w:tblGrid>
        <w:gridCol w:w="9628"/>
      </w:tblGrid>
      <w:tr w14:paraId="48C5EE2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0B632C1" w14:textId="77777777">
            <w:pPr>
              <w:pStyle w:val="Kpalrs"/>
            </w:pPr>
            <w:bookmarkStart w:id="1010" w:name="_Ref44079069"/>
            <w:r>
              <w:t xml:space="preserve">Exhibit </w:t>
            </w:r>
            <w:fldSimple w:instr=" STYLEREF 2 \s ">
              <w:r>
                <w:rPr>
                  <w:noProof/>
                </w:rPr>
                <w:t>14.6</w:t>
              </w:r>
            </w:fldSimple>
            <w:r>
              <w:t>.</w:t>
            </w:r>
            <w:fldSimple w:instr=" SEQ Exhibit \* ALPHABETIC \s 2 ">
              <w:r>
                <w:rPr>
                  <w:noProof/>
                </w:rPr>
                <w:t>I</w:t>
              </w:r>
            </w:fldSimple>
            <w:bookmarkEnd w:id="1010"/>
            <w:r>
              <w:t>: encoding a citation with parentheses only around the year and pages</w:t>
            </w:r>
          </w:p>
        </w:tc>
      </w:tr>
      <w:tr w14:paraId="4C760693" w14:textId="77777777">
        <w:tc>
          <w:tcPr>
            <w:tcW w:w="5000" w:type="pct"/>
          </w:tcPr>
          <w:p w14:paraId="6C4E386A" w14:textId="77777777">
            <w:pPr>
              <w:pStyle w:val="TableNote"/>
              <w:keepNext/>
            </w:pPr>
            <w:r>
              <w:t xml:space="preserve">Majumdar </w:t>
            </w:r>
            <w:r>
              <w:rPr>
                <w:noProof/>
              </w:rPr>
              <w:t>(</w:t>
            </w:r>
            <w:r>
              <w:t>1943: 23–28)</w:t>
            </w:r>
          </w:p>
          <w:p w14:paraId="0FD72A14" w14:textId="77777777">
            <w:pPr>
              <w:pStyle w:val="TableNote"/>
              <w:keepNext/>
            </w:pPr>
            <w:r>
              <w:t xml:space="preserve">note that the parentheses are added manually around the </w:t>
            </w:r>
            <w:r>
              <w:rPr>
                <w:rStyle w:val="Code"/>
              </w:rPr>
              <w:t>&lt;bibl&gt;</w:t>
            </w:r>
            <w:r>
              <w:t xml:space="preserve"> element</w:t>
            </w:r>
          </w:p>
        </w:tc>
      </w:tr>
      <w:tr w14:paraId="495A6E08" w14:textId="77777777">
        <w:tc>
          <w:tcPr>
            <w:tcW w:w="5000" w:type="pct"/>
          </w:tcPr>
          <w:p w14:paraId="66E70FEA" w14:textId="77777777">
            <w:pPr>
              <w:pStyle w:val="CodeParagraph"/>
              <w:rPr>
                <w:rStyle w:val="Code"/>
              </w:rPr>
            </w:pPr>
            <w:r>
              <w:rPr>
                <w:rStyle w:val="Codetext"/>
              </w:rPr>
              <w:t>Majumdar (</w:t>
            </w:r>
            <w:r>
              <w:rPr>
                <w:rStyle w:val="Code"/>
              </w:rPr>
              <w:t xml:space="preserve">&lt;bibl </w:t>
            </w:r>
            <w:r>
              <w:rPr>
                <w:rStyle w:val="Codeattribute"/>
              </w:rPr>
              <w:t>rend</w:t>
            </w:r>
            <w:r>
              <w:rPr>
                <w:rStyle w:val="Code"/>
              </w:rPr>
              <w:t>=</w:t>
            </w:r>
            <w:r>
              <w:rPr>
                <w:rStyle w:val="Codevalue"/>
              </w:rPr>
              <w:t>"omitname"</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r>
              <w:t>)</w:t>
            </w:r>
          </w:p>
        </w:tc>
      </w:tr>
    </w:tbl>
    <w:p w14:paraId="2D3C0392" w14:textId="77777777"/>
    <w:tbl>
      <w:tblPr>
        <w:tblStyle w:val="CodeSampleTable"/>
        <w:tblW w:w="5000" w:type="pct"/>
        <w:tblLook w:val="04A0" w:firstRow="1" w:lastRow="0" w:firstColumn="1" w:lastColumn="0" w:noHBand="0" w:noVBand="1"/>
      </w:tblPr>
      <w:tblGrid>
        <w:gridCol w:w="9628"/>
      </w:tblGrid>
      <w:tr w14:paraId="2C8144A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261C9A2" w14:textId="77777777">
            <w:pPr>
              <w:pStyle w:val="Kpalrs"/>
            </w:pPr>
            <w:bookmarkStart w:id="1011" w:name="_Ref44079082"/>
            <w:r>
              <w:t xml:space="preserve">Exhibit </w:t>
            </w:r>
            <w:fldSimple w:instr=" STYLEREF 2 \s ">
              <w:r>
                <w:rPr>
                  <w:noProof/>
                </w:rPr>
                <w:t>14.6</w:t>
              </w:r>
            </w:fldSimple>
            <w:r>
              <w:t>.</w:t>
            </w:r>
            <w:fldSimple w:instr=" SEQ Exhibit \* ALPHABETIC \s 2 ">
              <w:r>
                <w:rPr>
                  <w:noProof/>
                </w:rPr>
                <w:t>J</w:t>
              </w:r>
            </w:fldSimple>
            <w:bookmarkEnd w:id="1011"/>
            <w:r>
              <w:t>: encoding a citation with ibid.</w:t>
            </w:r>
          </w:p>
        </w:tc>
      </w:tr>
      <w:tr w14:paraId="1BB6A6B1" w14:textId="77777777">
        <w:tc>
          <w:tcPr>
            <w:tcW w:w="5000" w:type="pct"/>
          </w:tcPr>
          <w:p w14:paraId="7632F38F" w14:textId="77777777">
            <w:pPr>
              <w:pStyle w:val="TableNote"/>
              <w:keepNext/>
            </w:pPr>
            <w:r>
              <w:rPr>
                <w:i/>
                <w:iCs/>
              </w:rPr>
              <w:t>ibid.</w:t>
            </w:r>
            <w:r>
              <w:t>: 23–28</w:t>
            </w:r>
          </w:p>
        </w:tc>
      </w:tr>
      <w:tr w14:paraId="440F7E57" w14:textId="77777777">
        <w:tc>
          <w:tcPr>
            <w:tcW w:w="5000" w:type="pct"/>
          </w:tcPr>
          <w:p w14:paraId="4925A3F3" w14:textId="77777777">
            <w:pPr>
              <w:pStyle w:val="CodeParagraph"/>
              <w:rPr>
                <w:rStyle w:val="Code"/>
              </w:rPr>
            </w:pPr>
            <w:r>
              <w:rPr>
                <w:rStyle w:val="Code"/>
              </w:rPr>
              <w:t xml:space="preserve">&lt;bibl </w:t>
            </w:r>
            <w:r>
              <w:rPr>
                <w:rStyle w:val="Codeattribute"/>
              </w:rPr>
              <w:t>rend</w:t>
            </w:r>
            <w:r>
              <w:rPr>
                <w:rStyle w:val="Code"/>
              </w:rPr>
              <w:t>=</w:t>
            </w:r>
            <w:r>
              <w:rPr>
                <w:rStyle w:val="Codevalue"/>
              </w:rPr>
              <w:t>"ibid"</w:t>
            </w:r>
            <w:r>
              <w:rPr>
                <w:rStyle w:val="Code"/>
              </w:rPr>
              <w:t>&gt;</w:t>
            </w:r>
            <w:r>
              <w:rPr>
                <w:rStyle w:val="Codetext"/>
              </w:rPr>
              <w:br/>
              <w:t xml:space="preserve">  </w:t>
            </w:r>
            <w:r>
              <w:rPr>
                <w:rStyle w:val="Code"/>
              </w:rPr>
              <w:t xml:space="preserve">&lt;ptr </w:t>
            </w:r>
            <w:r>
              <w:rPr>
                <w:rStyle w:val="Codeattribute"/>
              </w:rPr>
              <w:t>target</w:t>
            </w:r>
            <w:r>
              <w:rPr>
                <w:rStyle w:val="Code"/>
              </w:rPr>
              <w:t>=</w:t>
            </w:r>
            <w:r>
              <w:rPr>
                <w:rStyle w:val="Codevalue"/>
              </w:rPr>
              <w:t>"bib:Majumdar1943_01"</w:t>
            </w:r>
            <w:r>
              <w:rPr>
                <w:rStyle w:val="Code"/>
              </w:rPr>
              <w:t>/&gt;</w:t>
            </w:r>
            <w:r>
              <w:rPr>
                <w:rStyle w:val="Codetext"/>
              </w:rPr>
              <w:br/>
              <w:t xml:space="preserve">  </w:t>
            </w:r>
            <w:r>
              <w:rPr>
                <w:rStyle w:val="Code"/>
              </w:rPr>
              <w:t>&lt;citedRange&gt;</w:t>
            </w:r>
            <w:r>
              <w:rPr>
                <w:rStyle w:val="Codetext"/>
              </w:rPr>
              <w:t>23-28</w:t>
            </w:r>
            <w:r>
              <w:rPr>
                <w:rStyle w:val="Code"/>
              </w:rPr>
              <w:t>&lt;/citedRange&gt;</w:t>
            </w:r>
            <w:r>
              <w:rPr>
                <w:rStyle w:val="Codetext"/>
              </w:rPr>
              <w:br/>
            </w:r>
            <w:r>
              <w:rPr>
                <w:rStyle w:val="Code"/>
              </w:rPr>
              <w:t>&lt;/bibl&gt;</w:t>
            </w:r>
          </w:p>
        </w:tc>
      </w:tr>
    </w:tbl>
    <w:p w14:paraId="216E9A03" w14:textId="77777777">
      <w:pPr>
        <w:pStyle w:val="Cmsor3"/>
      </w:pPr>
      <w:bookmarkStart w:id="1012" w:name="_7sk1okht0w4v" w:colFirst="0" w:colLast="0"/>
      <w:bookmarkStart w:id="1013" w:name="_awz2oua7qthd" w:colFirst="0" w:colLast="0"/>
      <w:bookmarkStart w:id="1014" w:name="_wsjjvbttqmtg" w:colFirst="0" w:colLast="0"/>
      <w:bookmarkStart w:id="1015" w:name="_Ref43989551"/>
      <w:bookmarkStart w:id="1016" w:name="_Ref44490119"/>
      <w:bookmarkStart w:id="1017" w:name="_Toc243900451"/>
      <w:bookmarkEnd w:id="1012"/>
      <w:bookmarkEnd w:id="1013"/>
      <w:bookmarkEnd w:id="1014"/>
      <w:r>
        <w:t xml:space="preserve">Crediting publications with </w:t>
      </w:r>
      <w:bookmarkEnd w:id="1015"/>
      <w:r>
        <w:rPr>
          <w:rStyle w:val="Codeattribute"/>
        </w:rPr>
        <w:t>@source</w:t>
      </w:r>
      <w:bookmarkEnd w:id="1016"/>
      <w:bookmarkEnd w:id="1017"/>
    </w:p>
    <w:p w14:paraId="2B1726BB" w14:textId="77777777">
      <w:r>
        <w:t xml:space="preserve">The attribute </w:t>
      </w:r>
      <w:r>
        <w:rPr>
          <w:rStyle w:val="Codeattribute"/>
        </w:rPr>
        <w:t>@source</w:t>
      </w:r>
      <w:r>
        <w:t xml:space="preserve"> may be used on certain elements to accredit the content of the element to a particular source such as a publication. Unlike bibliographic citations (§</w:t>
      </w:r>
      <w:r>
        <w:fldChar w:fldCharType="begin"/>
      </w:r>
      <w:r>
        <w:instrText xml:space="preserve"> REF _Ref233877601 \r \h </w:instrText>
      </w:r>
      <w:r>
        <w:fldChar w:fldCharType="separate"/>
      </w:r>
      <w:r>
        <w:t>14.6.1</w:t>
      </w:r>
      <w:r>
        <w:fldChar w:fldCharType="end"/>
      </w:r>
      <w:r>
        <w:t xml:space="preserve">), accrediting by means of </w:t>
      </w:r>
      <w:r>
        <w:rPr>
          <w:rStyle w:val="Codeattribute"/>
        </w:rPr>
        <w:t>@source</w:t>
      </w:r>
      <w:r>
        <w:t xml:space="preserve"> applies specifically to an XML element (rather than to unspecified adjacent text), and cannot specify a particular locus within the source.</w:t>
      </w:r>
    </w:p>
    <w:p w14:paraId="32358BE8" w14:textId="77777777">
      <w:pPr>
        <w:pStyle w:val="Lista"/>
      </w:pPr>
      <w:r>
        <w:t xml:space="preserve">in DHARMA practice, </w:t>
      </w:r>
      <w:r>
        <w:rPr>
          <w:rStyle w:val="Codeattribute"/>
        </w:rPr>
        <w:t>@source</w:t>
      </w:r>
      <w:r>
        <w:t xml:space="preserve"> is used only in the following conditions</w:t>
      </w:r>
    </w:p>
    <w:p w14:paraId="4B45110E" w14:textId="77777777">
      <w:pPr>
        <w:pStyle w:val="Lista2"/>
      </w:pPr>
      <w:r>
        <w:t>in a critical apparatus, for lemmas (§</w:t>
      </w:r>
      <w:r>
        <w:fldChar w:fldCharType="begin"/>
      </w:r>
      <w:r>
        <w:instrText xml:space="preserve"> REF _Ref233625530 \r \h </w:instrText>
      </w:r>
      <w:r>
        <w:fldChar w:fldCharType="separate"/>
      </w:r>
      <w:r>
        <w:t>10.3.3</w:t>
      </w:r>
      <w:r>
        <w:fldChar w:fldCharType="end"/>
      </w:r>
      <w:r>
        <w:t xml:space="preserve">) and alternative readings </w:t>
      </w:r>
      <w:r>
        <w:rPr>
          <w:noProof/>
        </w:rPr>
        <w:t>(</w:t>
      </w:r>
      <w:r>
        <w:t>§</w:t>
      </w:r>
      <w:r>
        <w:fldChar w:fldCharType="begin"/>
      </w:r>
      <w:r>
        <w:instrText xml:space="preserve"> REF _Ref233625579 \r \h </w:instrText>
      </w:r>
      <w:r>
        <w:fldChar w:fldCharType="separate"/>
      </w:r>
      <w:r>
        <w:t>10.4.3</w:t>
      </w:r>
      <w:r>
        <w:fldChar w:fldCharType="end"/>
      </w:r>
      <w:r>
        <w:t>)</w:t>
      </w:r>
    </w:p>
    <w:p w14:paraId="33AC34C2" w14:textId="77777777">
      <w:pPr>
        <w:pStyle w:val="Lista2"/>
      </w:pPr>
      <w:r>
        <w:t>notes in translations (§</w:t>
      </w:r>
      <w:r>
        <w:fldChar w:fldCharType="begin"/>
      </w:r>
      <w:r>
        <w:instrText xml:space="preserve"> REF _Ref233298582 \r \h </w:instrText>
      </w:r>
      <w:r>
        <w:fldChar w:fldCharType="separate"/>
      </w:r>
      <w:r>
        <w:t>11.5.3</w:t>
      </w:r>
      <w:r>
        <w:fldChar w:fldCharType="end"/>
      </w:r>
      <w:r>
        <w:t xml:space="preserve">) and elsewhere </w:t>
      </w:r>
      <w:r>
        <w:rPr>
          <w:noProof/>
        </w:rPr>
        <w:t>(</w:t>
      </w:r>
      <w:r>
        <w:t>§</w:t>
      </w:r>
      <w:r>
        <w:fldChar w:fldCharType="begin"/>
      </w:r>
      <w:r>
        <w:instrText xml:space="preserve"> REF _Ref233730339 \r \h </w:instrText>
      </w:r>
      <w:r>
        <w:fldChar w:fldCharType="separate"/>
      </w:r>
      <w:r>
        <w:t>14.5.1.1</w:t>
      </w:r>
      <w:r>
        <w:fldChar w:fldCharType="end"/>
      </w:r>
      <w:r>
        <w:t>)</w:t>
      </w:r>
    </w:p>
    <w:p w14:paraId="7070B4D0" w14:textId="77777777">
      <w:pPr>
        <w:pStyle w:val="Lista2"/>
      </w:pPr>
      <w:r>
        <w:t xml:space="preserve">translations as a whole </w:t>
      </w:r>
      <w:r>
        <w:rPr>
          <w:noProof/>
        </w:rPr>
        <w:t>(</w:t>
      </w:r>
      <w:r>
        <w:t>§</w:t>
      </w:r>
      <w:r>
        <w:fldChar w:fldCharType="begin"/>
      </w:r>
      <w:r>
        <w:instrText xml:space="preserve"> REF _Ref233887001 \r \h </w:instrText>
      </w:r>
      <w:r>
        <w:fldChar w:fldCharType="separate"/>
      </w:r>
      <w:r>
        <w:t>11.5.2</w:t>
      </w:r>
      <w:r>
        <w:fldChar w:fldCharType="end"/>
      </w:r>
      <w:r>
        <w:t>)</w:t>
      </w:r>
    </w:p>
    <w:p w14:paraId="2ED59490" w14:textId="77777777">
      <w:pPr>
        <w:pStyle w:val="Lista"/>
      </w:pPr>
      <w:r>
        <w:t xml:space="preserve">to credit a previous publication, the attribute </w:t>
      </w:r>
      <w:r>
        <w:rPr>
          <w:rStyle w:val="Codeattribute"/>
        </w:rPr>
        <w:t>@source</w:t>
      </w:r>
      <w:r>
        <w:t xml:space="preserve"> must be added to the XML entity representing the item you wish to credit</w:t>
      </w:r>
    </w:p>
    <w:p w14:paraId="52B11BAC" w14:textId="77777777">
      <w:pPr>
        <w:pStyle w:val="Lista"/>
      </w:pPr>
      <w:r>
        <w:t xml:space="preserve">the value of </w:t>
      </w:r>
      <w:r>
        <w:rPr>
          <w:rStyle w:val="Codeattribute"/>
        </w:rPr>
        <w:t>@source</w:t>
      </w:r>
      <w:r>
        <w:t xml:space="preserve"> shall be the Zotero Short Title (ZG §4.10) of the publication containing the reading you are crediting, prefixed with the string </w:t>
      </w:r>
      <w:r>
        <w:rPr>
          <w:rStyle w:val="Codevalue"/>
        </w:rPr>
        <w:t>bib:</w:t>
      </w:r>
    </w:p>
    <w:p w14:paraId="6F7F7AA3" w14:textId="77777777">
      <w:pPr>
        <w:pStyle w:val="Lista"/>
      </w:pPr>
      <w:r>
        <w:t xml:space="preserve">to credit more than one publication </w:t>
      </w:r>
      <w:r>
        <w:rPr>
          <w:noProof/>
        </w:rPr>
        <w:t>(</w:t>
      </w:r>
      <w:r>
        <w:t xml:space="preserve">e.g. because more than one scholar has suggested or endorsed a certain reading, or because a note was published in several publications), list all relevant short titles, each with the prefix </w:t>
      </w:r>
      <w:r>
        <w:rPr>
          <w:rStyle w:val="Codevalue"/>
        </w:rPr>
        <w:t>bib:</w:t>
      </w:r>
      <w:r>
        <w:t xml:space="preserve">, within a single </w:t>
      </w:r>
      <w:r>
        <w:rPr>
          <w:rStyle w:val="Codeattribute"/>
        </w:rPr>
        <w:t>@source</w:t>
      </w:r>
      <w:r>
        <w:t xml:space="preserve"> attribute, separated by a space (and nothing else)</w:t>
      </w:r>
    </w:p>
    <w:p w14:paraId="0890A14D" w14:textId="77777777">
      <w:pPr>
        <w:pStyle w:val="Lista2"/>
      </w:pPr>
      <w:r>
        <w:t>list the publications in chronological order</w:t>
      </w:r>
    </w:p>
    <w:p w14:paraId="2F88B19C" w14:textId="77777777">
      <w:pPr>
        <w:pStyle w:val="Lista2"/>
        <w:rPr>
          <w:rStyle w:val="Code"/>
          <w:rFonts w:ascii="Gentium" w:hAnsi="Gentium" w:cs="Tiro Devanagari Sanskrit"/>
          <w:noProof w:val="0"/>
          <w:color w:val="auto"/>
          <w:shd w:val="clear" w:color="auto" w:fill="auto"/>
        </w:rPr>
      </w:pPr>
      <w:r>
        <w:t xml:space="preserve">e.g. </w:t>
      </w:r>
      <w:r>
        <w:rPr>
          <w:rStyle w:val="Code"/>
        </w:rPr>
        <w:t xml:space="preserve">&lt;rdg </w:t>
      </w:r>
      <w:r>
        <w:rPr>
          <w:rStyle w:val="Codeattribute"/>
        </w:rPr>
        <w:t>source</w:t>
      </w:r>
      <w:r>
        <w:rPr>
          <w:rStyle w:val="Code"/>
        </w:rPr>
        <w:t>=</w:t>
      </w:r>
      <w:r>
        <w:rPr>
          <w:rStyle w:val="Codevalue"/>
        </w:rPr>
        <w:t>"bib:Devadatta1863_01 bib:Doe2019_01"</w:t>
      </w:r>
      <w:r>
        <w:rPr>
          <w:rStyle w:val="Code"/>
        </w:rPr>
        <w:t>&gt;</w:t>
      </w:r>
    </w:p>
    <w:p w14:paraId="2A126EB6" w14:textId="77777777">
      <w:pPr>
        <w:pStyle w:val="Cmsor3"/>
      </w:pPr>
      <w:bookmarkStart w:id="1018" w:name="_Toc243900452"/>
      <w:r>
        <w:t>Quotation</w:t>
      </w:r>
      <w:bookmarkEnd w:id="1018"/>
    </w:p>
    <w:p w14:paraId="202E0912" w14:textId="77777777">
      <w:pPr>
        <w:pStyle w:val="Cmsor4"/>
      </w:pPr>
      <w:bookmarkStart w:id="1019" w:name="_Ref233880809"/>
      <w:r>
        <w:t>Generic quotes</w:t>
      </w:r>
      <w:bookmarkEnd w:id="1019"/>
    </w:p>
    <w:p w14:paraId="211EBFEC" w14:textId="77777777">
      <w:r>
        <w:rPr>
          <w:lang w:eastAsia="en-US" w:bidi="ar-SA"/>
        </w:rPr>
        <w:t xml:space="preserve">Quotations which are not accredited to a publication shall normally </w:t>
      </w:r>
      <w:r>
        <w:t xml:space="preserve">be wrapped in the element </w:t>
      </w:r>
      <w:r>
        <w:rPr>
          <w:rStyle w:val="Code"/>
        </w:rPr>
        <w:t>&lt;q&gt;</w:t>
      </w:r>
      <w:r>
        <w:t xml:space="preserve"> (for “quoted”), available at any point in the XML document where free modern-language text is permitted. Quotation marks will be automatically displayed and must not be entered manually when </w:t>
      </w:r>
      <w:r>
        <w:rPr>
          <w:rStyle w:val="Code"/>
        </w:rPr>
        <w:t>&lt;q&gt;</w:t>
      </w:r>
      <w:r>
        <w:t xml:space="preserve"> is present. </w:t>
      </w:r>
    </w:p>
    <w:p w14:paraId="33B5860B" w14:textId="77777777">
      <w:pPr>
        <w:pStyle w:val="Lista"/>
      </w:pPr>
      <w:r>
        <w:t xml:space="preserve">if the quotation is in a modern language other than that of the surrounding text, use </w:t>
      </w:r>
      <w:r>
        <w:rPr>
          <w:rStyle w:val="Codeattribute"/>
        </w:rPr>
        <w:t>@xml:lang</w:t>
      </w:r>
      <w:r>
        <w:t xml:space="preserve"> on the </w:t>
      </w:r>
      <w:r>
        <w:rPr>
          <w:rStyle w:val="Code"/>
        </w:rPr>
        <w:t>&lt;q&gt;</w:t>
      </w:r>
      <w:r>
        <w:t xml:space="preserve"> element, as per §</w:t>
      </w:r>
      <w:r>
        <w:fldChar w:fldCharType="begin"/>
      </w:r>
      <w:r>
        <w:instrText xml:space="preserve"> REF _Ref233727317 \r \h </w:instrText>
      </w:r>
      <w:r>
        <w:fldChar w:fldCharType="separate"/>
      </w:r>
      <w:r>
        <w:t>14.4.1</w:t>
      </w:r>
      <w:r>
        <w:fldChar w:fldCharType="end"/>
      </w:r>
      <w:r>
        <w:t xml:space="preserve"> </w:t>
      </w:r>
    </w:p>
    <w:p w14:paraId="55E42E82" w14:textId="77777777">
      <w:pPr>
        <w:pStyle w:val="Lista2"/>
      </w:pPr>
      <w:r>
        <w:lastRenderedPageBreak/>
        <w:t xml:space="preserve">text quoted from a primary source in the original language, to be displayed in italics without quotation marks, shall not be marked up in this way, but must be tagged as </w:t>
      </w:r>
      <w:r>
        <w:rPr>
          <w:rStyle w:val="Code"/>
        </w:rPr>
        <w:t>&lt;foreign&gt;</w:t>
      </w:r>
      <w:r>
        <w:t xml:space="preserve"> as per §</w:t>
      </w:r>
      <w:r>
        <w:fldChar w:fldCharType="begin"/>
      </w:r>
      <w:r>
        <w:instrText xml:space="preserve"> REF _Ref43986658 \r \h </w:instrText>
      </w:r>
      <w:r>
        <w:fldChar w:fldCharType="separate"/>
      </w:r>
      <w:r>
        <w:t>14.4.2</w:t>
      </w:r>
      <w:r>
        <w:fldChar w:fldCharType="end"/>
      </w:r>
    </w:p>
    <w:p w14:paraId="2DD91B40" w14:textId="77777777">
      <w:pPr>
        <w:pStyle w:val="Lista"/>
      </w:pPr>
      <w:r>
        <w:t xml:space="preserve">by default, a quotation tagged with </w:t>
      </w:r>
      <w:r>
        <w:rPr>
          <w:rStyle w:val="Code"/>
        </w:rPr>
        <w:t>&lt;q&gt;</w:t>
      </w:r>
      <w:r>
        <w:t xml:space="preserve"> will be displayed inline</w:t>
      </w:r>
    </w:p>
    <w:p w14:paraId="7CF740E9" w14:textId="77777777">
      <w:pPr>
        <w:pStyle w:val="Lista2"/>
      </w:pPr>
      <w:r>
        <w:t xml:space="preserve">to create a block quote, add the attribute </w:t>
      </w:r>
      <w:r>
        <w:rPr>
          <w:rStyle w:val="Codeattribute"/>
        </w:rPr>
        <w:t>@rend</w:t>
      </w:r>
      <w:r>
        <w:rPr>
          <w:rStyle w:val="Codetext"/>
        </w:rPr>
        <w:t>=</w:t>
      </w:r>
      <w:r>
        <w:rPr>
          <w:rStyle w:val="Codevalue"/>
        </w:rPr>
        <w:t>"block"</w:t>
      </w:r>
      <w:r>
        <w:t xml:space="preserve"> as described in §</w:t>
      </w:r>
      <w:r>
        <w:fldChar w:fldCharType="begin"/>
      </w:r>
      <w:r>
        <w:instrText xml:space="preserve"> REF _Ref233793283 \r \h </w:instrText>
      </w:r>
      <w:r>
        <w:fldChar w:fldCharType="separate"/>
      </w:r>
      <w:r>
        <w:t>14.3.3</w:t>
      </w:r>
      <w:r>
        <w:fldChar w:fldCharType="end"/>
      </w:r>
      <w:r>
        <w:t xml:space="preserve"> and illustrated in </w:t>
      </w:r>
      <w:r>
        <w:fldChar w:fldCharType="begin"/>
      </w:r>
      <w:r>
        <w:instrText xml:space="preserve"> REF _Ref233795218 \h </w:instrText>
      </w:r>
      <w:r>
        <w:fldChar w:fldCharType="separate"/>
      </w:r>
      <w:r>
        <w:t xml:space="preserve">Exhibit </w:t>
      </w:r>
      <w:r>
        <w:rPr>
          <w:noProof/>
        </w:rPr>
        <w:t>14.3</w:t>
      </w:r>
      <w:r>
        <w:t>.</w:t>
      </w:r>
      <w:r>
        <w:rPr>
          <w:noProof/>
        </w:rPr>
        <w:t>A</w:t>
      </w:r>
      <w:r>
        <w:fldChar w:fldCharType="end"/>
      </w:r>
    </w:p>
    <w:p w14:paraId="3482229B" w14:textId="77777777">
      <w:pPr>
        <w:pStyle w:val="Lista"/>
      </w:pPr>
      <w:r>
        <w:t xml:space="preserve">encoding with </w:t>
      </w:r>
      <w:r>
        <w:rPr>
          <w:rStyle w:val="Code"/>
        </w:rPr>
        <w:t>&lt;q&gt;</w:t>
      </w:r>
      <w:r>
        <w:t xml:space="preserve"> is acceptable but not essential for situations which conventionally involve the use of quotation marks but are not actually quotation, for example with technical terms or glosses</w:t>
      </w:r>
    </w:p>
    <w:p w14:paraId="7F7666CD" w14:textId="77777777">
      <w:pPr>
        <w:pStyle w:val="Lista2"/>
      </w:pPr>
      <w:r>
        <w:t xml:space="preserve">if you opt for entering quotation marks instead of encoding, preferably use the printer’s quotes applicable to the language and context </w:t>
      </w:r>
      <w:r>
        <w:rPr>
          <w:noProof/>
        </w:rPr>
        <w:t>(</w:t>
      </w:r>
      <w:r>
        <w:t>„...” “...” ‘...’ «...») rather than generic typewriter quotes or apostrophes</w:t>
      </w:r>
    </w:p>
    <w:p w14:paraId="7C52C626" w14:textId="77777777">
      <w:pPr>
        <w:pStyle w:val="Cmsor4"/>
      </w:pPr>
      <w:bookmarkStart w:id="1020" w:name="_oux10a9n6xn3" w:colFirst="0" w:colLast="0"/>
      <w:bookmarkStart w:id="1021" w:name="_Ref233880854"/>
      <w:bookmarkEnd w:id="1020"/>
      <w:r>
        <w:t>Quotations attributed to a source</w:t>
      </w:r>
      <w:bookmarkEnd w:id="1021"/>
    </w:p>
    <w:p w14:paraId="0E888D6E" w14:textId="77777777">
      <w:pPr>
        <w:rPr>
          <w:lang w:eastAsia="en-US" w:bidi="ar-SA"/>
        </w:rPr>
      </w:pPr>
      <w:r>
        <w:rPr>
          <w:lang w:eastAsia="en-US" w:bidi="ar-SA"/>
        </w:rPr>
        <w:t>Quotations from a published source, especially from scholarly literature, may be encoded in a structured manner as follows. Alternatively, the quotation may be encoded as a generic quote (§</w:t>
      </w:r>
      <w:r>
        <w:rPr>
          <w:lang w:eastAsia="en-US" w:bidi="ar-SA"/>
        </w:rPr>
        <w:fldChar w:fldCharType="begin"/>
      </w:r>
      <w:r>
        <w:rPr>
          <w:lang w:eastAsia="en-US" w:bidi="ar-SA"/>
        </w:rPr>
        <w:instrText xml:space="preserve"> REF _Ref233880809 \r \h </w:instrText>
      </w:r>
      <w:r>
        <w:rPr>
          <w:lang w:eastAsia="en-US" w:bidi="ar-SA"/>
        </w:rPr>
      </w:r>
      <w:r>
        <w:rPr>
          <w:lang w:eastAsia="en-US" w:bidi="ar-SA"/>
        </w:rPr>
        <w:fldChar w:fldCharType="separate"/>
      </w:r>
      <w:r>
        <w:rPr>
          <w:lang w:eastAsia="en-US" w:bidi="ar-SA"/>
        </w:rPr>
        <w:t>14.6.3.1</w:t>
      </w:r>
      <w:r>
        <w:rPr>
          <w:lang w:eastAsia="en-US" w:bidi="ar-SA"/>
        </w:rPr>
        <w:fldChar w:fldCharType="end"/>
      </w:r>
      <w:r>
        <w:rPr>
          <w:lang w:eastAsia="en-US" w:bidi="ar-SA"/>
        </w:rPr>
        <w:t xml:space="preserve">) and a bibliographic reference may be integrated into the surrounding text. Both are illustrated in </w:t>
      </w:r>
      <w:r>
        <w:rPr>
          <w:lang w:eastAsia="en-US" w:bidi="ar-SA"/>
        </w:rPr>
        <w:fldChar w:fldCharType="begin"/>
      </w:r>
      <w:r>
        <w:rPr>
          <w:lang w:eastAsia="en-US" w:bidi="ar-SA"/>
        </w:rPr>
        <w:instrText xml:space="preserve"> REF _Ref233881565 \h </w:instrText>
      </w:r>
      <w:r>
        <w:rPr>
          <w:lang w:eastAsia="en-US" w:bidi="ar-SA"/>
        </w:rPr>
      </w:r>
      <w:r>
        <w:rPr>
          <w:lang w:eastAsia="en-US" w:bidi="ar-SA"/>
        </w:rPr>
        <w:fldChar w:fldCharType="separate"/>
      </w:r>
      <w:r>
        <w:t xml:space="preserve">Exhibit </w:t>
      </w:r>
      <w:r>
        <w:rPr>
          <w:noProof/>
        </w:rPr>
        <w:t>14.6</w:t>
      </w:r>
      <w:r>
        <w:t>.</w:t>
      </w:r>
      <w:r>
        <w:rPr>
          <w:noProof/>
        </w:rPr>
        <w:t>K</w:t>
      </w:r>
      <w:r>
        <w:rPr>
          <w:lang w:eastAsia="en-US" w:bidi="ar-SA"/>
        </w:rPr>
        <w:fldChar w:fldCharType="end"/>
      </w:r>
      <w:r>
        <w:rPr>
          <w:lang w:eastAsia="en-US" w:bidi="ar-SA"/>
        </w:rPr>
        <w:t>.</w:t>
      </w:r>
    </w:p>
    <w:p w14:paraId="27A65E8C" w14:textId="77777777">
      <w:pPr>
        <w:pStyle w:val="Lista"/>
      </w:pPr>
      <w:r>
        <w:t xml:space="preserve">within the </w:t>
      </w:r>
      <w:r>
        <w:rPr>
          <w:rStyle w:val="Code"/>
        </w:rPr>
        <w:t>&lt;p&gt;</w:t>
      </w:r>
      <w:r>
        <w:t xml:space="preserve"> or </w:t>
      </w:r>
      <w:r>
        <w:rPr>
          <w:rStyle w:val="Code"/>
        </w:rPr>
        <w:t>&lt;note&gt;</w:t>
      </w:r>
      <w:r>
        <w:t xml:space="preserve"> element in which you quote a publication, create the wrapper </w:t>
      </w:r>
      <w:r>
        <w:rPr>
          <w:rStyle w:val="Code"/>
        </w:rPr>
        <w:t>&lt;cit&gt;</w:t>
      </w:r>
    </w:p>
    <w:p w14:paraId="3485F36E" w14:textId="77777777">
      <w:pPr>
        <w:pStyle w:val="Lista2"/>
      </w:pPr>
      <w:r>
        <w:t xml:space="preserve">within </w:t>
      </w:r>
      <w:r>
        <w:rPr>
          <w:rStyle w:val="Code"/>
        </w:rPr>
        <w:t>&lt;cit&gt;</w:t>
      </w:r>
      <w:r>
        <w:t xml:space="preserve">, as its first child, create the element </w:t>
      </w:r>
      <w:r>
        <w:rPr>
          <w:rStyle w:val="Code"/>
        </w:rPr>
        <w:t>&lt;quote&gt;</w:t>
      </w:r>
      <w:r>
        <w:t xml:space="preserve"> (for “quotation”)</w:t>
      </w:r>
    </w:p>
    <w:p w14:paraId="11D8A33F" w14:textId="77777777">
      <w:pPr>
        <w:pStyle w:val="Lista3"/>
      </w:pPr>
      <w:r>
        <w:t xml:space="preserve">enter the quoted text within </w:t>
      </w:r>
      <w:r>
        <w:rPr>
          <w:rStyle w:val="Code"/>
        </w:rPr>
        <w:t>&lt;quote&gt;</w:t>
      </w:r>
    </w:p>
    <w:p w14:paraId="3EFB6B06" w14:textId="77777777">
      <w:pPr>
        <w:pStyle w:val="Lista3"/>
      </w:pPr>
      <w:r>
        <w:t>do not add quotation marks to the text, as these will be automatically produced in display</w:t>
      </w:r>
    </w:p>
    <w:p w14:paraId="4E45956D" w14:textId="77777777">
      <w:pPr>
        <w:pStyle w:val="Lista2"/>
      </w:pPr>
      <w:r>
        <w:t xml:space="preserve">also within </w:t>
      </w:r>
      <w:r>
        <w:rPr>
          <w:rStyle w:val="Code"/>
        </w:rPr>
        <w:t>&lt;cit&gt;</w:t>
      </w:r>
      <w:r>
        <w:t xml:space="preserve">, as its second child immediately after </w:t>
      </w:r>
      <w:r>
        <w:rPr>
          <w:rStyle w:val="Code"/>
        </w:rPr>
        <w:t>&lt;quote&gt;</w:t>
      </w:r>
      <w:r>
        <w:t>, create a bibliographic citation as per §</w:t>
      </w:r>
      <w:r>
        <w:fldChar w:fldCharType="begin"/>
      </w:r>
      <w:r>
        <w:instrText xml:space="preserve"> REF _Ref233877601 \r \h </w:instrText>
      </w:r>
      <w:r>
        <w:fldChar w:fldCharType="separate"/>
      </w:r>
      <w:r>
        <w:t>14.6.1</w:t>
      </w:r>
      <w:r>
        <w:fldChar w:fldCharType="end"/>
      </w:r>
      <w:r>
        <w:t xml:space="preserve"> identifying the source of the quotation</w:t>
      </w:r>
    </w:p>
    <w:p w14:paraId="5E82650A" w14:textId="77777777">
      <w:pPr>
        <w:pStyle w:val="Lista"/>
      </w:pPr>
      <w:r>
        <w:t xml:space="preserve">if the quotation is in a modern language other than that of the surrounding text, use </w:t>
      </w:r>
      <w:r>
        <w:rPr>
          <w:rStyle w:val="Codeattribute"/>
        </w:rPr>
        <w:t>@xml:lang</w:t>
      </w:r>
      <w:r>
        <w:t xml:space="preserve"> on the </w:t>
      </w:r>
      <w:r>
        <w:rPr>
          <w:rStyle w:val="Code"/>
        </w:rPr>
        <w:t>&lt;quote&gt;</w:t>
      </w:r>
      <w:r>
        <w:t xml:space="preserve"> element, as per §</w:t>
      </w:r>
      <w:r>
        <w:fldChar w:fldCharType="begin"/>
      </w:r>
      <w:r>
        <w:instrText xml:space="preserve"> REF _Ref233727317 \r \h </w:instrText>
      </w:r>
      <w:r>
        <w:fldChar w:fldCharType="separate"/>
      </w:r>
      <w:r>
        <w:t>14.4.1</w:t>
      </w:r>
      <w:r>
        <w:fldChar w:fldCharType="end"/>
      </w:r>
      <w:r>
        <w:t xml:space="preserve"> </w:t>
      </w:r>
    </w:p>
    <w:p w14:paraId="4B6B26CB" w14:textId="77777777">
      <w:pPr>
        <w:pStyle w:val="Lista"/>
      </w:pPr>
      <w:r>
        <w:t>by default, a quotation encoded in this manner will be displayed inline, with the citation following the quoted text</w:t>
      </w:r>
    </w:p>
    <w:p w14:paraId="68BC24BE" w14:textId="77777777">
      <w:pPr>
        <w:pStyle w:val="Lista2"/>
      </w:pPr>
      <w:r>
        <w:t xml:space="preserve">to create a block quote, add the attribute </w:t>
      </w:r>
      <w:r>
        <w:rPr>
          <w:rStyle w:val="Codeattribute"/>
        </w:rPr>
        <w:t>@rend</w:t>
      </w:r>
      <w:r>
        <w:rPr>
          <w:rStyle w:val="Codetext"/>
        </w:rPr>
        <w:t>=</w:t>
      </w:r>
      <w:r>
        <w:rPr>
          <w:rStyle w:val="Codevalue"/>
        </w:rPr>
        <w:t>"block"</w:t>
      </w:r>
      <w:r>
        <w:t xml:space="preserve"> to the </w:t>
      </w:r>
      <w:r>
        <w:rPr>
          <w:rStyle w:val="Code"/>
        </w:rPr>
        <w:t>&lt;quote&gt;</w:t>
      </w:r>
      <w:r>
        <w:t xml:space="preserve"> element as described in §</w:t>
      </w:r>
      <w:r>
        <w:fldChar w:fldCharType="begin"/>
      </w:r>
      <w:r>
        <w:instrText xml:space="preserve"> REF _Ref233793283 \r \h </w:instrText>
      </w:r>
      <w:r>
        <w:fldChar w:fldCharType="separate"/>
      </w:r>
      <w:r>
        <w:t>14.3.3</w:t>
      </w:r>
      <w:r>
        <w:fldChar w:fldCharType="end"/>
      </w:r>
    </w:p>
    <w:p w14:paraId="14DA758D" w14:textId="77777777">
      <w:pPr>
        <w:pStyle w:val="Lista"/>
      </w:pPr>
      <w:r>
        <w:t xml:space="preserve">when citing text from a publication with </w:t>
      </w:r>
      <w:r>
        <w:rPr>
          <w:rStyle w:val="Code"/>
        </w:rPr>
        <w:t>&lt;quote&gt;</w:t>
      </w:r>
      <w:r>
        <w:t>, any transliterated words in the cited text shall be retained in their original form rather than being converted to our transliteration system</w:t>
      </w:r>
    </w:p>
    <w:p w14:paraId="1BDC649D" w14:textId="77777777">
      <w:pPr>
        <w:pStyle w:val="Lista2"/>
      </w:pPr>
      <w:r>
        <w:t xml:space="preserve">but any text adopted without </w:t>
      </w:r>
      <w:r>
        <w:rPr>
          <w:rStyle w:val="Code"/>
        </w:rPr>
        <w:t>&lt;quote&gt;</w:t>
      </w:r>
      <w:r>
        <w:t>, for example in apparatus readings, translations and paraphrased/summarised opinions, should be converted to the DHARMA transliteration system</w:t>
      </w:r>
    </w:p>
    <w:tbl>
      <w:tblPr>
        <w:tblStyle w:val="CodeSampleTable"/>
        <w:tblW w:w="5000" w:type="pct"/>
        <w:tblLook w:val="04A0" w:firstRow="1" w:lastRow="0" w:firstColumn="1" w:lastColumn="0" w:noHBand="0" w:noVBand="1"/>
      </w:tblPr>
      <w:tblGrid>
        <w:gridCol w:w="9628"/>
      </w:tblGrid>
      <w:tr w14:paraId="09624DAA"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10C8BF6" w14:textId="77777777">
            <w:pPr>
              <w:pStyle w:val="Kpalrs"/>
            </w:pPr>
            <w:bookmarkStart w:id="1022" w:name="_Ref233881565"/>
            <w:r>
              <w:t xml:space="preserve">Exhibit </w:t>
            </w:r>
            <w:fldSimple w:instr=" STYLEREF 2 \s ">
              <w:r>
                <w:rPr>
                  <w:noProof/>
                </w:rPr>
                <w:t>14.6</w:t>
              </w:r>
            </w:fldSimple>
            <w:r>
              <w:t>.</w:t>
            </w:r>
            <w:fldSimple w:instr=" SEQ Exhibit \* ALPHABETIC \s 2 ">
              <w:r>
                <w:rPr>
                  <w:noProof/>
                </w:rPr>
                <w:t>K</w:t>
              </w:r>
            </w:fldSimple>
            <w:bookmarkEnd w:id="1022"/>
            <w:r>
              <w:t>: attributing quotations to a publication</w:t>
            </w:r>
          </w:p>
        </w:tc>
      </w:tr>
      <w:tr w14:paraId="0498B545" w14:textId="77777777">
        <w:tc>
          <w:tcPr>
            <w:tcW w:w="5000" w:type="pct"/>
          </w:tcPr>
          <w:p w14:paraId="1B4A1873" w14:textId="77777777">
            <w:pPr>
              <w:pStyle w:val="TableNote"/>
              <w:keepNext/>
            </w:pPr>
            <w:r>
              <w:t>encoded as an attributed quotation</w:t>
            </w:r>
          </w:p>
        </w:tc>
      </w:tr>
      <w:tr w14:paraId="41193577" w14:textId="77777777">
        <w:tc>
          <w:tcPr>
            <w:tcW w:w="5000" w:type="pct"/>
          </w:tcPr>
          <w:p w14:paraId="716EC219" w14:textId="77777777">
            <w:pPr>
              <w:pStyle w:val="CodeParagraph"/>
              <w:keepNext/>
              <w:rPr>
                <w:rStyle w:val="Code"/>
              </w:rPr>
            </w:pPr>
            <w:r>
              <w:rPr>
                <w:rStyle w:val="Code"/>
              </w:rPr>
              <w:t>&lt;note&gt;</w:t>
            </w:r>
            <w:r>
              <w:t xml:space="preserve"> </w:t>
            </w:r>
            <w:r>
              <w:rPr>
                <w:rStyle w:val="Codetext"/>
              </w:rPr>
              <w:t xml:space="preserve">Hultzsch notes: </w:t>
            </w:r>
            <w:r>
              <w:rPr>
                <w:rStyle w:val="Code"/>
              </w:rPr>
              <w:t>&lt;cit&gt;&lt;quote&gt;</w:t>
            </w:r>
            <w:r>
              <w:rPr>
                <w:rStyle w:val="Codetext"/>
              </w:rPr>
              <w:t>The genitive bhagavato refers to Chittarathasâmi, the first member of the following compound. This is of course a grammatical blunder of the officer who drafted the inscription</w:t>
            </w:r>
            <w:r>
              <w:rPr>
                <w:rStyle w:val="Code"/>
              </w:rPr>
              <w:t xml:space="preserve">&lt;/quote&gt;&lt;bibl&gt;&lt;ptr </w:t>
            </w:r>
            <w:r>
              <w:rPr>
                <w:rStyle w:val="Codeattribute"/>
              </w:rPr>
              <w:t>target=</w:t>
            </w:r>
            <w:r>
              <w:rPr>
                <w:rStyle w:val="Codevalue"/>
              </w:rPr>
              <w:t>"bib:Hultzsch1907-1908_03"</w:t>
            </w:r>
            <w:r>
              <w:rPr>
                <w:rStyle w:val="Code"/>
              </w:rPr>
              <w:t>/&gt;</w:t>
            </w:r>
            <w:r>
              <w:rPr>
                <w:rStyle w:val="Codetext"/>
              </w:rPr>
              <w:t xml:space="preserve">: </w:t>
            </w:r>
            <w:r>
              <w:rPr>
                <w:rStyle w:val="Code"/>
              </w:rPr>
              <w:t>&lt;citedRange&gt;</w:t>
            </w:r>
            <w:r>
              <w:rPr>
                <w:rStyle w:val="Codetext"/>
              </w:rPr>
              <w:t>59</w:t>
            </w:r>
            <w:r>
              <w:rPr>
                <w:rStyle w:val="Code"/>
              </w:rPr>
              <w:t>&lt;/citedRange&gt;&lt;/bibl&gt;&lt;/cit&gt;</w:t>
            </w:r>
            <w:r>
              <w:rPr>
                <w:rStyle w:val="Codetext"/>
              </w:rPr>
              <w:t>. The same “blunder” is found...</w:t>
            </w:r>
            <w:r>
              <w:rPr>
                <w:rStyle w:val="Code"/>
              </w:rPr>
              <w:t>&lt;/note&gt;</w:t>
            </w:r>
          </w:p>
        </w:tc>
      </w:tr>
      <w:tr w14:paraId="445D53C4" w14:textId="77777777">
        <w:tc>
          <w:tcPr>
            <w:tcW w:w="5000" w:type="pct"/>
          </w:tcPr>
          <w:p w14:paraId="7F24DDC9" w14:textId="77777777">
            <w:pPr>
              <w:pStyle w:val="TableNote"/>
              <w:keepNext/>
            </w:pPr>
            <w:r>
              <w:t>encoded with a separate citation</w:t>
            </w:r>
          </w:p>
        </w:tc>
      </w:tr>
      <w:tr w14:paraId="3F934A38" w14:textId="77777777">
        <w:tc>
          <w:tcPr>
            <w:tcW w:w="5000" w:type="pct"/>
          </w:tcPr>
          <w:p w14:paraId="4B6367D6" w14:textId="77777777">
            <w:pPr>
              <w:pStyle w:val="CodeParagraph"/>
              <w:keepNext/>
              <w:rPr>
                <w:rStyle w:val="Code"/>
              </w:rPr>
            </w:pPr>
            <w:r>
              <w:rPr>
                <w:rStyle w:val="Code"/>
              </w:rPr>
              <w:t>&lt;note&gt;</w:t>
            </w:r>
            <w:r>
              <w:t xml:space="preserve"> </w:t>
            </w:r>
            <w:r>
              <w:rPr>
                <w:rStyle w:val="Codetext"/>
              </w:rPr>
              <w:t>Hultzsch (</w:t>
            </w:r>
            <w:r>
              <w:rPr>
                <w:rStyle w:val="Code"/>
              </w:rPr>
              <w:t xml:space="preserve">&lt;bibl </w:t>
            </w:r>
            <w:r>
              <w:rPr>
                <w:rStyle w:val="Codeattribute"/>
              </w:rPr>
              <w:t>rend</w:t>
            </w:r>
            <w:r>
              <w:rPr>
                <w:rStyle w:val="Code"/>
              </w:rPr>
              <w:t>=</w:t>
            </w:r>
            <w:r>
              <w:rPr>
                <w:rStyle w:val="Codevalue"/>
              </w:rPr>
              <w:t>"omitname"</w:t>
            </w:r>
            <w:r>
              <w:rPr>
                <w:rStyle w:val="Code"/>
              </w:rPr>
              <w:t xml:space="preserve">&gt;&lt;ptr </w:t>
            </w:r>
            <w:r>
              <w:rPr>
                <w:rStyle w:val="Codeattribute"/>
              </w:rPr>
              <w:t>target=</w:t>
            </w:r>
            <w:r>
              <w:rPr>
                <w:rStyle w:val="Codevalue"/>
              </w:rPr>
              <w:t>"bib:Hultzsch1907-1908_03"</w:t>
            </w:r>
            <w:r>
              <w:rPr>
                <w:rStyle w:val="Code"/>
              </w:rPr>
              <w:t>/&gt;</w:t>
            </w:r>
            <w:r>
              <w:rPr>
                <w:rStyle w:val="Codetext"/>
              </w:rPr>
              <w:t xml:space="preserve">: </w:t>
            </w:r>
            <w:r>
              <w:rPr>
                <w:rStyle w:val="Code"/>
              </w:rPr>
              <w:t>&lt;citedRange&gt;</w:t>
            </w:r>
            <w:r>
              <w:rPr>
                <w:rStyle w:val="Codetext"/>
              </w:rPr>
              <w:t>59</w:t>
            </w:r>
            <w:r>
              <w:rPr>
                <w:rStyle w:val="Code"/>
              </w:rPr>
              <w:t>&lt;/citedRange&gt;&lt;/bibl&gt;</w:t>
            </w:r>
            <w:r>
              <w:rPr>
                <w:rStyle w:val="Codetext"/>
              </w:rPr>
              <w:t xml:space="preserve">) notes: </w:t>
            </w:r>
            <w:r>
              <w:rPr>
                <w:rStyle w:val="Code"/>
              </w:rPr>
              <w:t>&lt;q&gt;</w:t>
            </w:r>
            <w:r>
              <w:rPr>
                <w:rStyle w:val="Codetext"/>
              </w:rPr>
              <w:t>The genitive bhagavato refers to Chittarathasâmi, the first member of the following compound. This is of course a grammatical blunder of the officer who drafted the inscription</w:t>
            </w:r>
            <w:r>
              <w:rPr>
                <w:rStyle w:val="Code"/>
              </w:rPr>
              <w:t>&lt;/q&gt;</w:t>
            </w:r>
            <w:r>
              <w:rPr>
                <w:rStyle w:val="Codetext"/>
              </w:rPr>
              <w:t>. The same “blunder” is found...</w:t>
            </w:r>
            <w:r>
              <w:rPr>
                <w:rStyle w:val="Code"/>
              </w:rPr>
              <w:t>&lt;/note&gt;</w:t>
            </w:r>
          </w:p>
        </w:tc>
      </w:tr>
    </w:tbl>
    <w:p w14:paraId="763848E6" w14:textId="77777777">
      <w:pPr>
        <w:pStyle w:val="Cmsor3"/>
      </w:pPr>
      <w:bookmarkStart w:id="1023" w:name="_Toc243900453"/>
      <w:r>
        <w:t>Referring to web resources</w:t>
      </w:r>
      <w:bookmarkEnd w:id="1023"/>
    </w:p>
    <w:p w14:paraId="6851A30D" w14:textId="77777777">
      <w:r>
        <w:t xml:space="preserve">References to electronic resources available on the internet shall be encoded with the element </w:t>
      </w:r>
      <w:r>
        <w:rPr>
          <w:rStyle w:val="Code"/>
        </w:rPr>
        <w:t>&lt;ref&gt;</w:t>
      </w:r>
      <w:r>
        <w:t xml:space="preserve">, as described in the following subsections. Unlike the </w:t>
      </w:r>
      <w:r>
        <w:rPr>
          <w:rStyle w:val="Code"/>
        </w:rPr>
        <w:t>&lt;ptr/&gt;</w:t>
      </w:r>
      <w:r>
        <w:t xml:space="preserve"> element used in bibliographic citations </w:t>
      </w:r>
      <w:r>
        <w:rPr>
          <w:noProof/>
        </w:rPr>
        <w:t>(</w:t>
      </w:r>
      <w:r>
        <w:t>§</w:t>
      </w:r>
      <w:r>
        <w:fldChar w:fldCharType="begin"/>
      </w:r>
      <w:r>
        <w:instrText xml:space="preserve"> REF _Ref233877601 \r \h </w:instrText>
      </w:r>
      <w:r>
        <w:fldChar w:fldCharType="separate"/>
      </w:r>
      <w:r>
        <w:t>14.6.1</w:t>
      </w:r>
      <w:r>
        <w:fldChar w:fldCharType="end"/>
      </w:r>
      <w:r>
        <w:t xml:space="preserve">), </w:t>
      </w:r>
      <w:r>
        <w:rPr>
          <w:rStyle w:val="Code"/>
        </w:rPr>
        <w:t>&lt;ref&gt;</w:t>
      </w:r>
      <w:r>
        <w:t xml:space="preserve"> must contain the text that is to be shown with a hyperlink to the digital resource. The contents are technically free text, but we strongly recommend that you use short and clear human-readable conventional references in the form that is best integrated into the context. Detailed specification of the reference, such as a line or verse number, is best added outside this markup in plain text for human consumption. Such references may be encoded at any point in the XML document where free modern-language text is permitted.</w:t>
      </w:r>
    </w:p>
    <w:p w14:paraId="1EE92189" w14:textId="77777777">
      <w:pPr>
        <w:pStyle w:val="Cmsor4"/>
      </w:pPr>
      <w:bookmarkStart w:id="1024" w:name="_Ref43988648"/>
      <w:bookmarkStart w:id="1025" w:name="_Ref148531705"/>
      <w:r>
        <w:lastRenderedPageBreak/>
        <w:t>Referring to editions in the DHARMA corpus</w:t>
      </w:r>
      <w:bookmarkEnd w:id="1024"/>
      <w:bookmarkEnd w:id="1025"/>
    </w:p>
    <w:p w14:paraId="70B84940" w14:textId="77777777">
      <w:pPr>
        <w:pStyle w:val="Lista"/>
      </w:pPr>
      <w:r>
        <w:t xml:space="preserve">to refer to another edition in the DHARMA corpus, use the element </w:t>
      </w:r>
      <w:r>
        <w:rPr>
          <w:rStyle w:val="Code"/>
        </w:rPr>
        <w:t>&lt;ref&gt;</w:t>
      </w:r>
      <w:r>
        <w:t xml:space="preserve"> in the following manner</w:t>
      </w:r>
    </w:p>
    <w:p w14:paraId="68DF1D33" w14:textId="77777777">
      <w:pPr>
        <w:pStyle w:val="Lista2"/>
      </w:pPr>
      <w:r>
        <w:t xml:space="preserve">add the attribute </w:t>
      </w:r>
      <w:r>
        <w:rPr>
          <w:rStyle w:val="Codeattribute"/>
        </w:rPr>
        <w:t>@target</w:t>
      </w:r>
      <w:r>
        <w:t xml:space="preserve"> with a value that is the full filename of the edition</w:t>
      </w:r>
    </w:p>
    <w:p w14:paraId="52701E98" w14:textId="77777777">
      <w:pPr>
        <w:pStyle w:val="Lista2"/>
      </w:pPr>
      <w:r>
        <w:t xml:space="preserve">as the contents of </w:t>
      </w:r>
      <w:r>
        <w:rPr>
          <w:rStyle w:val="Code"/>
        </w:rPr>
        <w:t>&lt;ref&gt;</w:t>
      </w:r>
      <w:r>
        <w:t>, enter a human-friendly identifier or title of the edition</w:t>
      </w:r>
    </w:p>
    <w:p w14:paraId="32528ABB" w14:textId="77777777">
      <w:pPr>
        <w:pStyle w:val="Lista"/>
      </w:pPr>
      <w:r>
        <w:t>examples:</w:t>
      </w:r>
    </w:p>
    <w:p w14:paraId="23A0F5C9" w14:textId="77777777">
      <w:pPr>
        <w:pStyle w:val="Lista2"/>
        <w:rPr>
          <w:rStyle w:val="Code"/>
          <w:rFonts w:ascii="Gentium" w:hAnsi="Gentium" w:cs="Tiro Devanagari Sanskrit"/>
          <w:noProof w:val="0"/>
          <w:color w:val="auto"/>
          <w:shd w:val="clear" w:color="auto" w:fill="auto"/>
        </w:rPr>
      </w:pPr>
      <w:r>
        <w:rPr>
          <w:rStyle w:val="Code"/>
        </w:rPr>
        <w:t xml:space="preserve">&lt;ref </w:t>
      </w:r>
      <w:r>
        <w:rPr>
          <w:rStyle w:val="Codeattribute"/>
        </w:rPr>
        <w:t>target</w:t>
      </w:r>
      <w:r>
        <w:rPr>
          <w:rStyle w:val="Code"/>
        </w:rPr>
        <w:t>=</w:t>
      </w:r>
      <w:r>
        <w:rPr>
          <w:rStyle w:val="Codevalue"/>
        </w:rPr>
        <w:t>"DHARMA_INSPallava00002.xml"</w:t>
      </w:r>
      <w:r>
        <w:rPr>
          <w:rStyle w:val="Code"/>
        </w:rPr>
        <w:t>&gt;</w:t>
      </w:r>
      <w:r>
        <w:rPr>
          <w:rStyle w:val="Codetext"/>
        </w:rPr>
        <w:t>Pallava 2</w:t>
      </w:r>
      <w:r>
        <w:rPr>
          <w:rStyle w:val="Code"/>
        </w:rPr>
        <w:t>&lt;/ref&gt;</w:t>
      </w:r>
    </w:p>
    <w:p w14:paraId="7101EF4A" w14:textId="77777777">
      <w:pPr>
        <w:pStyle w:val="Lista2"/>
        <w:rPr>
          <w:rStyle w:val="Code"/>
        </w:rPr>
      </w:pPr>
      <w:r>
        <w:rPr>
          <w:rStyle w:val="Code"/>
        </w:rPr>
        <w:t xml:space="preserve">&lt;ref </w:t>
      </w:r>
      <w:r>
        <w:rPr>
          <w:rStyle w:val="Codeattribute"/>
        </w:rPr>
        <w:t>target=</w:t>
      </w:r>
      <w:r>
        <w:rPr>
          <w:rStyle w:val="Codevalue"/>
        </w:rPr>
        <w:t>"DHARMA_INSVengiCalukya00048.xml"</w:t>
      </w:r>
      <w:r>
        <w:rPr>
          <w:rStyle w:val="Code"/>
        </w:rPr>
        <w:t>&gt;</w:t>
      </w:r>
      <w:r>
        <w:rPr>
          <w:rStyle w:val="Codetext"/>
        </w:rPr>
        <w:t>London plates of Maṅgi Yuvarāja</w:t>
      </w:r>
      <w:r>
        <w:rPr>
          <w:rStyle w:val="Code"/>
        </w:rPr>
        <w:t>&lt;/ref&gt;</w:t>
      </w:r>
    </w:p>
    <w:p w14:paraId="7245F0D3" w14:textId="77777777">
      <w:pPr>
        <w:pStyle w:val="Cmsor4"/>
      </w:pPr>
      <w:bookmarkStart w:id="1026" w:name="_Ref155689459"/>
      <w:r>
        <w:t>Referring to websites</w:t>
      </w:r>
      <w:bookmarkEnd w:id="1026"/>
    </w:p>
    <w:p w14:paraId="0034D41B" w14:textId="77777777">
      <w:pPr>
        <w:pStyle w:val="Lista"/>
      </w:pPr>
      <w:r>
        <w:t xml:space="preserve">to refer to an external website or other web resource, use the element </w:t>
      </w:r>
      <w:r>
        <w:rPr>
          <w:rStyle w:val="Code"/>
        </w:rPr>
        <w:t>&lt;ref&gt;</w:t>
      </w:r>
      <w:r>
        <w:t xml:space="preserve"> in the following manner</w:t>
      </w:r>
    </w:p>
    <w:p w14:paraId="05B9B042" w14:textId="77777777">
      <w:pPr>
        <w:pStyle w:val="Lista2"/>
      </w:pPr>
      <w:r>
        <w:t xml:space="preserve">add the attribute </w:t>
      </w:r>
      <w:r>
        <w:rPr>
          <w:rStyle w:val="Codeattribute"/>
        </w:rPr>
        <w:t>@target</w:t>
      </w:r>
      <w:r>
        <w:t xml:space="preserve"> with a value that is the full URL of the resource</w:t>
      </w:r>
    </w:p>
    <w:p w14:paraId="3FAB7A0B" w14:textId="77777777">
      <w:pPr>
        <w:pStyle w:val="Lista2"/>
      </w:pPr>
      <w:r>
        <w:t xml:space="preserve">as the contents of </w:t>
      </w:r>
      <w:r>
        <w:rPr>
          <w:rStyle w:val="Code"/>
        </w:rPr>
        <w:t>&lt;ref&gt;</w:t>
      </w:r>
      <w:r>
        <w:t>, enter the title of the site or page or simply repeat the URL</w:t>
      </w:r>
    </w:p>
    <w:p w14:paraId="3075C456" w14:textId="77777777">
      <w:pPr>
        <w:pStyle w:val="Lista"/>
      </w:pPr>
      <w:r>
        <w:t>examples</w:t>
      </w:r>
    </w:p>
    <w:p w14:paraId="30F9DDC0" w14:textId="77777777">
      <w:pPr>
        <w:pStyle w:val="Lista2"/>
      </w:pPr>
      <w:r>
        <w:rPr>
          <w:rStyle w:val="Codetext"/>
        </w:rPr>
        <w:t>&lt;</w:t>
      </w:r>
      <w:r>
        <w:rPr>
          <w:rStyle w:val="Code"/>
        </w:rPr>
        <w:t>ref</w:t>
      </w:r>
      <w:r>
        <w:rPr>
          <w:rStyle w:val="Codetext"/>
        </w:rPr>
        <w:t xml:space="preserve"> </w:t>
      </w:r>
      <w:r>
        <w:rPr>
          <w:rStyle w:val="Codeattribute"/>
        </w:rPr>
        <w:t>target</w:t>
      </w:r>
      <w:r>
        <w:rPr>
          <w:rStyle w:val="Codetext"/>
        </w:rPr>
        <w:t>="</w:t>
      </w:r>
      <w:r>
        <w:rPr>
          <w:rStyle w:val="Codevalue"/>
        </w:rPr>
        <w:t>http://museumsofindia.gov.in/repository/record/im_kol-A20050-9085-18</w:t>
      </w:r>
      <w:r>
        <w:rPr>
          <w:rStyle w:val="Codetext"/>
        </w:rPr>
        <w:t>"&gt;Baigram fragment&lt;/</w:t>
      </w:r>
      <w:r>
        <w:rPr>
          <w:rStyle w:val="Code"/>
        </w:rPr>
        <w:t>ref</w:t>
      </w:r>
      <w:r>
        <w:rPr>
          <w:rStyle w:val="Codetext"/>
        </w:rPr>
        <w:t>&gt;</w:t>
      </w:r>
    </w:p>
    <w:p w14:paraId="7CBCE5AA" w14:textId="77777777">
      <w:pPr>
        <w:pStyle w:val="Lista2"/>
      </w:pPr>
      <w:r>
        <w:rPr>
          <w:rStyle w:val="Codetext"/>
        </w:rPr>
        <w:t>&lt;</w:t>
      </w:r>
      <w:r>
        <w:rPr>
          <w:rStyle w:val="Code"/>
        </w:rPr>
        <w:t>ref</w:t>
      </w:r>
      <w:r>
        <w:rPr>
          <w:rStyle w:val="Codetext"/>
        </w:rPr>
        <w:t xml:space="preserve"> </w:t>
      </w:r>
      <w:r>
        <w:rPr>
          <w:rStyle w:val="Codeattribute"/>
        </w:rPr>
        <w:t>target</w:t>
      </w:r>
      <w:r>
        <w:rPr>
          <w:rStyle w:val="Codetext"/>
        </w:rPr>
        <w:t>="</w:t>
      </w:r>
      <w:r>
        <w:rPr>
          <w:rStyle w:val="Codevalue"/>
        </w:rPr>
        <w:t>https://tei-c.org/</w:t>
      </w:r>
      <w:r>
        <w:rPr>
          <w:rStyle w:val="Codetext"/>
        </w:rPr>
        <w:t>"&gt;</w:t>
      </w:r>
      <w:r>
        <w:rPr>
          <w:rFonts w:ascii="Consolas" w:hAnsi="Consolas" w:cs="Consolas"/>
          <w:noProof/>
          <w:shd w:val="clear" w:color="auto" w:fill="F2F2F2" w:themeFill="background1" w:themeFillShade="F2"/>
        </w:rPr>
        <w:t>https://tei-c.org/</w:t>
      </w:r>
      <w:r>
        <w:rPr>
          <w:rStyle w:val="Code"/>
        </w:rPr>
        <w:t>&lt;/ref&gt;</w:t>
      </w:r>
    </w:p>
    <w:p w14:paraId="75C39F91" w14:textId="77777777">
      <w:pPr>
        <w:pStyle w:val="Cmsor3"/>
      </w:pPr>
      <w:bookmarkStart w:id="1027" w:name="_57tiei7g7b2r" w:colFirst="0" w:colLast="0"/>
      <w:bookmarkStart w:id="1028" w:name="_dx7skv6pu8qf" w:colFirst="0" w:colLast="0"/>
      <w:bookmarkStart w:id="1029" w:name="_g75gsrc5lpm1" w:colFirst="0" w:colLast="0"/>
      <w:bookmarkStart w:id="1030" w:name="_Ref43989765"/>
      <w:bookmarkStart w:id="1031" w:name="_Toc243900454"/>
      <w:bookmarkEnd w:id="1027"/>
      <w:bookmarkEnd w:id="1028"/>
      <w:bookmarkEnd w:id="1029"/>
      <w:r>
        <w:t xml:space="preserve">Crediting a DHARMA contributor with </w:t>
      </w:r>
      <w:bookmarkEnd w:id="1030"/>
      <w:r>
        <w:rPr>
          <w:rStyle w:val="Codeattribute"/>
        </w:rPr>
        <w:t>@resp</w:t>
      </w:r>
      <w:bookmarkEnd w:id="1031"/>
    </w:p>
    <w:p w14:paraId="6CCD84C5" w14:textId="77777777">
      <w:r>
        <w:t xml:space="preserve">The attribute </w:t>
      </w:r>
      <w:r>
        <w:rPr>
          <w:rStyle w:val="Codeattribute"/>
        </w:rPr>
        <w:t>@resp</w:t>
      </w:r>
      <w:r>
        <w:t xml:space="preserve"> </w:t>
      </w:r>
      <w:r>
        <w:rPr>
          <w:noProof/>
        </w:rPr>
        <w:t>(</w:t>
      </w:r>
      <w:r>
        <w:t xml:space="preserve">for “responsibility”) may be added to any XML element to encode the fact that a particular entity is the author of that particular item. In regular DHARMA practice this is done only to attribute the authorship of translations </w:t>
      </w:r>
      <w:r>
        <w:rPr>
          <w:noProof/>
        </w:rPr>
        <w:t>(</w:t>
      </w:r>
      <w:r>
        <w:t>§</w:t>
      </w:r>
      <w:r>
        <w:fldChar w:fldCharType="begin"/>
      </w:r>
      <w:r>
        <w:instrText xml:space="preserve"> REF _Ref233276652 \r \h </w:instrText>
      </w:r>
      <w:r>
        <w:fldChar w:fldCharType="separate"/>
      </w:r>
      <w:r>
        <w:t>11.1.2</w:t>
      </w:r>
      <w:r>
        <w:fldChar w:fldCharType="end"/>
      </w:r>
      <w:r>
        <w:t>) and of individual notes in translations (§</w:t>
      </w:r>
      <w:r>
        <w:fldChar w:fldCharType="begin"/>
      </w:r>
      <w:r>
        <w:instrText xml:space="preserve"> REF _Ref233298582 \r \h </w:instrText>
      </w:r>
      <w:r>
        <w:fldChar w:fldCharType="separate"/>
      </w:r>
      <w:r>
        <w:t>11.5.3</w:t>
      </w:r>
      <w:r>
        <w:fldChar w:fldCharType="end"/>
      </w:r>
      <w:r>
        <w:t>) as well as elsewhere (§</w:t>
      </w:r>
      <w:r>
        <w:fldChar w:fldCharType="begin"/>
      </w:r>
      <w:r>
        <w:instrText xml:space="preserve"> REF _Ref233730339 \r \h </w:instrText>
      </w:r>
      <w:r>
        <w:fldChar w:fldCharType="separate"/>
      </w:r>
      <w:r>
        <w:t>14.5.1.1</w:t>
      </w:r>
      <w:r>
        <w:fldChar w:fldCharType="end"/>
      </w:r>
      <w:r>
        <w:t>) to a DHARMA contributor, but the same encoding may also be used for the tracking and crediting of revisions and improvements to editions encoded by someone else.</w:t>
      </w:r>
    </w:p>
    <w:p w14:paraId="236B6697" w14:textId="77777777">
      <w:pPr>
        <w:pStyle w:val="Lista"/>
      </w:pPr>
      <w:r>
        <w:t xml:space="preserve">the value of </w:t>
      </w:r>
      <w:r>
        <w:rPr>
          <w:rStyle w:val="Codeattribute"/>
        </w:rPr>
        <w:t>@resp</w:t>
      </w:r>
      <w:r>
        <w:t xml:space="preserve"> shall be the personal identifier of a DHARMA contributor, with the prefix </w:t>
      </w:r>
      <w:r>
        <w:rPr>
          <w:rStyle w:val="Codevalue"/>
        </w:rPr>
        <w:t>part:</w:t>
      </w:r>
      <w:r>
        <w:t xml:space="preserve"> </w:t>
      </w:r>
      <w:r>
        <w:rPr>
          <w:noProof/>
        </w:rPr>
        <w:t>(</w:t>
      </w:r>
      <w:r>
        <w:t>as an abbreviated reference to the file listing participants of the project)</w:t>
      </w:r>
    </w:p>
    <w:p w14:paraId="6A4B6D6B" w14:textId="77777777">
      <w:pPr>
        <w:pStyle w:val="Lista2"/>
      </w:pPr>
      <w:r>
        <w:t xml:space="preserve">our personal identifiers are available at </w:t>
      </w:r>
      <w:hyperlink r:id="rId79" w:history="1">
        <w:r>
          <w:rPr>
            <w:rStyle w:val="Hiperhivatkozs"/>
          </w:rPr>
          <w:t>https://dharmalekha.info/contributors</w:t>
        </w:r>
      </w:hyperlink>
      <w:r>
        <w:t xml:space="preserve"> </w:t>
      </w:r>
    </w:p>
    <w:p w14:paraId="6AB19569" w14:textId="77777777">
      <w:pPr>
        <w:pStyle w:val="Lista2"/>
      </w:pPr>
      <w:r>
        <w:t xml:space="preserve">to credit more than one contributor, simply include several personal identifiers </w:t>
      </w:r>
      <w:r>
        <w:rPr>
          <w:noProof/>
        </w:rPr>
        <w:t>(</w:t>
      </w:r>
      <w:r>
        <w:t xml:space="preserve">each prefixed as above) within a single </w:t>
      </w:r>
      <w:r>
        <w:rPr>
          <w:rStyle w:val="Codeattribute"/>
        </w:rPr>
        <w:t>@resp</w:t>
      </w:r>
      <w:r>
        <w:t xml:space="preserve"> attribute, separating them with a space and nothing else</w:t>
      </w:r>
    </w:p>
    <w:p w14:paraId="39BDBA6E" w14:textId="77777777">
      <w:pPr>
        <w:pStyle w:val="Cmsor3"/>
      </w:pPr>
      <w:bookmarkStart w:id="1032" w:name="_5hzh3m6qj48r" w:colFirst="0" w:colLast="0"/>
      <w:bookmarkStart w:id="1033" w:name="_Ref43988993"/>
      <w:bookmarkStart w:id="1034" w:name="_Toc243900455"/>
      <w:bookmarkEnd w:id="1032"/>
      <w:r>
        <w:t xml:space="preserve">Identifying elements with </w:t>
      </w:r>
      <w:r>
        <w:rPr>
          <w:rStyle w:val="Codeattribute"/>
        </w:rPr>
        <w:t>@xml:id</w:t>
      </w:r>
      <w:bookmarkEnd w:id="1033"/>
      <w:bookmarkEnd w:id="1034"/>
    </w:p>
    <w:p w14:paraId="3EA5ED45" w14:textId="77777777">
      <w:r>
        <w:t xml:space="preserve">The attribute </w:t>
      </w:r>
      <w:r>
        <w:rPr>
          <w:rStyle w:val="Codeattribute"/>
        </w:rPr>
        <w:t>@xml:id</w:t>
      </w:r>
      <w:r>
        <w:t xml:space="preserve"> may be used to assign a unique identifier to any XML element, which can then be used in computer processing to target that element precisely. Although future developments may call for more extensive use of such identification, present DHARMA practice utilises </w:t>
      </w:r>
      <w:r>
        <w:rPr>
          <w:rStyle w:val="Codeattribute"/>
        </w:rPr>
        <w:t>@xml:id</w:t>
      </w:r>
      <w:r>
        <w:t xml:space="preserve"> only for the identification of scribal hands as described in §</w:t>
      </w:r>
      <w:r>
        <w:fldChar w:fldCharType="begin"/>
      </w:r>
      <w:r>
        <w:instrText xml:space="preserve"> REF _Ref231980025 \r \h </w:instrText>
      </w:r>
      <w:r>
        <w:fldChar w:fldCharType="separate"/>
      </w:r>
      <w:r>
        <w:t>15.2.1.2</w:t>
      </w:r>
      <w:r>
        <w:fldChar w:fldCharType="end"/>
      </w:r>
      <w:r>
        <w:t>.</w:t>
      </w:r>
    </w:p>
    <w:p w14:paraId="7E8C4BB3" w14:textId="77777777">
      <w:pPr>
        <w:pStyle w:val="Lista"/>
      </w:pPr>
      <w:r>
        <w:t xml:space="preserve">the following technical requirements apply to </w:t>
      </w:r>
      <w:r>
        <w:rPr>
          <w:rStyle w:val="Codeattribute"/>
        </w:rPr>
        <w:t>@xml:id</w:t>
      </w:r>
    </w:p>
    <w:p w14:paraId="674117D9" w14:textId="77777777">
      <w:pPr>
        <w:pStyle w:val="Lista2"/>
      </w:pPr>
      <w:r>
        <w:t xml:space="preserve">all </w:t>
      </w:r>
      <w:r>
        <w:rPr>
          <w:rStyle w:val="Codeattribute"/>
        </w:rPr>
        <w:t>@xml:id</w:t>
      </w:r>
      <w:r>
        <w:t xml:space="preserve"> values used within a document must be unique in order to be able to provide unequivocal identification</w:t>
      </w:r>
    </w:p>
    <w:p w14:paraId="473CC98E" w14:textId="77777777">
      <w:pPr>
        <w:pStyle w:val="Lista2"/>
      </w:pPr>
      <w:r>
        <w:t xml:space="preserve">the value of </w:t>
      </w:r>
      <w:r>
        <w:rPr>
          <w:rStyle w:val="Codeattribute"/>
        </w:rPr>
        <w:t>@xml:id</w:t>
      </w:r>
      <w:r>
        <w:t xml:space="preserve"> must start with a letter or an underscore (_) and can contain only letters, digits, hyphens, periods (full stops), and underscores</w:t>
      </w:r>
    </w:p>
    <w:p w14:paraId="020D31BE" w14:textId="77777777">
      <w:pPr>
        <w:pStyle w:val="Lista2"/>
      </w:pPr>
      <w:r>
        <w:t xml:space="preserve">the value is case-sensitive, so for instance </w:t>
      </w:r>
      <w:r>
        <w:rPr>
          <w:rStyle w:val="Codeattribute"/>
        </w:rPr>
        <w:t>@xml:id=</w:t>
      </w:r>
      <w:r>
        <w:rPr>
          <w:rStyle w:val="Codevalue"/>
        </w:rPr>
        <w:t>"hand1"</w:t>
      </w:r>
      <w:r>
        <w:t xml:space="preserve"> is not equivalent to </w:t>
      </w:r>
      <w:r>
        <w:rPr>
          <w:rStyle w:val="Codeattribute"/>
        </w:rPr>
        <w:t>@xml:id=</w:t>
      </w:r>
      <w:r>
        <w:rPr>
          <w:rStyle w:val="Codevalue"/>
        </w:rPr>
        <w:t>"Hand1"</w:t>
      </w:r>
    </w:p>
    <w:p w14:paraId="4F3A01BE" w14:textId="77777777">
      <w:pPr>
        <w:pStyle w:val="Cmsor2"/>
      </w:pPr>
      <w:bookmarkStart w:id="1035" w:name="_Toc243900456"/>
      <w:r>
        <w:t>Analytical and interpretive markup</w:t>
      </w:r>
      <w:bookmarkEnd w:id="1035"/>
    </w:p>
    <w:p w14:paraId="7F61A6F2" w14:textId="77777777">
      <w:r>
        <w:t>The encoding prescribed for numbers and abbreviations in §</w:t>
      </w:r>
      <w:r>
        <w:fldChar w:fldCharType="begin"/>
      </w:r>
      <w:r>
        <w:instrText xml:space="preserve"> REF _Ref232002354 \r \h </w:instrText>
      </w:r>
      <w:r>
        <w:fldChar w:fldCharType="separate"/>
      </w:r>
      <w:r>
        <w:t>9</w:t>
      </w:r>
      <w:r>
        <w:fldChar w:fldCharType="end"/>
      </w:r>
      <w:r>
        <w:t xml:space="preserve"> shall only be used in the edition division or in text cited verbatim from the edition as per §</w:t>
      </w:r>
      <w:r>
        <w:fldChar w:fldCharType="begin"/>
      </w:r>
      <w:r>
        <w:instrText xml:space="preserve"> REF _Ref43990337 \r \h </w:instrText>
      </w:r>
      <w:r>
        <w:fldChar w:fldCharType="separate"/>
      </w:r>
      <w:r>
        <w:t>14.1</w:t>
      </w:r>
      <w:r>
        <w:fldChar w:fldCharType="end"/>
      </w:r>
      <w:r>
        <w:t>. Conversely, the encoding of titles (§</w:t>
      </w:r>
      <w:r>
        <w:fldChar w:fldCharType="begin"/>
      </w:r>
      <w:r>
        <w:instrText xml:space="preserve"> REF _Ref233796804 \r \h </w:instrText>
      </w:r>
      <w:r>
        <w:fldChar w:fldCharType="separate"/>
      </w:r>
      <w:r>
        <w:t>14.7.1</w:t>
      </w:r>
      <w:r>
        <w:fldChar w:fldCharType="end"/>
      </w:r>
      <w:r>
        <w:t>) is only applicable outside the edition. In DHARMA practice, names (§</w:t>
      </w:r>
      <w:r>
        <w:fldChar w:fldCharType="begin"/>
      </w:r>
      <w:r>
        <w:instrText xml:space="preserve"> REF _Ref233882783 \r \h </w:instrText>
      </w:r>
      <w:r>
        <w:fldChar w:fldCharType="separate"/>
      </w:r>
      <w:r>
        <w:t>14.7.2</w:t>
      </w:r>
      <w:r>
        <w:fldChar w:fldCharType="end"/>
      </w:r>
      <w:r>
        <w:t>) are only tagged in the TEI header (§</w:t>
      </w:r>
      <w:r>
        <w:fldChar w:fldCharType="begin"/>
      </w:r>
      <w:r>
        <w:instrText xml:space="preserve"> REF _Ref43990001 \r \h </w:instrText>
      </w:r>
      <w:r>
        <w:fldChar w:fldCharType="separate"/>
      </w:r>
      <w:r>
        <w:t>15.1.2</w:t>
      </w:r>
      <w:r>
        <w:fldChar w:fldCharType="end"/>
      </w:r>
      <w:r>
        <w:t>). Additional semantic encoding (§</w:t>
      </w:r>
      <w:r>
        <w:fldChar w:fldCharType="begin"/>
      </w:r>
      <w:r>
        <w:instrText xml:space="preserve"> REF _Ref232173896 \r \h </w:instrText>
      </w:r>
      <w:r>
        <w:fldChar w:fldCharType="separate"/>
      </w:r>
      <w:r>
        <w:t>14.7.3</w:t>
      </w:r>
      <w:r>
        <w:fldChar w:fldCharType="end"/>
      </w:r>
      <w:r>
        <w:t>) is permitted but not encouraged in DHARMA editions.</w:t>
      </w:r>
    </w:p>
    <w:p w14:paraId="604E8959" w14:textId="77777777">
      <w:pPr>
        <w:pStyle w:val="Cmsor3"/>
      </w:pPr>
      <w:bookmarkStart w:id="1036" w:name="_m34hlz9vjuhp" w:colFirst="0" w:colLast="0"/>
      <w:bookmarkStart w:id="1037" w:name="_Ref233796804"/>
      <w:bookmarkStart w:id="1038" w:name="_Toc243900457"/>
      <w:bookmarkEnd w:id="1036"/>
      <w:r>
        <w:lastRenderedPageBreak/>
        <w:t>Encoding titles</w:t>
      </w:r>
      <w:bookmarkEnd w:id="1037"/>
      <w:bookmarkEnd w:id="1038"/>
    </w:p>
    <w:p w14:paraId="3FF809DA" w14:textId="77777777">
      <w:r>
        <w:t xml:space="preserve">Any titles you mention outside the edition division (for instance in a note or commentary) shall be tagged as such with the element </w:t>
      </w:r>
      <w:r>
        <w:rPr>
          <w:rStyle w:val="Code"/>
        </w:rPr>
        <w:t>&lt;title&gt;</w:t>
      </w:r>
      <w:r>
        <w:t>.</w:t>
      </w:r>
    </w:p>
    <w:p w14:paraId="299EC6F7" w14:textId="77777777">
      <w:pPr>
        <w:pStyle w:val="Lista"/>
      </w:pPr>
      <w:r>
        <w:t>titles to be tagged in this way include</w:t>
      </w:r>
    </w:p>
    <w:p w14:paraId="4B43B23E" w14:textId="77777777">
      <w:pPr>
        <w:pStyle w:val="Lista2"/>
      </w:pPr>
      <w:r>
        <w:t xml:space="preserve">non-epigraphic primary sources </w:t>
      </w:r>
      <w:r>
        <w:rPr>
          <w:noProof/>
        </w:rPr>
        <w:t>(</w:t>
      </w:r>
      <w:r>
        <w:t xml:space="preserve">literary texts), e.g. </w:t>
      </w:r>
      <w:r>
        <w:rPr>
          <w:rStyle w:val="Code"/>
        </w:rPr>
        <w:t>&lt;title&gt;</w:t>
      </w:r>
      <w:r>
        <w:rPr>
          <w:rStyle w:val="Codetext"/>
        </w:rPr>
        <w:t>Harivaṁśa</w:t>
      </w:r>
      <w:r>
        <w:rPr>
          <w:rStyle w:val="Code"/>
        </w:rPr>
        <w:t>&lt;/title&gt;</w:t>
      </w:r>
    </w:p>
    <w:p w14:paraId="7F19DD6B" w14:textId="77777777">
      <w:pPr>
        <w:pStyle w:val="Lista2"/>
      </w:pPr>
      <w:r>
        <w:t xml:space="preserve">secondary sources </w:t>
      </w:r>
      <w:r>
        <w:rPr>
          <w:noProof/>
        </w:rPr>
        <w:t>(</w:t>
      </w:r>
      <w:r>
        <w:t>scholarly literature), regardless of whether the title is cited</w:t>
      </w:r>
    </w:p>
    <w:p w14:paraId="1E505D77" w14:textId="77777777">
      <w:pPr>
        <w:pStyle w:val="Lista3"/>
      </w:pPr>
      <w:r>
        <w:t xml:space="preserve">in full, e.g. </w:t>
      </w:r>
      <w:r>
        <w:rPr>
          <w:rStyle w:val="Code"/>
        </w:rPr>
        <w:t>&lt;title&gt;</w:t>
      </w:r>
      <w:r>
        <w:rPr>
          <w:rStyle w:val="Codetext"/>
        </w:rPr>
        <w:t>Early History of the Deccan</w:t>
      </w:r>
      <w:r>
        <w:rPr>
          <w:rStyle w:val="Code"/>
        </w:rPr>
        <w:t>&lt;/title&gt;</w:t>
      </w:r>
      <w:r>
        <w:t>, or</w:t>
      </w:r>
    </w:p>
    <w:p w14:paraId="0C1E60FF" w14:textId="77777777">
      <w:pPr>
        <w:pStyle w:val="Lista3"/>
      </w:pPr>
      <w:r>
        <w:t xml:space="preserve">in abbreviated form, e.g. </w:t>
      </w:r>
      <w:r>
        <w:rPr>
          <w:rStyle w:val="Code"/>
        </w:rPr>
        <w:t>&lt;title&gt;</w:t>
      </w:r>
      <w:r>
        <w:rPr>
          <w:rStyle w:val="Codetext"/>
        </w:rPr>
        <w:t>Mahâbodhi</w:t>
      </w:r>
      <w:r>
        <w:rPr>
          <w:rStyle w:val="Code"/>
        </w:rPr>
        <w:t>&lt;/title&gt;</w:t>
      </w:r>
      <w:r>
        <w:t xml:space="preserve"> for the title </w:t>
      </w:r>
      <w:r>
        <w:rPr>
          <w:rStyle w:val="Foreign"/>
        </w:rPr>
        <w:t>Mahâbodhi, or the great Buddhist temple under the Bodhi tree at Buddha-Gaya</w:t>
      </w:r>
      <w:r>
        <w:t>, or</w:t>
      </w:r>
    </w:p>
    <w:p w14:paraId="047BC40C" w14:textId="77777777">
      <w:pPr>
        <w:pStyle w:val="Lista3"/>
      </w:pPr>
      <w:r>
        <w:t xml:space="preserve">as a widely known acronym, e.g. </w:t>
      </w:r>
      <w:r>
        <w:rPr>
          <w:rStyle w:val="Code"/>
        </w:rPr>
        <w:t>&lt;title&gt;</w:t>
      </w:r>
      <w:r>
        <w:rPr>
          <w:rStyle w:val="Codetext"/>
        </w:rPr>
        <w:t>OJED</w:t>
      </w:r>
      <w:r>
        <w:rPr>
          <w:rStyle w:val="Code"/>
        </w:rPr>
        <w:t>&lt;/title&gt;</w:t>
      </w:r>
      <w:r>
        <w:t xml:space="preserve"> for the title </w:t>
      </w:r>
      <w:r>
        <w:rPr>
          <w:rStyle w:val="Foreign"/>
        </w:rPr>
        <w:t>Old Javanese-English dictionary</w:t>
      </w:r>
    </w:p>
    <w:p w14:paraId="1B1CB6AF" w14:textId="77777777">
      <w:pPr>
        <w:pStyle w:val="Lista"/>
      </w:pPr>
      <w:r>
        <w:t>“titles” designating inscriptions shall not be encoded in this way</w:t>
      </w:r>
    </w:p>
    <w:p w14:paraId="37992580" w14:textId="77777777">
      <w:pPr>
        <w:pStyle w:val="Lista2"/>
      </w:pPr>
      <w:r>
        <w:t>but inscriptions edited in the DHARMA corpus are to be encoded as per §</w:t>
      </w:r>
      <w:r>
        <w:fldChar w:fldCharType="begin"/>
      </w:r>
      <w:r>
        <w:instrText xml:space="preserve"> REF _Ref148531705 \r \h </w:instrText>
      </w:r>
      <w:r>
        <w:fldChar w:fldCharType="separate"/>
      </w:r>
      <w:r>
        <w:t>14.6.4.1</w:t>
      </w:r>
      <w:r>
        <w:fldChar w:fldCharType="end"/>
      </w:r>
    </w:p>
    <w:p w14:paraId="094075BF" w14:textId="77777777">
      <w:pPr>
        <w:pStyle w:val="Lista"/>
      </w:pPr>
      <w:r>
        <w:t>by default, all titles tagged with this element will be displayed in italics; when this is not desired, choose the applicable from the following options</w:t>
      </w:r>
    </w:p>
    <w:p w14:paraId="08F1D67D" w14:textId="77777777">
      <w:pPr>
        <w:pStyle w:val="Lista2"/>
      </w:pPr>
      <w:r>
        <w:t xml:space="preserve">for titles of chapters </w:t>
      </w:r>
      <w:r>
        <w:rPr>
          <w:noProof/>
        </w:rPr>
        <w:t>(</w:t>
      </w:r>
      <w:r>
        <w:t xml:space="preserve">e.g. in a multi-author book) and articles </w:t>
      </w:r>
      <w:r>
        <w:rPr>
          <w:noProof/>
        </w:rPr>
        <w:t>(</w:t>
      </w:r>
      <w:r>
        <w:t xml:space="preserve">e.g. in a journal), add the attribute </w:t>
      </w:r>
      <w:r>
        <w:rPr>
          <w:rStyle w:val="Codeattribute"/>
        </w:rPr>
        <w:t>@level</w:t>
      </w:r>
      <w:r>
        <w:t xml:space="preserve"> with the value </w:t>
      </w:r>
      <w:r>
        <w:rPr>
          <w:rStyle w:val="Codevalue"/>
        </w:rPr>
        <w:t>"a"</w:t>
      </w:r>
      <w:r>
        <w:t xml:space="preserve"> </w:t>
      </w:r>
      <w:r>
        <w:rPr>
          <w:noProof/>
        </w:rPr>
        <w:t>(</w:t>
      </w:r>
      <w:r>
        <w:t>for “analytic”)</w:t>
      </w:r>
    </w:p>
    <w:p w14:paraId="40BE326E" w14:textId="77777777">
      <w:pPr>
        <w:pStyle w:val="Lista3"/>
      </w:pPr>
      <w:r>
        <w:t xml:space="preserve">e.g. </w:t>
      </w:r>
      <w:r>
        <w:rPr>
          <w:rStyle w:val="Code"/>
        </w:rPr>
        <w:t xml:space="preserve">&lt;title </w:t>
      </w:r>
      <w:r>
        <w:rPr>
          <w:rStyle w:val="Codeattribute"/>
        </w:rPr>
        <w:t>level</w:t>
      </w:r>
      <w:r>
        <w:rPr>
          <w:rStyle w:val="Code"/>
        </w:rPr>
        <w:t>=</w:t>
      </w:r>
      <w:r>
        <w:rPr>
          <w:rStyle w:val="Codevalue"/>
        </w:rPr>
        <w:t>"a"</w:t>
      </w:r>
      <w:r>
        <w:rPr>
          <w:rStyle w:val="Code"/>
        </w:rPr>
        <w:t>&gt;</w:t>
      </w:r>
      <w:r>
        <w:rPr>
          <w:rStyle w:val="Codetext"/>
        </w:rPr>
        <w:t>Grants from Valabhî</w:t>
      </w:r>
      <w:r>
        <w:rPr>
          <w:rStyle w:val="Code"/>
        </w:rPr>
        <w:t>&lt;/title&gt;</w:t>
      </w:r>
    </w:p>
    <w:p w14:paraId="5BA18891" w14:textId="77777777">
      <w:pPr>
        <w:pStyle w:val="Lista3"/>
      </w:pPr>
      <w:r>
        <w:t>titles tagged in this way will be displayed in regular type, but with quote marks added around them</w:t>
      </w:r>
    </w:p>
    <w:p w14:paraId="5F00FE03" w14:textId="77777777">
      <w:pPr>
        <w:pStyle w:val="Lista2"/>
      </w:pPr>
      <w:r>
        <w:t xml:space="preserve">for any other titles that you wish to display without italics for whatever reason, add the attribute </w:t>
      </w:r>
      <w:r>
        <w:rPr>
          <w:rStyle w:val="Codeattribute"/>
        </w:rPr>
        <w:t>@rend</w:t>
      </w:r>
      <w:r>
        <w:t xml:space="preserve"> with the value </w:t>
      </w:r>
      <w:r>
        <w:rPr>
          <w:rStyle w:val="Codevalue"/>
        </w:rPr>
        <w:t>"plain"</w:t>
      </w:r>
    </w:p>
    <w:p w14:paraId="441DA30A" w14:textId="77777777">
      <w:pPr>
        <w:pStyle w:val="Lista3"/>
      </w:pPr>
      <w:r>
        <w:t>titles tagged in this way will be displayed without any typographic distinction from the surrounding text</w:t>
      </w:r>
    </w:p>
    <w:p w14:paraId="40048A54" w14:textId="77777777">
      <w:pPr>
        <w:pStyle w:val="Cmsor3"/>
      </w:pPr>
      <w:bookmarkStart w:id="1039" w:name="_Ref233882773"/>
      <w:bookmarkStart w:id="1040" w:name="_Ref233882783"/>
      <w:bookmarkStart w:id="1041" w:name="_Toc243900458"/>
      <w:r>
        <w:t>Encoding names</w:t>
      </w:r>
      <w:bookmarkEnd w:id="1039"/>
      <w:bookmarkEnd w:id="1040"/>
      <w:bookmarkEnd w:id="1041"/>
    </w:p>
    <w:p w14:paraId="093B8E3D" w14:textId="77777777">
      <w:r>
        <w:t xml:space="preserve">Names may, in principle, be tagged anywhere in a document, but we do not recommend doing so in any content except the Responsibility Statement </w:t>
      </w:r>
      <w:r>
        <w:rPr>
          <w:noProof/>
        </w:rPr>
        <w:t>(</w:t>
      </w:r>
      <w:r>
        <w:t>§</w:t>
      </w:r>
      <w:r>
        <w:fldChar w:fldCharType="begin"/>
      </w:r>
      <w:r>
        <w:instrText xml:space="preserve"> REF _Ref43990001 \r \h  \* MERGEFORMAT </w:instrText>
      </w:r>
      <w:r>
        <w:fldChar w:fldCharType="separate"/>
      </w:r>
      <w:r>
        <w:t>15.1.2</w:t>
      </w:r>
      <w:r>
        <w:fldChar w:fldCharType="end"/>
      </w:r>
      <w:r>
        <w:t>). Both modern and historic names may be tagged for analytical purposes as indicated in §</w:t>
      </w:r>
      <w:r>
        <w:fldChar w:fldCharType="begin"/>
      </w:r>
      <w:r>
        <w:instrText xml:space="preserve"> REF _Ref232173896 \r \h </w:instrText>
      </w:r>
      <w:r>
        <w:fldChar w:fldCharType="separate"/>
      </w:r>
      <w:r>
        <w:t>14.7.3</w:t>
      </w:r>
      <w:r>
        <w:fldChar w:fldCharType="end"/>
      </w:r>
      <w:r>
        <w:t xml:space="preserve">. The required encoding for modern names in the Responsibility Statement is as follows, illustrated in </w:t>
      </w:r>
      <w:r>
        <w:fldChar w:fldCharType="begin"/>
      </w:r>
      <w:r>
        <w:instrText xml:space="preserve"> REF _Ref233883689 \h </w:instrText>
      </w:r>
      <w:r>
        <w:fldChar w:fldCharType="separate"/>
      </w:r>
      <w:r>
        <w:t xml:space="preserve">Exhibit </w:t>
      </w:r>
      <w:r>
        <w:rPr>
          <w:noProof/>
        </w:rPr>
        <w:t>14.7</w:t>
      </w:r>
      <w:r>
        <w:t>.</w:t>
      </w:r>
      <w:r>
        <w:rPr>
          <w:noProof/>
        </w:rPr>
        <w:t>A</w:t>
      </w:r>
      <w:r>
        <w:fldChar w:fldCharType="end"/>
      </w:r>
    </w:p>
    <w:p w14:paraId="4CCC65D8" w14:textId="77777777">
      <w:pPr>
        <w:pStyle w:val="Lista"/>
      </w:pPr>
      <w:bookmarkStart w:id="1042" w:name="_5n8o6akv2b3b" w:colFirst="0" w:colLast="0"/>
      <w:bookmarkEnd w:id="1042"/>
      <w:r>
        <w:t xml:space="preserve">when a contemporary name requires a tag, wrap the entire name in the element </w:t>
      </w:r>
      <w:r>
        <w:rPr>
          <w:rStyle w:val="Code"/>
        </w:rPr>
        <w:t>&lt;persName&gt;</w:t>
      </w:r>
    </w:p>
    <w:p w14:paraId="586BE556" w14:textId="77777777">
      <w:pPr>
        <w:pStyle w:val="Lista2"/>
      </w:pPr>
      <w:r>
        <w:t xml:space="preserve">if the name is that of a DHARMA project participant </w:t>
      </w:r>
      <w:r>
        <w:rPr>
          <w:noProof/>
        </w:rPr>
        <w:t>(</w:t>
      </w:r>
      <w:r>
        <w:t xml:space="preserve">such as your own name), add the attribute </w:t>
      </w:r>
      <w:r>
        <w:rPr>
          <w:rStyle w:val="Codeattribute"/>
        </w:rPr>
        <w:t>@ref</w:t>
      </w:r>
    </w:p>
    <w:p w14:paraId="3E49F43A" w14:textId="77777777">
      <w:pPr>
        <w:pStyle w:val="Lista3"/>
      </w:pPr>
      <w:r>
        <w:t xml:space="preserve">the value of this attribute shall be the personal identifier of the contributor, with the prefix </w:t>
      </w:r>
      <w:r>
        <w:rPr>
          <w:rStyle w:val="Codevalue"/>
        </w:rPr>
        <w:t>part:</w:t>
      </w:r>
      <w:r>
        <w:t xml:space="preserve"> </w:t>
      </w:r>
      <w:r>
        <w:rPr>
          <w:noProof/>
        </w:rPr>
        <w:t>(</w:t>
      </w:r>
      <w:r>
        <w:t>as an abbreviated reference to the file listing participants of the project)</w:t>
      </w:r>
    </w:p>
    <w:p w14:paraId="362B22B2" w14:textId="77777777">
      <w:pPr>
        <w:pStyle w:val="Lista3"/>
      </w:pPr>
      <w:r>
        <w:t xml:space="preserve">our personal identifiers are available at </w:t>
      </w:r>
      <w:hyperlink r:id="rId80" w:history="1">
        <w:r>
          <w:rPr>
            <w:rStyle w:val="Hiperhivatkozs"/>
          </w:rPr>
          <w:t>https://dharmalekha.info/contributors</w:t>
        </w:r>
      </w:hyperlink>
      <w:r>
        <w:t xml:space="preserve"> </w:t>
      </w:r>
    </w:p>
    <w:p w14:paraId="2FDEE766" w14:textId="77777777">
      <w:pPr>
        <w:pStyle w:val="Lista2"/>
      </w:pPr>
      <w:r>
        <w:t>persons who are not DHARMA contributors will not be identified with a machine-readable reference</w:t>
      </w:r>
    </w:p>
    <w:p w14:paraId="155FFAA4" w14:textId="77777777">
      <w:pPr>
        <w:pStyle w:val="Lista"/>
      </w:pPr>
      <w:r>
        <w:t>within this element</w:t>
      </w:r>
    </w:p>
    <w:p w14:paraId="1E1F1D1A" w14:textId="77777777">
      <w:pPr>
        <w:pStyle w:val="Lista2"/>
      </w:pPr>
      <w:r>
        <w:t xml:space="preserve">either apply the tags </w:t>
      </w:r>
      <w:r>
        <w:rPr>
          <w:rStyle w:val="Code"/>
        </w:rPr>
        <w:t>&lt;forename&gt;</w:t>
      </w:r>
      <w:r>
        <w:t xml:space="preserve"> and </w:t>
      </w:r>
      <w:r>
        <w:rPr>
          <w:rStyle w:val="Code"/>
        </w:rPr>
        <w:t>&lt;surname&gt;</w:t>
      </w:r>
      <w:r>
        <w:t xml:space="preserve"> to the respective components of the name</w:t>
      </w:r>
    </w:p>
    <w:p w14:paraId="2C0AE4F7" w14:textId="079597EB">
      <w:pPr>
        <w:pStyle w:val="Lista2"/>
      </w:pPr>
      <w:r>
        <w:t xml:space="preserve">or apply </w:t>
      </w:r>
      <w:r>
        <w:rPr>
          <w:rStyle w:val="Code"/>
        </w:rPr>
        <w:t>&lt;name&gt;</w:t>
      </w:r>
      <w:r>
        <w:t xml:space="preserve"> to the whole of a name if it cannot be broken down in this way</w:t>
      </w:r>
    </w:p>
    <w:tbl>
      <w:tblPr>
        <w:tblStyle w:val="CodeSampleTable"/>
        <w:tblW w:w="5000" w:type="pct"/>
        <w:tblLook w:val="04A0" w:firstRow="1" w:lastRow="0" w:firstColumn="1" w:lastColumn="0" w:noHBand="0" w:noVBand="1"/>
      </w:tblPr>
      <w:tblGrid>
        <w:gridCol w:w="9628"/>
      </w:tblGrid>
      <w:tr w14:paraId="1979D30E"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38FE93D3" w14:textId="77777777">
            <w:pPr>
              <w:pStyle w:val="Kpalrs"/>
            </w:pPr>
            <w:bookmarkStart w:id="1043" w:name="_Ref233883689"/>
            <w:r>
              <w:t xml:space="preserve">Exhibit </w:t>
            </w:r>
            <w:fldSimple w:instr=" STYLEREF 2 \s ">
              <w:r>
                <w:rPr>
                  <w:noProof/>
                </w:rPr>
                <w:t>14.7</w:t>
              </w:r>
            </w:fldSimple>
            <w:r>
              <w:t>.</w:t>
            </w:r>
            <w:fldSimple w:instr=" SEQ Exhibit \* ALPHABETIC \s 2 ">
              <w:r>
                <w:rPr>
                  <w:noProof/>
                </w:rPr>
                <w:t>A</w:t>
              </w:r>
            </w:fldSimple>
            <w:bookmarkEnd w:id="1043"/>
            <w:r>
              <w:t>: encoding the name of a project participant</w:t>
            </w:r>
          </w:p>
        </w:tc>
      </w:tr>
      <w:tr w14:paraId="03DE62F5" w14:textId="77777777">
        <w:tc>
          <w:tcPr>
            <w:tcW w:w="5000" w:type="pct"/>
          </w:tcPr>
          <w:p w14:paraId="71A28BE9" w14:textId="77777777">
            <w:pPr>
              <w:pStyle w:val="TableNote"/>
            </w:pPr>
            <w:r>
              <w:t>with forename and surname</w:t>
            </w:r>
          </w:p>
        </w:tc>
      </w:tr>
      <w:tr w14:paraId="2836AF2F" w14:textId="77777777">
        <w:tc>
          <w:tcPr>
            <w:tcW w:w="5000" w:type="pct"/>
          </w:tcPr>
          <w:p w14:paraId="0587077B" w14:textId="77777777">
            <w:pPr>
              <w:pStyle w:val="CodeParagraph"/>
              <w:rPr>
                <w:rStyle w:val="Code"/>
              </w:rPr>
            </w:pPr>
            <w:r>
              <w:rPr>
                <w:rStyle w:val="Code"/>
              </w:rPr>
              <w:t xml:space="preserve">&lt;persName </w:t>
            </w:r>
            <w:r>
              <w:rPr>
                <w:rStyle w:val="Codeattribute"/>
              </w:rPr>
              <w:t>ref</w:t>
            </w:r>
            <w:r>
              <w:rPr>
                <w:rStyle w:val="Code"/>
              </w:rPr>
              <w:t>=</w:t>
            </w:r>
            <w:r>
              <w:rPr>
                <w:rStyle w:val="Codevalue"/>
              </w:rPr>
              <w:t>"part:argr"</w:t>
            </w:r>
            <w:r>
              <w:rPr>
                <w:rStyle w:val="Code"/>
              </w:rPr>
              <w:t>&gt;</w:t>
            </w:r>
            <w:r>
              <w:rPr>
                <w:rStyle w:val="Codetext"/>
              </w:rPr>
              <w:br/>
              <w:t xml:space="preserve">  </w:t>
            </w:r>
            <w:r>
              <w:rPr>
                <w:rStyle w:val="Code"/>
              </w:rPr>
              <w:t>&lt;forename&gt;</w:t>
            </w:r>
            <w:r>
              <w:rPr>
                <w:rStyle w:val="Codetext"/>
              </w:rPr>
              <w:t>Arlo</w:t>
            </w:r>
            <w:r>
              <w:rPr>
                <w:rStyle w:val="Code"/>
              </w:rPr>
              <w:t>&lt;/forename&gt;</w:t>
            </w:r>
            <w:r>
              <w:rPr>
                <w:rStyle w:val="Codetext"/>
              </w:rPr>
              <w:br/>
              <w:t xml:space="preserve">  </w:t>
            </w:r>
            <w:r>
              <w:rPr>
                <w:rStyle w:val="Code"/>
              </w:rPr>
              <w:t>&lt;surname&gt;</w:t>
            </w:r>
            <w:r>
              <w:rPr>
                <w:rStyle w:val="Codetext"/>
              </w:rPr>
              <w:t>Griffiths</w:t>
            </w:r>
            <w:r>
              <w:rPr>
                <w:rStyle w:val="Code"/>
              </w:rPr>
              <w:t>&lt;/surname&gt;</w:t>
            </w:r>
            <w:r>
              <w:rPr>
                <w:rStyle w:val="Codetext"/>
              </w:rPr>
              <w:br/>
            </w:r>
            <w:r>
              <w:rPr>
                <w:rStyle w:val="Code"/>
              </w:rPr>
              <w:t>&lt;/persName&gt;</w:t>
            </w:r>
          </w:p>
        </w:tc>
      </w:tr>
      <w:tr w14:paraId="669DF21C" w14:textId="77777777">
        <w:tc>
          <w:tcPr>
            <w:tcW w:w="5000" w:type="pct"/>
          </w:tcPr>
          <w:p w14:paraId="54EB6C13" w14:textId="77777777">
            <w:pPr>
              <w:pStyle w:val="TableNote"/>
            </w:pPr>
            <w:r>
              <w:t>with a name that resists breaking down into forename and surname</w:t>
            </w:r>
          </w:p>
        </w:tc>
      </w:tr>
      <w:tr w14:paraId="3939E322" w14:textId="77777777">
        <w:tc>
          <w:tcPr>
            <w:tcW w:w="5000" w:type="pct"/>
          </w:tcPr>
          <w:p w14:paraId="545E1AE0" w14:textId="77777777">
            <w:pPr>
              <w:pStyle w:val="CodeParagraph"/>
              <w:rPr>
                <w:rStyle w:val="Code"/>
              </w:rPr>
            </w:pPr>
            <w:r>
              <w:rPr>
                <w:rStyle w:val="Code"/>
              </w:rPr>
              <w:t xml:space="preserve">&lt;persName </w:t>
            </w:r>
            <w:r>
              <w:rPr>
                <w:rStyle w:val="Codeattribute"/>
              </w:rPr>
              <w:t>ref</w:t>
            </w:r>
            <w:r>
              <w:rPr>
                <w:rStyle w:val="Code"/>
              </w:rPr>
              <w:t>=</w:t>
            </w:r>
            <w:r>
              <w:rPr>
                <w:rStyle w:val="Codevalue"/>
              </w:rPr>
              <w:t>"part:</w:t>
            </w:r>
            <w:r>
              <w:t xml:space="preserve"> </w:t>
            </w:r>
            <w:r>
              <w:rPr>
                <w:rStyle w:val="Codevalue"/>
              </w:rPr>
              <w:t>dapu"</w:t>
            </w:r>
            <w:r>
              <w:rPr>
                <w:rStyle w:val="Code"/>
              </w:rPr>
              <w:t>&gt;</w:t>
            </w:r>
            <w:r>
              <w:rPr>
                <w:rStyle w:val="Codetext"/>
              </w:rPr>
              <w:br/>
              <w:t xml:space="preserve">  </w:t>
            </w:r>
            <w:r>
              <w:rPr>
                <w:rStyle w:val="Code"/>
              </w:rPr>
              <w:t>&lt;name&gt;</w:t>
            </w:r>
            <w:r>
              <w:rPr>
                <w:rStyle w:val="Codetext"/>
              </w:rPr>
              <w:t>I Gde Agus Darma Putra</w:t>
            </w:r>
            <w:r>
              <w:rPr>
                <w:rStyle w:val="Code"/>
              </w:rPr>
              <w:t>&lt;/name&gt;</w:t>
            </w:r>
            <w:r>
              <w:rPr>
                <w:rStyle w:val="Codetext"/>
              </w:rPr>
              <w:br/>
            </w:r>
            <w:r>
              <w:rPr>
                <w:rStyle w:val="Code"/>
              </w:rPr>
              <w:t>&lt;/persName&gt;</w:t>
            </w:r>
          </w:p>
        </w:tc>
      </w:tr>
    </w:tbl>
    <w:p w14:paraId="7CCB6E6F" w14:textId="77777777"/>
    <w:p w14:paraId="2358856C" w14:textId="77777777">
      <w:pPr>
        <w:pStyle w:val="Cmsor3"/>
      </w:pPr>
      <w:bookmarkStart w:id="1044" w:name="_yz32t9xtry6d" w:colFirst="0" w:colLast="0"/>
      <w:bookmarkStart w:id="1045" w:name="_Ref232173896"/>
      <w:bookmarkStart w:id="1046" w:name="_Toc243900459"/>
      <w:bookmarkEnd w:id="1044"/>
      <w:r>
        <w:lastRenderedPageBreak/>
        <w:t xml:space="preserve">Other interpretive and analytical </w:t>
      </w:r>
      <w:bookmarkEnd w:id="1045"/>
      <w:r>
        <w:t>encoding</w:t>
      </w:r>
      <w:bookmarkEnd w:id="1046"/>
    </w:p>
    <w:p w14:paraId="160345B2" w14:textId="77777777">
      <w:r>
        <w:t>As noted in the introduction to §</w:t>
      </w:r>
      <w:r>
        <w:fldChar w:fldCharType="begin"/>
      </w:r>
      <w:r>
        <w:instrText xml:space="preserve"> REF _Ref232002354 \r \h </w:instrText>
      </w:r>
      <w:r>
        <w:fldChar w:fldCharType="separate"/>
      </w:r>
      <w:r>
        <w:t>9</w:t>
      </w:r>
      <w:r>
        <w:fldChar w:fldCharType="end"/>
      </w:r>
      <w:r>
        <w:t>, interpretive tagging other than the kinds explicitly prescribed by this Guide is not encouraged in DHARMA editions because it greatly increases the presence of overlapping hierarchies in our documents. While project members as well as others adopting the DHARMA encoding scheme are free to experiment with encoding additional interpretive detail, on the whole we recommend that analytical tags should only be added to editions once an entire subcorpus has been encoded as documentary editions and once the precise range of interpretive elements and the conditions of their use has been determined after ripe reflection on the texts and consideration of a particular (set of) research question(s). Even in such a case, it may be desirable to create a fork of the subcorpus, strip it of most of the documentary encoding, and add interpretive encoding to this stripped version.</w:t>
      </w:r>
    </w:p>
    <w:p w14:paraId="16957FC1" w14:textId="77777777">
      <w:pPr>
        <w:ind w:firstLine="567"/>
      </w:pPr>
      <w:r>
        <w:t>Interpretive tags may be used in the editions or, with a smaller potential for conflict with other elements, in modern-language translations and annotations. Any such tagging that you do choose to apply should be implemented in accordance with the workflow of your task force as determined by and in consultation with the PI of your task force. It is your responsibility as encoder to ensure that overlapping hierarchies are properly handled, without disrupting editorial encoding such as that for reading difficulties and structural containers.</w:t>
      </w:r>
    </w:p>
    <w:p w14:paraId="0052CA89" w14:textId="77777777"/>
    <w:p w14:paraId="03309ED3" w14:textId="77777777">
      <w:r>
        <w:t>The DHARMA schema permits the following potentially useful interpretive tags, which shall be used in the manner and with the attributes endorsed by the TEI guidelines.</w:t>
      </w:r>
    </w:p>
    <w:p w14:paraId="7B49A8D7" w14:textId="77777777">
      <w:pPr>
        <w:pStyle w:val="Lista"/>
      </w:pPr>
      <w:r>
        <w:rPr>
          <w:rStyle w:val="Code"/>
        </w:rPr>
        <w:t>&lt;persName&gt;</w:t>
      </w:r>
      <w:r>
        <w:t xml:space="preserve"> – for proper nouns referring to a person, e.g. </w:t>
      </w:r>
      <w:r>
        <w:rPr>
          <w:rStyle w:val="Code"/>
        </w:rPr>
        <w:t xml:space="preserve">&lt;persName </w:t>
      </w:r>
      <w:r>
        <w:rPr>
          <w:rStyle w:val="Codeattribute"/>
        </w:rPr>
        <w:t>type</w:t>
      </w:r>
      <w:r>
        <w:rPr>
          <w:rStyle w:val="Code"/>
        </w:rPr>
        <w:t>=</w:t>
      </w:r>
      <w:r>
        <w:rPr>
          <w:rStyle w:val="Codevalue"/>
        </w:rPr>
        <w:t>"human"</w:t>
      </w:r>
      <w:r>
        <w:t xml:space="preserve"> </w:t>
      </w:r>
      <w:r>
        <w:rPr>
          <w:rStyle w:val="Codeattribute"/>
        </w:rPr>
        <w:t>ref</w:t>
      </w:r>
      <w:r>
        <w:rPr>
          <w:rStyle w:val="Code"/>
        </w:rPr>
        <w:t>=</w:t>
      </w:r>
      <w:r>
        <w:rPr>
          <w:rStyle w:val="Codevalue"/>
        </w:rPr>
        <w:t>"#Rajaraja1"</w:t>
      </w:r>
      <w:r>
        <w:rPr>
          <w:rStyle w:val="Code"/>
        </w:rPr>
        <w:t>&gt;</w:t>
      </w:r>
      <w:r>
        <w:rPr>
          <w:rStyle w:val="Codetext"/>
        </w:rPr>
        <w:t>Arumoḻivarmaṉ</w:t>
      </w:r>
      <w:r>
        <w:rPr>
          <w:rStyle w:val="Code"/>
        </w:rPr>
        <w:t>&lt;/persName&gt;</w:t>
      </w:r>
    </w:p>
    <w:p w14:paraId="53DF446B" w14:textId="77777777">
      <w:pPr>
        <w:pStyle w:val="Lista"/>
      </w:pPr>
      <w:r>
        <w:rPr>
          <w:rStyle w:val="Code"/>
        </w:rPr>
        <w:t>&lt;placeName&gt;</w:t>
      </w:r>
      <w:r>
        <w:t xml:space="preserve"> – for proper nouns and other terms referring to a place </w:t>
      </w:r>
      <w:r>
        <w:rPr>
          <w:rStyle w:val="Code"/>
        </w:rPr>
        <w:t xml:space="preserve">&lt;placeName </w:t>
      </w:r>
      <w:r>
        <w:rPr>
          <w:rStyle w:val="Codeattribute"/>
        </w:rPr>
        <w:t>type</w:t>
      </w:r>
      <w:r>
        <w:rPr>
          <w:rStyle w:val="Code"/>
        </w:rPr>
        <w:t>=</w:t>
      </w:r>
      <w:r>
        <w:rPr>
          <w:rStyle w:val="Codevalue"/>
        </w:rPr>
        <w:t>"territorialDivision"</w:t>
      </w:r>
      <w:r>
        <w:rPr>
          <w:rStyle w:val="Code"/>
        </w:rPr>
        <w:t xml:space="preserve"> </w:t>
      </w:r>
      <w:r>
        <w:rPr>
          <w:rStyle w:val="Codeattribute"/>
        </w:rPr>
        <w:t>subtype</w:t>
      </w:r>
      <w:r>
        <w:rPr>
          <w:rStyle w:val="Code"/>
        </w:rPr>
        <w:t>=</w:t>
      </w:r>
      <w:r>
        <w:rPr>
          <w:rStyle w:val="Codevalue"/>
        </w:rPr>
        <w:t>"village"</w:t>
      </w:r>
      <w:r>
        <w:rPr>
          <w:rStyle w:val="Code"/>
        </w:rPr>
        <w:t>&gt;c</w:t>
      </w:r>
      <w:r>
        <w:rPr>
          <w:rStyle w:val="Codetext"/>
        </w:rPr>
        <w:t>ārukūr</w:t>
      </w:r>
      <w:r>
        <w:rPr>
          <w:rStyle w:val="Code"/>
        </w:rPr>
        <w:t>&lt;/placeName&gt;</w:t>
      </w:r>
    </w:p>
    <w:p w14:paraId="37508E52" w14:textId="77777777">
      <w:pPr>
        <w:pStyle w:val="Lista"/>
      </w:pPr>
      <w:r>
        <w:rPr>
          <w:rStyle w:val="Code"/>
        </w:rPr>
        <w:t>&lt;roleName&gt;</w:t>
      </w:r>
      <w:r>
        <w:t xml:space="preserve"> – for a name component which indicates that the referent has a particular role or position in society, e.g. </w:t>
      </w:r>
      <w:r>
        <w:rPr>
          <w:rStyle w:val="Code"/>
        </w:rPr>
        <w:t xml:space="preserve">&lt;roleName </w:t>
      </w:r>
      <w:r>
        <w:rPr>
          <w:rStyle w:val="Codeattribute"/>
        </w:rPr>
        <w:t>type</w:t>
      </w:r>
      <w:r>
        <w:rPr>
          <w:rStyle w:val="Code"/>
        </w:rPr>
        <w:t>=</w:t>
      </w:r>
      <w:r>
        <w:rPr>
          <w:rStyle w:val="Codevalue"/>
        </w:rPr>
        <w:t>"king"</w:t>
      </w:r>
      <w:r>
        <w:rPr>
          <w:rStyle w:val="Code"/>
        </w:rPr>
        <w:t>&gt;</w:t>
      </w:r>
      <w:r>
        <w:rPr>
          <w:rStyle w:val="Codetext"/>
        </w:rPr>
        <w:t>mahārājādhirāja</w:t>
      </w:r>
      <w:r>
        <w:rPr>
          <w:rStyle w:val="Code"/>
        </w:rPr>
        <w:t>&lt;/roleName&gt;</w:t>
      </w:r>
    </w:p>
    <w:p w14:paraId="2870A446" w14:textId="77777777">
      <w:pPr>
        <w:pStyle w:val="Lista"/>
      </w:pPr>
      <w:r>
        <w:rPr>
          <w:rStyle w:val="Code"/>
        </w:rPr>
        <w:t>&lt;date&gt;</w:t>
      </w:r>
      <w:r>
        <w:t xml:space="preserve"> – for dates in any form, e.g. </w:t>
      </w:r>
      <w:r>
        <w:rPr>
          <w:rStyle w:val="Code"/>
        </w:rPr>
        <w:t xml:space="preserve">&lt;date </w:t>
      </w:r>
      <w:r>
        <w:rPr>
          <w:rStyle w:val="Codeattribute"/>
        </w:rPr>
        <w:t>calendar</w:t>
      </w:r>
      <w:r>
        <w:rPr>
          <w:rStyle w:val="Code"/>
        </w:rPr>
        <w:t>=</w:t>
      </w:r>
      <w:r>
        <w:rPr>
          <w:rStyle w:val="Codevalue"/>
        </w:rPr>
        <w:t>"saka"</w:t>
      </w:r>
      <w:r>
        <w:rPr>
          <w:rStyle w:val="Codeattribute"/>
        </w:rPr>
        <w:t xml:space="preserve"> notBefore</w:t>
      </w:r>
      <w:r>
        <w:rPr>
          <w:rStyle w:val="Code"/>
        </w:rPr>
        <w:t>=</w:t>
      </w:r>
      <w:r>
        <w:rPr>
          <w:rStyle w:val="Codevalue"/>
        </w:rPr>
        <w:t>"0921"</w:t>
      </w:r>
      <w:r>
        <w:rPr>
          <w:rStyle w:val="Codeattribute"/>
        </w:rPr>
        <w:t xml:space="preserve"> notAfter</w:t>
      </w:r>
      <w:r>
        <w:rPr>
          <w:rStyle w:val="Code"/>
        </w:rPr>
        <w:t>=</w:t>
      </w:r>
      <w:r>
        <w:rPr>
          <w:rStyle w:val="Codevalue"/>
        </w:rPr>
        <w:t>"0923"</w:t>
      </w:r>
      <w:r>
        <w:rPr>
          <w:rStyle w:val="Code"/>
        </w:rPr>
        <w:t>&gt;</w:t>
      </w:r>
      <w:r>
        <w:rPr>
          <w:rStyle w:val="Codetext"/>
        </w:rPr>
        <w:t>śaka-vatsareṣu vedāṁburāśi-nidhi-varttiṣu</w:t>
      </w:r>
      <w:r>
        <w:rPr>
          <w:rStyle w:val="Code"/>
        </w:rPr>
        <w:t>&lt;/date&gt;</w:t>
      </w:r>
    </w:p>
    <w:p w14:paraId="045AEC06" w14:textId="77777777">
      <w:pPr>
        <w:pStyle w:val="Lista"/>
      </w:pPr>
      <w:r>
        <w:rPr>
          <w:rStyle w:val="Code"/>
        </w:rPr>
        <w:t>&lt;measure&gt;</w:t>
      </w:r>
      <w:r>
        <w:t xml:space="preserve"> – for quantities of an object or commodity, e.g. </w:t>
      </w:r>
      <w:r>
        <w:rPr>
          <w:rStyle w:val="Code"/>
        </w:rPr>
        <w:t xml:space="preserve">&lt;measure </w:t>
      </w:r>
      <w:r>
        <w:rPr>
          <w:rStyle w:val="Codeattribute"/>
        </w:rPr>
        <w:t>unit</w:t>
      </w:r>
      <w:r>
        <w:rPr>
          <w:rStyle w:val="Code"/>
        </w:rPr>
        <w:t>=</w:t>
      </w:r>
      <w:r>
        <w:rPr>
          <w:rStyle w:val="Codevalue"/>
        </w:rPr>
        <w:t>"kaḻañcu"</w:t>
      </w:r>
      <w:r>
        <w:rPr>
          <w:rStyle w:val="Code"/>
        </w:rPr>
        <w:t xml:space="preserve"> </w:t>
      </w:r>
      <w:r>
        <w:rPr>
          <w:rStyle w:val="Codeattribute"/>
        </w:rPr>
        <w:t>quantity</w:t>
      </w:r>
      <w:r>
        <w:rPr>
          <w:rStyle w:val="Code"/>
        </w:rPr>
        <w:t>=</w:t>
      </w:r>
      <w:r>
        <w:rPr>
          <w:rStyle w:val="Codevalue"/>
        </w:rPr>
        <w:t>"100"</w:t>
      </w:r>
      <w:r>
        <w:rPr>
          <w:rStyle w:val="Code"/>
        </w:rPr>
        <w:t xml:space="preserve"> </w:t>
      </w:r>
      <w:r>
        <w:rPr>
          <w:rStyle w:val="Codeattribute"/>
        </w:rPr>
        <w:t>commodity</w:t>
      </w:r>
      <w:r>
        <w:rPr>
          <w:rStyle w:val="Code"/>
        </w:rPr>
        <w:t>=</w:t>
      </w:r>
      <w:r>
        <w:rPr>
          <w:rStyle w:val="Codevalue"/>
        </w:rPr>
        <w:t>"gold"</w:t>
      </w:r>
      <w:r>
        <w:rPr>
          <w:rStyle w:val="Code"/>
        </w:rPr>
        <w:t>&gt;</w:t>
      </w:r>
      <w:r>
        <w:rPr>
          <w:rStyle w:val="Codetext"/>
        </w:rPr>
        <w:t>nūṟṟu-k kaḻañcu poṉṉum</w:t>
      </w:r>
      <w:r>
        <w:rPr>
          <w:rStyle w:val="Code"/>
        </w:rPr>
        <w:t>&lt;/measure&gt;</w:t>
      </w:r>
    </w:p>
    <w:p w14:paraId="2F1D4672" w14:textId="77777777">
      <w:pPr>
        <w:pStyle w:val="Lista"/>
      </w:pPr>
      <w:r>
        <w:rPr>
          <w:rStyle w:val="Code"/>
        </w:rPr>
        <w:t>&lt;rs&gt;</w:t>
      </w:r>
      <w:r>
        <w:t xml:space="preserve"> – for general-purpose “referring strings” not covered by the specific elements above</w:t>
      </w:r>
    </w:p>
    <w:p w14:paraId="112459F6" w14:textId="77777777">
      <w:pPr>
        <w:pStyle w:val="Lista"/>
      </w:pPr>
      <w:r>
        <w:rPr>
          <w:rStyle w:val="Code"/>
        </w:rPr>
        <w:t>&lt;anchor/&gt;</w:t>
      </w:r>
      <w:r>
        <w:t xml:space="preserve"> – for marking arbitrary points in the document, which may be used as boundary markers for segments of analytic interest without generating overlapping XML hierarchies</w:t>
      </w:r>
    </w:p>
    <w:p w14:paraId="3A9BDDFA" w14:textId="77777777">
      <w:pPr>
        <w:pStyle w:val="Cmsor1"/>
      </w:pPr>
      <w:bookmarkStart w:id="1047" w:name="_ulwrsat15v9f" w:colFirst="0" w:colLast="0"/>
      <w:bookmarkStart w:id="1048" w:name="_k9hfjcx1f0k3" w:colFirst="0" w:colLast="0"/>
      <w:bookmarkStart w:id="1049" w:name="_Ref43978719"/>
      <w:bookmarkStart w:id="1050" w:name="_Toc243900460"/>
      <w:bookmarkEnd w:id="1047"/>
      <w:bookmarkEnd w:id="1048"/>
      <w:r>
        <w:lastRenderedPageBreak/>
        <w:t>The TEI Header</w:t>
      </w:r>
      <w:bookmarkEnd w:id="1049"/>
      <w:bookmarkEnd w:id="1050"/>
    </w:p>
    <w:p w14:paraId="089F8EB9" w14:textId="77777777">
      <w:r>
        <w:t>The TEI header (introduced in §</w:t>
      </w:r>
      <w:r>
        <w:fldChar w:fldCharType="begin"/>
      </w:r>
      <w:r>
        <w:instrText xml:space="preserve"> REF _Ref233892229 \r \h </w:instrText>
      </w:r>
      <w:r>
        <w:fldChar w:fldCharType="separate"/>
      </w:r>
      <w:r>
        <w:t>2.3.2</w:t>
      </w:r>
      <w:r>
        <w:fldChar w:fldCharType="end"/>
      </w:r>
      <w:r>
        <w:t>) presents marked-up metadata about the XML document and about the inscription and artefact</w:t>
      </w:r>
      <w:r>
        <w:rPr>
          <w:noProof/>
        </w:rPr>
        <w:t>(</w:t>
      </w:r>
      <w:r>
        <w:t>s) it concerns. The header may be composed of several high-level elements, the most prominent of which is the File Description. The following subsections outline the header elements and their contents that you will need to engage with. These guidelines are intended to help you understand the functions and structure of the TEI header, but you need not be able to create such a header from scratch. Instead, rely on our encoding template and add data to the header only where comments in the template instruct you to do so.</w:t>
      </w:r>
    </w:p>
    <w:p w14:paraId="6C330CF2" w14:textId="77777777">
      <w:pPr>
        <w:pStyle w:val="Cmsor2"/>
      </w:pPr>
      <w:bookmarkStart w:id="1051" w:name="_23j65vxuxzj5" w:colFirst="0" w:colLast="0"/>
      <w:bookmarkStart w:id="1052" w:name="_Toc243900461"/>
      <w:bookmarkEnd w:id="1051"/>
      <w:r>
        <w:t>Describing the XML document</w:t>
      </w:r>
      <w:bookmarkEnd w:id="1052"/>
    </w:p>
    <w:p w14:paraId="7D849386" w14:textId="77777777">
      <w:r>
        <w:t xml:space="preserve">The mandatory File Description is enclosed in the element </w:t>
      </w:r>
      <w:r>
        <w:rPr>
          <w:rStyle w:val="Code"/>
        </w:rPr>
        <w:t>&lt;fileDesc&gt;</w:t>
      </w:r>
      <w:r>
        <w:t xml:space="preserve">. The first part of this section describes the current digital edition, with the following mandatory contents in DHARMA editions, illustrated in </w:t>
      </w:r>
      <w:r>
        <w:fldChar w:fldCharType="begin"/>
      </w:r>
      <w:r>
        <w:instrText xml:space="preserve"> REF _Ref239753712 \h </w:instrText>
      </w:r>
      <w:r>
        <w:fldChar w:fldCharType="separate"/>
      </w:r>
      <w:r>
        <w:t xml:space="preserve">Exhibit </w:t>
      </w:r>
      <w:r>
        <w:rPr>
          <w:noProof/>
        </w:rPr>
        <w:t>15.1</w:t>
      </w:r>
      <w:r>
        <w:t>.</w:t>
      </w:r>
      <w:r>
        <w:rPr>
          <w:noProof/>
        </w:rPr>
        <w:t>A</w:t>
      </w:r>
      <w:r>
        <w:fldChar w:fldCharType="end"/>
      </w:r>
    </w:p>
    <w:p w14:paraId="621C865F" w14:textId="77777777">
      <w:pPr>
        <w:pStyle w:val="Lista"/>
      </w:pPr>
      <w:r>
        <w:t xml:space="preserve">a Title Statement, wrapped in the element </w:t>
      </w:r>
      <w:r>
        <w:rPr>
          <w:rStyle w:val="Code"/>
        </w:rPr>
        <w:t>&lt;titleStmt&gt;</w:t>
      </w:r>
      <w:r>
        <w:t>, with the following items</w:t>
      </w:r>
    </w:p>
    <w:p w14:paraId="7B5BCCBD" w14:textId="77777777">
      <w:pPr>
        <w:pStyle w:val="Lista2"/>
      </w:pPr>
      <w:r>
        <w:t>information about the title of the digital document (§</w:t>
      </w:r>
      <w:r>
        <w:fldChar w:fldCharType="begin"/>
      </w:r>
      <w:r>
        <w:instrText xml:space="preserve"> REF _Ref233892549 \r \h </w:instrText>
      </w:r>
      <w:r>
        <w:fldChar w:fldCharType="separate"/>
      </w:r>
      <w:r>
        <w:t>15.1.1</w:t>
      </w:r>
      <w:r>
        <w:fldChar w:fldCharType="end"/>
      </w:r>
      <w:r>
        <w:t>)</w:t>
      </w:r>
    </w:p>
    <w:p w14:paraId="0BCA73E3" w14:textId="77777777">
      <w:pPr>
        <w:pStyle w:val="Lista2"/>
      </w:pPr>
      <w:r>
        <w:t>information about the persons responsible for its content (§</w:t>
      </w:r>
      <w:r>
        <w:fldChar w:fldCharType="begin"/>
      </w:r>
      <w:r>
        <w:instrText xml:space="preserve"> REF _Ref43990001 \r \h </w:instrText>
      </w:r>
      <w:r>
        <w:fldChar w:fldCharType="separate"/>
      </w:r>
      <w:r>
        <w:t>15.1.2</w:t>
      </w:r>
      <w:r>
        <w:fldChar w:fldCharType="end"/>
      </w:r>
      <w:r>
        <w:t>)</w:t>
      </w:r>
    </w:p>
    <w:p w14:paraId="70CC7D70" w14:textId="77777777">
      <w:pPr>
        <w:pStyle w:val="Lista"/>
      </w:pPr>
      <w:r>
        <w:t xml:space="preserve">a Publication Statement, tagged as </w:t>
      </w:r>
      <w:r>
        <w:rPr>
          <w:rStyle w:val="Code"/>
        </w:rPr>
        <w:t>&lt;publicationStmt&gt;</w:t>
      </w:r>
      <w:r>
        <w:t xml:space="preserve"> and serving to group together information concerning the publication of the digital document (§</w:t>
      </w:r>
      <w:r>
        <w:fldChar w:fldCharType="begin"/>
      </w:r>
      <w:r>
        <w:instrText xml:space="preserve"> REF _Ref233892566 \r \h </w:instrText>
      </w:r>
      <w:r>
        <w:fldChar w:fldCharType="separate"/>
      </w:r>
      <w:r>
        <w:t>15.1.3</w:t>
      </w:r>
      <w:r>
        <w:fldChar w:fldCharType="end"/>
      </w:r>
      <w:r>
        <w:t>)</w:t>
      </w:r>
    </w:p>
    <w:tbl>
      <w:tblPr>
        <w:tblStyle w:val="CodeSampleTable"/>
        <w:tblW w:w="5000" w:type="pct"/>
        <w:tblLook w:val="04A0" w:firstRow="1" w:lastRow="0" w:firstColumn="1" w:lastColumn="0" w:noHBand="0" w:noVBand="1"/>
      </w:tblPr>
      <w:tblGrid>
        <w:gridCol w:w="9628"/>
      </w:tblGrid>
      <w:tr w14:paraId="2D6ADF6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FF537CE" w14:textId="77777777">
            <w:pPr>
              <w:pStyle w:val="Kpalrs"/>
            </w:pPr>
            <w:bookmarkStart w:id="1053" w:name="_Ref239753712"/>
            <w:bookmarkStart w:id="1054" w:name="_Ref239753701"/>
            <w:r>
              <w:t xml:space="preserve">Exhibit </w:t>
            </w:r>
            <w:fldSimple w:instr=" STYLEREF 2 \s ">
              <w:r>
                <w:rPr>
                  <w:noProof/>
                </w:rPr>
                <w:t>15.1</w:t>
              </w:r>
            </w:fldSimple>
            <w:r>
              <w:t>.</w:t>
            </w:r>
            <w:fldSimple w:instr=" SEQ Exhibit \* ALPHABETIC \s 2 ">
              <w:r>
                <w:rPr>
                  <w:noProof/>
                </w:rPr>
                <w:t>A</w:t>
              </w:r>
            </w:fldSimple>
            <w:bookmarkEnd w:id="1053"/>
            <w:r>
              <w:t>: the title statement and the publication statement</w:t>
            </w:r>
            <w:bookmarkEnd w:id="1054"/>
          </w:p>
        </w:tc>
      </w:tr>
      <w:tr w14:paraId="44F9C8B9" w14:textId="77777777">
        <w:tc>
          <w:tcPr>
            <w:tcW w:w="5000" w:type="pct"/>
          </w:tcPr>
          <w:p w14:paraId="780A7A11" w14:textId="77777777">
            <w:pPr>
              <w:pStyle w:val="CodeParagraph"/>
              <w:rPr>
                <w:rStyle w:val="Code"/>
              </w:rPr>
            </w:pPr>
            <w:r>
              <w:rPr>
                <w:rStyle w:val="Code"/>
              </w:rPr>
              <w:t>@add latest template code</w:t>
            </w:r>
          </w:p>
        </w:tc>
      </w:tr>
    </w:tbl>
    <w:p w14:paraId="4918F960" w14:textId="77777777">
      <w:pPr>
        <w:pStyle w:val="Cmsor3"/>
      </w:pPr>
      <w:bookmarkStart w:id="1055" w:name="_2jfs86ft37ax" w:colFirst="0" w:colLast="0"/>
      <w:bookmarkStart w:id="1056" w:name="_Ref233892549"/>
      <w:bookmarkStart w:id="1057" w:name="_Toc243900462"/>
      <w:bookmarkEnd w:id="1055"/>
      <w:r>
        <w:t>The title</w:t>
      </w:r>
      <w:bookmarkEnd w:id="1056"/>
      <w:bookmarkEnd w:id="1057"/>
    </w:p>
    <w:p w14:paraId="5E23A4AD" w14:textId="77777777">
      <w:r>
        <w:t xml:space="preserve">The mandatory </w:t>
      </w:r>
      <w:r>
        <w:rPr>
          <w:rStyle w:val="Code"/>
        </w:rPr>
        <w:t>&lt;title&gt;</w:t>
      </w:r>
      <w:r>
        <w:t xml:space="preserve"> element shall contain the primary title assigned to the text in the DHARMA corpus.</w:t>
      </w:r>
    </w:p>
    <w:p w14:paraId="187161A8" w14:textId="77777777">
      <w:pPr>
        <w:pStyle w:val="Lista"/>
      </w:pPr>
      <w:r>
        <w:t>the primary title shall be plain text in English including any applicable diacritical characters but without any additional markup</w:t>
      </w:r>
    </w:p>
    <w:p w14:paraId="50BC3795" w14:textId="77777777">
      <w:pPr>
        <w:pStyle w:val="Lista"/>
      </w:pPr>
      <w:r>
        <w:t>use a title that clearly and unambiguously identifies the inscription</w:t>
      </w:r>
    </w:p>
    <w:p w14:paraId="5FAD28E4" w14:textId="77777777">
      <w:pPr>
        <w:pStyle w:val="Lista2"/>
      </w:pPr>
      <w:r>
        <w:fldChar w:fldCharType="begin"/>
      </w:r>
      <w:r>
        <w:instrText xml:space="preserve"> REF _Ref43990834 \r \h  \* MERGEFORMAT </w:instrText>
      </w:r>
      <w:r>
        <w:fldChar w:fldCharType="separate"/>
      </w:r>
      <w:r>
        <w:t>Appendix B</w:t>
      </w:r>
      <w:r>
        <w:fldChar w:fldCharType="end"/>
      </w:r>
      <w:r>
        <w:t xml:space="preserve"> gives additional guidance for assigning titles to epigraphic texts</w:t>
      </w:r>
    </w:p>
    <w:p w14:paraId="1106A3E6" w14:textId="77777777">
      <w:pPr>
        <w:pStyle w:val="Cmsor4"/>
      </w:pPr>
      <w:bookmarkStart w:id="1058" w:name="_Ref233986980"/>
      <w:r>
        <w:t>Alternative titles</w:t>
      </w:r>
      <w:bookmarkEnd w:id="1058"/>
    </w:p>
    <w:p w14:paraId="46CA65B4" w14:textId="77777777">
      <w:r>
        <w:t>If an inscription is known by more than one designation, for example because you have given it a different title than that under which it has been published before, or because it has been published under several different titles, then alternative titles can and by recommendation should be encoded in the TEI header. Doing so allows end users to find your edition when they search for it by an alternative title.</w:t>
      </w:r>
    </w:p>
    <w:p w14:paraId="5DAC783D" w14:textId="77777777">
      <w:pPr>
        <w:pStyle w:val="Lista"/>
      </w:pPr>
      <w:r>
        <w:t xml:space="preserve">to encode alternative titles, add one or more instances of </w:t>
      </w:r>
      <w:r>
        <w:rPr>
          <w:rStyle w:val="Code"/>
        </w:rPr>
        <w:t xml:space="preserve">&lt;title </w:t>
      </w:r>
      <w:r>
        <w:rPr>
          <w:rStyle w:val="Codeattribute"/>
        </w:rPr>
        <w:t>type=</w:t>
      </w:r>
      <w:r>
        <w:rPr>
          <w:rStyle w:val="Codevalue"/>
        </w:rPr>
        <w:t>"alt"</w:t>
      </w:r>
      <w:r>
        <w:rPr>
          <w:rStyle w:val="Code"/>
        </w:rPr>
        <w:t>&gt;</w:t>
      </w:r>
      <w:r>
        <w:t xml:space="preserve"> after the primary </w:t>
      </w:r>
      <w:r>
        <w:rPr>
          <w:rStyle w:val="Code"/>
        </w:rPr>
        <w:t>&lt;title&gt;</w:t>
      </w:r>
    </w:p>
    <w:p w14:paraId="3C8DB1CC" w14:textId="77777777">
      <w:pPr>
        <w:pStyle w:val="Cmsor3"/>
      </w:pPr>
      <w:bookmarkStart w:id="1059" w:name="_r3zbaj6a07eq" w:colFirst="0" w:colLast="0"/>
      <w:bookmarkStart w:id="1060" w:name="_Ref43990001"/>
      <w:bookmarkStart w:id="1061" w:name="_Ref240273632"/>
      <w:bookmarkStart w:id="1062" w:name="_Toc243900463"/>
      <w:bookmarkEnd w:id="1059"/>
      <w:r>
        <w:t>The responsibility statement</w:t>
      </w:r>
      <w:bookmarkEnd w:id="1060"/>
      <w:r>
        <w:t>(s)</w:t>
      </w:r>
      <w:bookmarkEnd w:id="1061"/>
      <w:bookmarkEnd w:id="1062"/>
    </w:p>
    <w:p w14:paraId="22EABFB2" w14:textId="77777777">
      <w:r>
        <w:t xml:space="preserve">After the title but still within </w:t>
      </w:r>
      <w:r>
        <w:rPr>
          <w:rStyle w:val="Code"/>
        </w:rPr>
        <w:t>&lt;titleStmt&gt;</w:t>
      </w:r>
      <w:r>
        <w:t xml:space="preserve">, the wrapper </w:t>
      </w:r>
      <w:r>
        <w:rPr>
          <w:rStyle w:val="Code"/>
        </w:rPr>
        <w:t>&lt;respStmt&gt;</w:t>
      </w:r>
      <w:r>
        <w:t xml:space="preserve"> is used for crediting those who have contributed to the current digital edition. This excludes the authors of any previously published editions, even when you are encoding printed editions or ingesting digital editions without substantive revision. The rationale of this approach is that the responsibilities in the TEI header concern primarily the authorship of this particular XML file and not intellectual credit for previous work that allowed this file to come into being. Credit to previously published editions will be given in the epigraphic lemma (§</w:t>
      </w:r>
      <w:r>
        <w:fldChar w:fldCharType="begin"/>
      </w:r>
      <w:r>
        <w:instrText xml:space="preserve"> REF _Ref233623221 \r \h </w:instrText>
      </w:r>
      <w:r>
        <w:fldChar w:fldCharType="separate"/>
      </w:r>
      <w:r>
        <w:t>13.2</w:t>
      </w:r>
      <w:r>
        <w:fldChar w:fldCharType="end"/>
      </w:r>
      <w:r>
        <w:t>) and nowhere else. In complex cases with several authors and/or contributors, the nature and degree of their contributions must also be clarified in the epigraphic lemma.</w:t>
      </w:r>
    </w:p>
    <w:p w14:paraId="22C8C850" w14:textId="77777777">
      <w:pPr>
        <w:pStyle w:val="Normlbehzs"/>
      </w:pPr>
      <w:r>
        <w:t xml:space="preserve">As per TEI conventions, a separate responsibility statement must be created for each sphere of responsibility, with the possibility of more than one person or entity being named in each such statement. In order </w:t>
      </w:r>
      <w:r>
        <w:lastRenderedPageBreak/>
        <w:t>to keep things manageable, DHARMA editions only use a mandatory responsibility statement for the creation of the digital edition (§</w:t>
      </w:r>
      <w:r>
        <w:fldChar w:fldCharType="begin"/>
      </w:r>
      <w:r>
        <w:instrText xml:space="preserve"> REF _Ref239687105 \r \h </w:instrText>
      </w:r>
      <w:r>
        <w:fldChar w:fldCharType="separate"/>
      </w:r>
      <w:r>
        <w:t>15.1.2.1</w:t>
      </w:r>
      <w:r>
        <w:fldChar w:fldCharType="end"/>
      </w:r>
      <w:r>
        <w:t>), an optional responsibility statement for contributions (§</w:t>
      </w:r>
      <w:r>
        <w:fldChar w:fldCharType="begin"/>
      </w:r>
      <w:r>
        <w:instrText xml:space="preserve"> REF _Ref239687124 \r \h </w:instrText>
      </w:r>
      <w:r>
        <w:fldChar w:fldCharType="separate"/>
      </w:r>
      <w:r>
        <w:t>15.1.2.2</w:t>
      </w:r>
      <w:r>
        <w:fldChar w:fldCharType="end"/>
      </w:r>
      <w:r>
        <w:t>), and a specialised statement crediting the funder (§</w:t>
      </w:r>
      <w:r>
        <w:fldChar w:fldCharType="begin"/>
      </w:r>
      <w:r>
        <w:instrText xml:space="preserve"> REF _Ref240270689 \r \h </w:instrText>
      </w:r>
      <w:r>
        <w:fldChar w:fldCharType="separate"/>
      </w:r>
      <w:r>
        <w:t>15.1.2.3</w:t>
      </w:r>
      <w:r>
        <w:fldChar w:fldCharType="end"/>
      </w:r>
      <w:r>
        <w:t>).</w:t>
      </w:r>
    </w:p>
    <w:p w14:paraId="0BB964D4" w14:textId="77777777">
      <w:pPr>
        <w:pStyle w:val="Cmsor4"/>
      </w:pPr>
      <w:bookmarkStart w:id="1063" w:name="_Ref239687105"/>
      <w:r>
        <w:t>Creators</w:t>
      </w:r>
      <w:bookmarkEnd w:id="1063"/>
    </w:p>
    <w:p w14:paraId="625DE298" w14:textId="77777777">
      <w:pPr>
        <w:rPr>
          <w:lang w:eastAsia="en-US" w:bidi="ar-SA"/>
        </w:rPr>
      </w:pPr>
      <w:r>
        <w:rPr>
          <w:lang w:eastAsia="en-US" w:bidi="ar-SA"/>
        </w:rPr>
        <w:t>For our purposes, the creator or creators of a DHARMA digital edition are the person or people who has created or have collaboratively created the XML document, in particular its edition division, without regard to the magnitude of scholarly effort this has involved.</w:t>
      </w:r>
    </w:p>
    <w:p w14:paraId="46CAC94B" w14:textId="77777777">
      <w:pPr>
        <w:pStyle w:val="Lista"/>
        <w:rPr>
          <w:lang w:eastAsia="en-US" w:bidi="ar-SA"/>
        </w:rPr>
      </w:pPr>
      <w:r>
        <w:rPr>
          <w:lang w:eastAsia="en-US" w:bidi="ar-SA"/>
        </w:rPr>
        <w:t>all of the following actions qualify as creation:</w:t>
      </w:r>
    </w:p>
    <w:p w14:paraId="6C99278C" w14:textId="77777777">
      <w:pPr>
        <w:pStyle w:val="Lista2"/>
        <w:rPr>
          <w:lang w:eastAsia="en-US" w:bidi="ar-SA"/>
        </w:rPr>
      </w:pPr>
      <w:r>
        <w:rPr>
          <w:lang w:eastAsia="en-US" w:bidi="ar-SA"/>
        </w:rPr>
        <w:t>producing a born-digital edition of a previously unpublished inscription</w:t>
      </w:r>
    </w:p>
    <w:p w14:paraId="4A8F15E0" w14:textId="77777777">
      <w:pPr>
        <w:pStyle w:val="Lista2"/>
        <w:rPr>
          <w:lang w:eastAsia="en-US" w:bidi="ar-SA"/>
        </w:rPr>
      </w:pPr>
      <w:r>
        <w:rPr>
          <w:lang w:eastAsia="en-US" w:bidi="ar-SA"/>
        </w:rPr>
        <w:t>producing an unencoded or partially encoded draft edition as a first step toward the creation of a born-digital edition (rather than as a publication on its own)</w:t>
      </w:r>
    </w:p>
    <w:p w14:paraId="6E47217E" w14:textId="77777777">
      <w:pPr>
        <w:pStyle w:val="Lista2"/>
        <w:rPr>
          <w:lang w:eastAsia="en-US" w:bidi="ar-SA"/>
        </w:rPr>
      </w:pPr>
      <w:r>
        <w:t>applying or finalising encoding in an unpublished draft edition prepared by another team member</w:t>
      </w:r>
    </w:p>
    <w:p w14:paraId="39DCC6ED" w14:textId="77777777">
      <w:pPr>
        <w:pStyle w:val="Lista2"/>
        <w:rPr>
          <w:lang w:eastAsia="en-US" w:bidi="ar-SA"/>
        </w:rPr>
      </w:pPr>
      <w:r>
        <w:rPr>
          <w:lang w:eastAsia="en-US" w:bidi="ar-SA"/>
        </w:rPr>
        <w:t>creating a digital edition on the basis of one or more previous publications, with or without consulting visual documentation directly</w:t>
      </w:r>
    </w:p>
    <w:p w14:paraId="65C83827" w14:textId="77777777">
      <w:pPr>
        <w:pStyle w:val="Lista2"/>
        <w:rPr>
          <w:lang w:eastAsia="en-US" w:bidi="ar-SA"/>
        </w:rPr>
      </w:pPr>
      <w:r>
        <w:rPr>
          <w:lang w:eastAsia="en-US" w:bidi="ar-SA"/>
        </w:rPr>
        <w:t>revising the encoding of a previous digital edition created outside DHARMA to match the DHARMA encoding conventions</w:t>
      </w:r>
    </w:p>
    <w:p w14:paraId="4D1F2A00" w14:textId="77777777">
      <w:pPr>
        <w:pStyle w:val="Lista"/>
        <w:rPr>
          <w:lang w:eastAsia="en-US" w:bidi="ar-SA"/>
        </w:rPr>
      </w:pPr>
      <w:r>
        <w:rPr>
          <w:lang w:eastAsia="en-US" w:bidi="ar-SA"/>
        </w:rPr>
        <w:t xml:space="preserve">the creator’s role is encoded with the element </w:t>
      </w:r>
      <w:r>
        <w:rPr>
          <w:rStyle w:val="Code"/>
        </w:rPr>
        <w:t xml:space="preserve">&lt;resp </w:t>
      </w:r>
      <w:r>
        <w:rPr>
          <w:rStyle w:val="Codeattribute"/>
        </w:rPr>
        <w:t>key=</w:t>
      </w:r>
      <w:r>
        <w:rPr>
          <w:rStyle w:val="Codevalue"/>
        </w:rPr>
        <w:t>"creator"</w:t>
      </w:r>
      <w:r>
        <w:rPr>
          <w:rStyle w:val="Code"/>
        </w:rPr>
        <w:t>/&gt;</w:t>
      </w:r>
      <w:r>
        <w:t xml:space="preserve">, which must be </w:t>
      </w:r>
      <w:r>
        <w:rPr>
          <w:lang w:eastAsia="en-US" w:bidi="ar-SA"/>
        </w:rPr>
        <w:t xml:space="preserve">the first child of the first </w:t>
      </w:r>
      <w:r>
        <w:rPr>
          <w:rStyle w:val="Code"/>
        </w:rPr>
        <w:t>&lt;respStmt&gt;</w:t>
      </w:r>
      <w:r>
        <w:t xml:space="preserve"> within the </w:t>
      </w:r>
      <w:r>
        <w:rPr>
          <w:rStyle w:val="Code"/>
        </w:rPr>
        <w:t>&lt;titleStmt&gt;</w:t>
      </w:r>
    </w:p>
    <w:p w14:paraId="3F9B292D" w14:textId="77777777">
      <w:pPr>
        <w:pStyle w:val="Lista"/>
      </w:pPr>
      <w:r>
        <w:t xml:space="preserve">after this, add the name of the creator encoded with the tag </w:t>
      </w:r>
      <w:r>
        <w:rPr>
          <w:rStyle w:val="Code"/>
        </w:rPr>
        <w:t>&lt;persName&gt;</w:t>
      </w:r>
      <w:r>
        <w:t xml:space="preserve"> as per §</w:t>
      </w:r>
      <w:r>
        <w:fldChar w:fldCharType="begin"/>
      </w:r>
      <w:r>
        <w:instrText xml:space="preserve"> REF _Ref233882783 \r \h </w:instrText>
      </w:r>
      <w:r>
        <w:fldChar w:fldCharType="separate"/>
      </w:r>
      <w:r>
        <w:t>14.7.2</w:t>
      </w:r>
      <w:r>
        <w:fldChar w:fldCharType="end"/>
      </w:r>
    </w:p>
    <w:p w14:paraId="3E8781C2" w14:textId="77777777">
      <w:pPr>
        <w:pStyle w:val="Lista"/>
        <w:rPr>
          <w:lang w:eastAsia="en-US" w:bidi="ar-SA"/>
        </w:rPr>
      </w:pPr>
      <w:r>
        <w:rPr>
          <w:lang w:eastAsia="en-US" w:bidi="ar-SA"/>
        </w:rPr>
        <w:t xml:space="preserve">add further </w:t>
      </w:r>
      <w:r>
        <w:rPr>
          <w:rStyle w:val="Code"/>
        </w:rPr>
        <w:t>&lt;persName&gt;</w:t>
      </w:r>
      <w:r>
        <w:t xml:space="preserve"> elements for any additional creators, preferably in a decreasing order of the magnitude of their effort</w:t>
      </w:r>
    </w:p>
    <w:p w14:paraId="6F89C438" w14:textId="77777777">
      <w:pPr>
        <w:pStyle w:val="Lista"/>
        <w:rPr>
          <w:lang w:eastAsia="en-US" w:bidi="ar-SA"/>
        </w:rPr>
      </w:pPr>
      <w:r>
        <w:t>when multiple creators have acted in different ways or degrees, their roles may (and preferably should) be clarified in the epigraphic lemma (§</w:t>
      </w:r>
      <w:r>
        <w:fldChar w:fldCharType="begin"/>
      </w:r>
      <w:r>
        <w:instrText xml:space="preserve"> REF _Ref233623221 \r \h </w:instrText>
      </w:r>
      <w:r>
        <w:fldChar w:fldCharType="separate"/>
      </w:r>
      <w:r>
        <w:t>13.2</w:t>
      </w:r>
      <w:r>
        <w:fldChar w:fldCharType="end"/>
      </w:r>
      <w:r>
        <w:t>)</w:t>
      </w:r>
    </w:p>
    <w:p w14:paraId="133982E5" w14:textId="77777777">
      <w:pPr>
        <w:pStyle w:val="Cmsor4"/>
      </w:pPr>
      <w:bookmarkStart w:id="1064" w:name="_Ref239687124"/>
      <w:r>
        <w:t>Contributors</w:t>
      </w:r>
      <w:bookmarkEnd w:id="1064"/>
    </w:p>
    <w:p w14:paraId="205F4A0F" w14:textId="77777777">
      <w:pPr>
        <w:rPr>
          <w:lang w:eastAsia="en-US" w:bidi="ar-SA"/>
        </w:rPr>
      </w:pPr>
      <w:r>
        <w:rPr>
          <w:lang w:eastAsia="en-US" w:bidi="ar-SA"/>
        </w:rPr>
        <w:t>Contributors are those who have contributed to a DHARMA digital edition in a capacity other than that of a creator. Contributors may be optionally encoded in the TEI header at the discretion of the creator(s).</w:t>
      </w:r>
    </w:p>
    <w:p w14:paraId="02A8E424" w14:textId="77777777">
      <w:pPr>
        <w:pStyle w:val="Lista"/>
        <w:rPr>
          <w:lang w:eastAsia="en-US" w:bidi="ar-SA"/>
        </w:rPr>
      </w:pPr>
      <w:r>
        <w:rPr>
          <w:lang w:eastAsia="en-US" w:bidi="ar-SA"/>
        </w:rPr>
        <w:t>all of the following actions may qualify as contribution:</w:t>
      </w:r>
    </w:p>
    <w:p w14:paraId="2444DF85" w14:textId="77777777">
      <w:pPr>
        <w:pStyle w:val="Lista2"/>
        <w:rPr>
          <w:lang w:eastAsia="en-US" w:bidi="ar-SA"/>
        </w:rPr>
      </w:pPr>
      <w:r>
        <w:rPr>
          <w:lang w:eastAsia="en-US" w:bidi="ar-SA"/>
        </w:rPr>
        <w:t>adding a full or partial commentary to the edition</w:t>
      </w:r>
    </w:p>
    <w:p w14:paraId="013FABC4" w14:textId="77777777">
      <w:pPr>
        <w:pStyle w:val="Lista2"/>
        <w:rPr>
          <w:lang w:eastAsia="en-US" w:bidi="ar-SA"/>
        </w:rPr>
      </w:pPr>
      <w:r>
        <w:rPr>
          <w:lang w:eastAsia="en-US" w:bidi="ar-SA"/>
        </w:rPr>
        <w:t>providing consultation or advice to the creator(s), for example on difficult readings, interpretations or context</w:t>
      </w:r>
    </w:p>
    <w:p w14:paraId="02AD3C66" w14:textId="77777777">
      <w:pPr>
        <w:pStyle w:val="Lista2"/>
        <w:rPr>
          <w:lang w:eastAsia="en-US" w:bidi="ar-SA"/>
        </w:rPr>
      </w:pPr>
      <w:r>
        <w:rPr>
          <w:lang w:eastAsia="en-US" w:bidi="ar-SA"/>
        </w:rPr>
        <w:t>checking, correcting, revising or improving a DHARMA digital edition created by another team member</w:t>
      </w:r>
    </w:p>
    <w:p w14:paraId="4AF2BF64" w14:textId="77777777">
      <w:pPr>
        <w:pStyle w:val="Lista"/>
        <w:rPr>
          <w:lang w:eastAsia="en-US" w:bidi="ar-SA"/>
        </w:rPr>
      </w:pPr>
      <w:r>
        <w:rPr>
          <w:lang w:eastAsia="en-US" w:bidi="ar-SA"/>
        </w:rPr>
        <w:t xml:space="preserve">to add contributors to the TEI header, create a second </w:t>
      </w:r>
      <w:r>
        <w:rPr>
          <w:rStyle w:val="Code"/>
        </w:rPr>
        <w:t>&lt;respStmt&gt;</w:t>
      </w:r>
      <w:r>
        <w:t xml:space="preserve"> (after the first one encoding the creator) within the </w:t>
      </w:r>
      <w:r>
        <w:rPr>
          <w:rStyle w:val="Code"/>
        </w:rPr>
        <w:t>&lt;titleStmt&gt;</w:t>
      </w:r>
    </w:p>
    <w:p w14:paraId="5DA5365A" w14:textId="77777777">
      <w:pPr>
        <w:pStyle w:val="Lista"/>
        <w:rPr>
          <w:lang w:eastAsia="en-US" w:bidi="ar-SA"/>
        </w:rPr>
      </w:pPr>
      <w:r>
        <w:rPr>
          <w:lang w:eastAsia="en-US" w:bidi="ar-SA"/>
        </w:rPr>
        <w:t xml:space="preserve">the contributor’s role is encoded with the element </w:t>
      </w:r>
      <w:r>
        <w:rPr>
          <w:rStyle w:val="Code"/>
        </w:rPr>
        <w:t xml:space="preserve">&lt;resp </w:t>
      </w:r>
      <w:r>
        <w:rPr>
          <w:rStyle w:val="Codeattribute"/>
        </w:rPr>
        <w:t>key=</w:t>
      </w:r>
      <w:r>
        <w:rPr>
          <w:rStyle w:val="Codevalue"/>
        </w:rPr>
        <w:t>"contributor"</w:t>
      </w:r>
      <w:r>
        <w:rPr>
          <w:rStyle w:val="Code"/>
        </w:rPr>
        <w:t>/&gt;</w:t>
      </w:r>
      <w:r>
        <w:t xml:space="preserve">, which must be </w:t>
      </w:r>
      <w:r>
        <w:rPr>
          <w:lang w:eastAsia="en-US" w:bidi="ar-SA"/>
        </w:rPr>
        <w:t xml:space="preserve">the first child of the second </w:t>
      </w:r>
      <w:r>
        <w:rPr>
          <w:rStyle w:val="Code"/>
        </w:rPr>
        <w:t>&lt;respStmt&gt;</w:t>
      </w:r>
      <w:r>
        <w:t xml:space="preserve"> within the </w:t>
      </w:r>
      <w:r>
        <w:rPr>
          <w:rStyle w:val="Code"/>
        </w:rPr>
        <w:t>&lt;titleStmt&gt;</w:t>
      </w:r>
    </w:p>
    <w:p w14:paraId="2623162E" w14:textId="77777777">
      <w:pPr>
        <w:pStyle w:val="Lista"/>
      </w:pPr>
      <w:r>
        <w:t xml:space="preserve">after this, add the name of the contributor encoded with the tag </w:t>
      </w:r>
      <w:r>
        <w:rPr>
          <w:rStyle w:val="Code"/>
        </w:rPr>
        <w:t>&lt;persName&gt;</w:t>
      </w:r>
      <w:r>
        <w:t xml:space="preserve"> as per §</w:t>
      </w:r>
      <w:r>
        <w:fldChar w:fldCharType="begin"/>
      </w:r>
      <w:r>
        <w:instrText xml:space="preserve"> REF _Ref233882783 \r \h </w:instrText>
      </w:r>
      <w:r>
        <w:fldChar w:fldCharType="separate"/>
      </w:r>
      <w:r>
        <w:t>14.7.2</w:t>
      </w:r>
      <w:r>
        <w:fldChar w:fldCharType="end"/>
      </w:r>
    </w:p>
    <w:p w14:paraId="2B16A360" w14:textId="77777777">
      <w:pPr>
        <w:pStyle w:val="Lista"/>
        <w:rPr>
          <w:lang w:eastAsia="en-US" w:bidi="ar-SA"/>
        </w:rPr>
      </w:pPr>
      <w:r>
        <w:rPr>
          <w:lang w:eastAsia="en-US" w:bidi="ar-SA"/>
        </w:rPr>
        <w:t xml:space="preserve">add further </w:t>
      </w:r>
      <w:r>
        <w:rPr>
          <w:rStyle w:val="Code"/>
        </w:rPr>
        <w:t>&lt;persName&gt;</w:t>
      </w:r>
      <w:r>
        <w:t xml:space="preserve"> elements for any additional contributors, preferably in a decreasing order of the importance of their contribution</w:t>
      </w:r>
    </w:p>
    <w:p w14:paraId="1E866A5A" w14:textId="77777777">
      <w:pPr>
        <w:pStyle w:val="Lista"/>
        <w:rPr>
          <w:lang w:eastAsia="en-US" w:bidi="ar-SA"/>
        </w:rPr>
      </w:pPr>
      <w:r>
        <w:t>when multiple contributors have contributed in different ways or degrees, their roles may (and preferably should) be clarified in the epigraphic lemma (§</w:t>
      </w:r>
      <w:r>
        <w:fldChar w:fldCharType="begin"/>
      </w:r>
      <w:r>
        <w:instrText xml:space="preserve"> REF _Ref233623221 \r \h </w:instrText>
      </w:r>
      <w:r>
        <w:fldChar w:fldCharType="separate"/>
      </w:r>
      <w:r>
        <w:t>13.2</w:t>
      </w:r>
      <w:r>
        <w:fldChar w:fldCharType="end"/>
      </w:r>
      <w:r>
        <w:t>)</w:t>
      </w:r>
    </w:p>
    <w:p w14:paraId="25AAB552" w14:textId="77777777">
      <w:pPr>
        <w:pStyle w:val="Cmsor4"/>
      </w:pPr>
      <w:bookmarkStart w:id="1065" w:name="_Ref240270689"/>
      <w:r>
        <w:t>Funder</w:t>
      </w:r>
      <w:bookmarkEnd w:id="1065"/>
    </w:p>
    <w:p w14:paraId="20FACE3A" w14:textId="77777777">
      <w:pPr>
        <w:rPr>
          <w:lang w:eastAsia="en-US" w:bidi="ar-SA"/>
        </w:rPr>
      </w:pPr>
      <w:r>
        <w:rPr>
          <w:lang w:eastAsia="en-US" w:bidi="ar-SA"/>
        </w:rPr>
        <w:t xml:space="preserve">In addition to the generic </w:t>
      </w:r>
      <w:r>
        <w:rPr>
          <w:rStyle w:val="Code"/>
        </w:rPr>
        <w:t>&lt;respStmt&gt;</w:t>
      </w:r>
      <w:r>
        <w:t xml:space="preserve"> element, TEI provides a number of specialised elements for common responsibilities, among which our editions contain </w:t>
      </w:r>
      <w:r>
        <w:rPr>
          <w:rStyle w:val="Code"/>
        </w:rPr>
        <w:t>&lt;funder&gt;</w:t>
      </w:r>
      <w:r>
        <w:t xml:space="preserve">. </w:t>
      </w:r>
    </w:p>
    <w:p w14:paraId="50C64CD4" w14:textId="77777777">
      <w:pPr>
        <w:pStyle w:val="Lista"/>
        <w:rPr>
          <w:lang w:eastAsia="en-US" w:bidi="ar-SA"/>
        </w:rPr>
      </w:pPr>
      <w:r>
        <w:rPr>
          <w:lang w:eastAsia="en-US" w:bidi="ar-SA"/>
        </w:rPr>
        <w:t xml:space="preserve">the item </w:t>
      </w:r>
      <w:r>
        <w:rPr>
          <w:rStyle w:val="Code"/>
          <w:lang w:eastAsia="en-US" w:bidi="ar-SA"/>
        </w:rPr>
        <w:t>&lt;funder&gt;</w:t>
      </w:r>
      <w:r>
        <w:rPr>
          <w:rStyle w:val="Codetext"/>
          <w:lang w:eastAsia="en-US" w:bidi="ar-SA"/>
        </w:rPr>
        <w:t>European Research Council (ERC), grant agreement no 809994</w:t>
      </w:r>
      <w:r>
        <w:rPr>
          <w:rStyle w:val="Code"/>
          <w:lang w:eastAsia="en-US" w:bidi="ar-SA"/>
        </w:rPr>
        <w:t>&lt;/funder&gt;</w:t>
      </w:r>
      <w:r>
        <w:rPr>
          <w:lang w:eastAsia="en-US" w:bidi="ar-SA"/>
        </w:rPr>
        <w:t xml:space="preserve"> is hard-coded into DHARMA edition templates and need not be edited</w:t>
      </w:r>
    </w:p>
    <w:p w14:paraId="627E3EF9" w14:textId="77777777">
      <w:pPr>
        <w:pStyle w:val="Lista"/>
        <w:rPr>
          <w:lang w:eastAsia="en-US" w:bidi="ar-SA"/>
        </w:rPr>
      </w:pPr>
      <w:r>
        <w:rPr>
          <w:lang w:eastAsia="en-US" w:bidi="ar-SA"/>
        </w:rPr>
        <w:t>for texts encoded according to these conventions outside and after the DHARMA project, this element may be removed or its contents may be replaced as applicable</w:t>
      </w:r>
    </w:p>
    <w:p w14:paraId="2042CE1F" w14:textId="77777777">
      <w:pPr>
        <w:pStyle w:val="Cmsor3"/>
      </w:pPr>
      <w:bookmarkStart w:id="1066" w:name="_vner4ocywhk7" w:colFirst="0" w:colLast="0"/>
      <w:bookmarkStart w:id="1067" w:name="_Ref233892566"/>
      <w:bookmarkStart w:id="1068" w:name="_Toc243900464"/>
      <w:bookmarkEnd w:id="1066"/>
      <w:r>
        <w:lastRenderedPageBreak/>
        <w:t>The publication statement</w:t>
      </w:r>
      <w:bookmarkEnd w:id="1067"/>
      <w:bookmarkEnd w:id="1068"/>
    </w:p>
    <w:p w14:paraId="3DEA31CF" w14:textId="77777777">
      <w:pPr>
        <w:pStyle w:val="Lista"/>
      </w:pPr>
      <w:r>
        <w:t>the structure and most of the contents of this statement will be provided in our template, but you will have to add the following data as instructed by comments in the template</w:t>
      </w:r>
    </w:p>
    <w:p w14:paraId="5C85B507" w14:textId="77777777">
      <w:pPr>
        <w:pStyle w:val="Lista2"/>
      </w:pPr>
      <w:r>
        <w:t xml:space="preserve">in the element </w:t>
      </w:r>
      <w:r>
        <w:rPr>
          <w:rStyle w:val="Code"/>
        </w:rPr>
        <w:t>&lt;pubPlace&gt;</w:t>
      </w:r>
      <w:r>
        <w:t>, enter the place (city) where you (the creator of the edition) work</w:t>
      </w:r>
    </w:p>
    <w:p w14:paraId="107EBDCA" w14:textId="77777777">
      <w:pPr>
        <w:pStyle w:val="Lista3"/>
      </w:pPr>
      <w:r>
        <w:t>more than one place name may be listed within this element if applicable (for example in the case of multiple creators)</w:t>
      </w:r>
    </w:p>
    <w:p w14:paraId="6943A59A" w14:textId="77777777">
      <w:pPr>
        <w:pStyle w:val="Lista2"/>
        <w:rPr>
          <w:rStyle w:val="Code"/>
          <w:rFonts w:ascii="Gentium" w:hAnsi="Gentium" w:cs="Tiro Devanagari Sanskrit"/>
          <w:noProof w:val="0"/>
          <w:color w:val="auto"/>
          <w:shd w:val="clear" w:color="auto" w:fill="auto"/>
        </w:rPr>
      </w:pPr>
      <w:r>
        <w:t xml:space="preserve">in the element </w:t>
      </w:r>
      <w:r>
        <w:rPr>
          <w:rStyle w:val="Code"/>
        </w:rPr>
        <w:t xml:space="preserve">&lt;idno </w:t>
      </w:r>
      <w:r>
        <w:rPr>
          <w:rStyle w:val="Codeattribute"/>
        </w:rPr>
        <w:t>type=</w:t>
      </w:r>
      <w:r>
        <w:rPr>
          <w:rStyle w:val="Codevalue"/>
        </w:rPr>
        <w:t>"filename"</w:t>
      </w:r>
      <w:r>
        <w:rPr>
          <w:rStyle w:val="Code"/>
        </w:rPr>
        <w:t>&gt;</w:t>
      </w:r>
      <w:r>
        <w:t xml:space="preserve">, the exact name (including the extension </w:t>
      </w:r>
      <w:r>
        <w:rPr>
          <w:rStyle w:val="Code"/>
        </w:rPr>
        <w:t>.xml</w:t>
      </w:r>
      <w:r>
        <w:t xml:space="preserve">) of your XML file, e.g. </w:t>
      </w:r>
      <w:r>
        <w:rPr>
          <w:rStyle w:val="Code"/>
        </w:rPr>
        <w:t>DHARMA_INSPallava00001.xml</w:t>
      </w:r>
    </w:p>
    <w:p w14:paraId="63350020" w14:textId="77777777">
      <w:pPr>
        <w:pStyle w:val="Cmsor2"/>
      </w:pPr>
      <w:bookmarkStart w:id="1069" w:name="_hettlvg4peby" w:colFirst="0" w:colLast="0"/>
      <w:bookmarkStart w:id="1070" w:name="_Ref43978731"/>
      <w:bookmarkStart w:id="1071" w:name="_Toc243900465"/>
      <w:bookmarkEnd w:id="1069"/>
      <w:r>
        <w:t>Describing the original document</w:t>
      </w:r>
      <w:bookmarkEnd w:id="1070"/>
      <w:bookmarkEnd w:id="1071"/>
    </w:p>
    <w:p w14:paraId="0352BD25" w14:textId="77777777">
      <w:r>
        <w:t xml:space="preserve">The second section of the </w:t>
      </w:r>
      <w:r>
        <w:rPr>
          <w:rStyle w:val="Code"/>
        </w:rPr>
        <w:t>&lt;fileDesc&gt;</w:t>
      </w:r>
      <w:r>
        <w:t xml:space="preserve"> is the Source Description, encoded as the element </w:t>
      </w:r>
      <w:r>
        <w:rPr>
          <w:rStyle w:val="Code"/>
        </w:rPr>
        <w:t>&lt;sourceDesc&gt;</w:t>
      </w:r>
      <w:r>
        <w:t xml:space="preserve">. This mandatory element records details (metadata) of the original from which the digital text is derived. TEI permits the use of various elements in a Source Description, but in the case of epigraphic documents its only child element is the Manuscript Description, </w:t>
      </w:r>
      <w:r>
        <w:rPr>
          <w:rStyle w:val="Code"/>
        </w:rPr>
        <w:t>&lt;msDesc&gt;</w:t>
      </w:r>
      <w:r>
        <w:t>, applicable to any text-bearing object besides manuscripts in the strict sense. The DHARMA project recorded object metadata outside the XML files in order to ensure flexibility and to avoid complications applicable to objects bearing multiple inscriptions and inscriptions borne on multiple objects. Unfortunately, a final database for managing object data and linking them to the editions of inscriptions could not be developed in the lifetime of the project and remains a task for the future. Post-DHARMA editions using the conventions of this Guide may choose whether to record metadata separately or to encode them here in a manner endorsed by TEI.</w:t>
      </w:r>
    </w:p>
    <w:p w14:paraId="182EEF0A" w14:textId="77777777">
      <w:pPr>
        <w:pStyle w:val="Normlbehzs"/>
      </w:pPr>
      <w:r>
        <w:t>For editions created in the DHARMA project, our template contains a minimum framework for source description, of which the hand description (§</w:t>
      </w:r>
      <w:r>
        <w:fldChar w:fldCharType="begin"/>
      </w:r>
      <w:r>
        <w:instrText xml:space="preserve"> REF _Ref43987455 \r \h </w:instrText>
      </w:r>
      <w:r>
        <w:fldChar w:fldCharType="separate"/>
      </w:r>
      <w:r>
        <w:t>15.2.1</w:t>
      </w:r>
      <w:r>
        <w:fldChar w:fldCharType="end"/>
      </w:r>
      <w:r>
        <w:t>) is the only item that needs the attention of encoders.</w:t>
      </w:r>
    </w:p>
    <w:p w14:paraId="5B9507C2" w14:textId="77777777">
      <w:pPr>
        <w:pStyle w:val="Cmsor3"/>
      </w:pPr>
      <w:bookmarkStart w:id="1072" w:name="_Ref43987455"/>
      <w:bookmarkStart w:id="1073" w:name="_Toc243900466"/>
      <w:r>
        <w:t>The hand description</w:t>
      </w:r>
      <w:bookmarkEnd w:id="1072"/>
      <w:bookmarkEnd w:id="1073"/>
    </w:p>
    <w:p w14:paraId="7F5785FF" w14:textId="77777777">
      <w:r>
        <w:rPr>
          <w:lang w:eastAsia="en-US" w:bidi="ar-SA"/>
        </w:rPr>
        <w:t xml:space="preserve">The element </w:t>
      </w:r>
      <w:r>
        <w:rPr>
          <w:rStyle w:val="Code"/>
        </w:rPr>
        <w:t>&lt;handDesc&gt;</w:t>
      </w:r>
      <w:r>
        <w:t xml:space="preserve"> is a child (in DHARMA editions, the only child) of </w:t>
      </w:r>
      <w:r>
        <w:rPr>
          <w:rStyle w:val="Code"/>
        </w:rPr>
        <w:t>&lt;physDesc&gt;</w:t>
      </w:r>
      <w:r>
        <w:t xml:space="preserve"> (for “physical description”) within the </w:t>
      </w:r>
      <w:r>
        <w:rPr>
          <w:rStyle w:val="Code"/>
        </w:rPr>
        <w:t>&lt;sourceDesc&gt;</w:t>
      </w:r>
      <w:r>
        <w:t xml:space="preserve"> section of the TEI header. In our template, the </w:t>
      </w:r>
      <w:r>
        <w:rPr>
          <w:rStyle w:val="Code"/>
        </w:rPr>
        <w:t>&lt;handDesc&gt;</w:t>
      </w:r>
      <w:r>
        <w:t xml:space="preserve"> contains an empty </w:t>
      </w:r>
      <w:r>
        <w:rPr>
          <w:rStyle w:val="Code"/>
        </w:rPr>
        <w:t>&lt;p&gt;</w:t>
      </w:r>
      <w:r>
        <w:t xml:space="preserve"> element, where you may write the palaeographic description of the source document as per §</w:t>
      </w:r>
      <w:r>
        <w:fldChar w:fldCharType="begin"/>
      </w:r>
      <w:r>
        <w:instrText xml:space="preserve"> REF _Ref233965237 \r \h </w:instrText>
      </w:r>
      <w:r>
        <w:fldChar w:fldCharType="separate"/>
      </w:r>
      <w:r>
        <w:t>15.2.1.1</w:t>
      </w:r>
      <w:r>
        <w:fldChar w:fldCharType="end"/>
      </w:r>
      <w:r>
        <w:t xml:space="preserve"> and, if applicable, describe multiple hands used in the source as per §</w:t>
      </w:r>
      <w:r>
        <w:fldChar w:fldCharType="begin"/>
      </w:r>
      <w:r>
        <w:instrText xml:space="preserve"> REF _Ref231980025 \r \h </w:instrText>
      </w:r>
      <w:r>
        <w:fldChar w:fldCharType="separate"/>
      </w:r>
      <w:r>
        <w:t>15.2.1.2</w:t>
      </w:r>
      <w:r>
        <w:fldChar w:fldCharType="end"/>
      </w:r>
      <w:r>
        <w:t>.</w:t>
      </w:r>
    </w:p>
    <w:p w14:paraId="5BBC96C0" w14:textId="77777777">
      <w:pPr>
        <w:pStyle w:val="Cmsor4"/>
      </w:pPr>
      <w:bookmarkStart w:id="1074" w:name="_Ref233965237"/>
      <w:r>
        <w:t>The palaeographic description</w:t>
      </w:r>
      <w:bookmarkEnd w:id="1074"/>
    </w:p>
    <w:p w14:paraId="6CF01B30" w14:textId="77777777">
      <w:pPr>
        <w:pStyle w:val="Lista"/>
      </w:pPr>
      <w:r>
        <w:t>writing a palaeographic description is not mandatory</w:t>
      </w:r>
    </w:p>
    <w:p w14:paraId="524FFFAA" w14:textId="77777777">
      <w:pPr>
        <w:pStyle w:val="Lista"/>
      </w:pPr>
      <w:r>
        <w:t xml:space="preserve">if you write one, make it as terse or extensive as you wish, creating additional </w:t>
      </w:r>
      <w:r>
        <w:rPr>
          <w:rStyle w:val="Code"/>
        </w:rPr>
        <w:t>&lt;p&gt;</w:t>
      </w:r>
      <w:r>
        <w:t xml:space="preserve"> elements as needed</w:t>
      </w:r>
    </w:p>
    <w:p w14:paraId="62100714" w14:textId="77777777">
      <w:pPr>
        <w:pStyle w:val="Lista"/>
      </w:pPr>
      <w:r>
        <w:t>items that you may wish to touch upon include</w:t>
      </w:r>
    </w:p>
    <w:p w14:paraId="1BEC80CE" w14:textId="77777777">
      <w:pPr>
        <w:pStyle w:val="Lista2"/>
      </w:pPr>
      <w:r>
        <w:t>a characterisation of the source script beyond the basic classification encoded as per §</w:t>
      </w:r>
      <w:r>
        <w:fldChar w:fldCharType="begin"/>
      </w:r>
      <w:r>
        <w:instrText xml:space="preserve"> REF _Ref231978545 \r \h </w:instrText>
      </w:r>
      <w:r>
        <w:fldChar w:fldCharType="separate"/>
      </w:r>
      <w:r>
        <w:t>8.2.1</w:t>
      </w:r>
      <w:r>
        <w:fldChar w:fldCharType="end"/>
      </w:r>
    </w:p>
    <w:p w14:paraId="5B161FF3" w14:textId="77777777">
      <w:pPr>
        <w:pStyle w:val="Lista2"/>
      </w:pPr>
      <w:r>
        <w:t xml:space="preserve">the manner in which the source handles vowelless consonants </w:t>
      </w:r>
      <w:r>
        <w:rPr>
          <w:noProof/>
        </w:rPr>
        <w:t>(</w:t>
      </w:r>
      <w:r>
        <w:rPr>
          <w:rStyle w:val="Foreign"/>
        </w:rPr>
        <w:t>virāma/puḷḷi</w:t>
      </w:r>
      <w:r>
        <w:t>, special final consonant forms)</w:t>
      </w:r>
    </w:p>
    <w:p w14:paraId="7AD48132" w14:textId="77777777">
      <w:pPr>
        <w:pStyle w:val="Lista2"/>
      </w:pPr>
      <w:r>
        <w:t>the use of ornamental lettering in whole or part of the text</w:t>
      </w:r>
    </w:p>
    <w:p w14:paraId="456D45C9" w14:textId="77777777">
      <w:pPr>
        <w:pStyle w:val="Lista2"/>
      </w:pPr>
      <w:r>
        <w:t xml:space="preserve">the appearance of </w:t>
      </w:r>
      <w:r>
        <w:rPr>
          <w:rStyle w:val="Foreign"/>
        </w:rPr>
        <w:t>anusvāra</w:t>
      </w:r>
      <w:r>
        <w:t xml:space="preserve"> and the manner of its use (vis-à-vis class nasals)</w:t>
      </w:r>
    </w:p>
    <w:p w14:paraId="0C1B1C25" w14:textId="77777777">
      <w:pPr>
        <w:pStyle w:val="Lista2"/>
      </w:pPr>
      <w:r>
        <w:t xml:space="preserve">whether </w:t>
      </w:r>
      <w:r>
        <w:rPr>
          <w:rStyle w:val="Foreign"/>
        </w:rPr>
        <w:t>upadhmānīya</w:t>
      </w:r>
      <w:r>
        <w:t xml:space="preserve"> and/or </w:t>
      </w:r>
      <w:r>
        <w:rPr>
          <w:rStyle w:val="Foreign"/>
        </w:rPr>
        <w:t>jihvāmūlīya</w:t>
      </w:r>
      <w:r>
        <w:t xml:space="preserve"> are distinguished from </w:t>
      </w:r>
      <w:r>
        <w:rPr>
          <w:rStyle w:val="Foreign"/>
        </w:rPr>
        <w:t>visarga</w:t>
      </w:r>
    </w:p>
    <w:p w14:paraId="07136F0B" w14:textId="77777777">
      <w:pPr>
        <w:pStyle w:val="Lista2"/>
      </w:pPr>
      <w:r>
        <w:t>the occurrence of rare glyphs</w:t>
      </w:r>
    </w:p>
    <w:p w14:paraId="0F97A3EF" w14:textId="77777777">
      <w:pPr>
        <w:pStyle w:val="Lista2"/>
      </w:pPr>
      <w:r>
        <w:t>unusually formed glyphs and their interpretation</w:t>
      </w:r>
    </w:p>
    <w:p w14:paraId="4778BE5F" w14:textId="77777777">
      <w:pPr>
        <w:pStyle w:val="Lista2"/>
      </w:pPr>
      <w:r>
        <w:t>perceived similarity to hands seen in other inscriptions</w:t>
      </w:r>
    </w:p>
    <w:p w14:paraId="7E2C2557" w14:textId="77777777">
      <w:pPr>
        <w:pStyle w:val="Lista"/>
      </w:pPr>
      <w:r>
        <w:t>to refer to specific loci in the edited text, simply add a human-readable reference to a line number, which you may complement with a lemma</w:t>
      </w:r>
    </w:p>
    <w:p w14:paraId="7EA16AD8" w14:textId="77777777">
      <w:pPr>
        <w:pStyle w:val="Lista"/>
      </w:pPr>
      <w:r>
        <w:t>to refer to other inscriptions in the DHARMA corpus, encode a reference as per §</w:t>
      </w:r>
      <w:r>
        <w:fldChar w:fldCharType="begin"/>
      </w:r>
      <w:r>
        <w:instrText xml:space="preserve"> REF _Ref148531705 \r \h </w:instrText>
      </w:r>
      <w:r>
        <w:fldChar w:fldCharType="separate"/>
      </w:r>
      <w:r>
        <w:t>14.6.4.1</w:t>
      </w:r>
      <w:r>
        <w:fldChar w:fldCharType="end"/>
      </w:r>
    </w:p>
    <w:p w14:paraId="118CE492" w14:textId="77777777">
      <w:pPr>
        <w:pStyle w:val="Lista"/>
      </w:pPr>
      <w:r>
        <w:t xml:space="preserve">preferably use </w:t>
      </w:r>
      <w:r>
        <w:rPr>
          <w:rStyle w:val="Code"/>
        </w:rPr>
        <w:t>&lt;foreign&gt;</w:t>
      </w:r>
      <w:r>
        <w:t xml:space="preserve"> (§</w:t>
      </w:r>
      <w:r>
        <w:fldChar w:fldCharType="begin"/>
      </w:r>
      <w:r>
        <w:instrText xml:space="preserve"> REF _Ref43986658 \r \h </w:instrText>
      </w:r>
      <w:r>
        <w:fldChar w:fldCharType="separate"/>
      </w:r>
      <w:r>
        <w:t>14.4.2</w:t>
      </w:r>
      <w:r>
        <w:fldChar w:fldCharType="end"/>
      </w:r>
      <w:r>
        <w:t>) on characters and words cited from the source</w:t>
      </w:r>
    </w:p>
    <w:p w14:paraId="65297181" w14:textId="77777777">
      <w:pPr>
        <w:pStyle w:val="Lista"/>
      </w:pPr>
      <w:r>
        <w:t>other encoding solutions as per §</w:t>
      </w:r>
      <w:r>
        <w:fldChar w:fldCharType="begin"/>
      </w:r>
      <w:r>
        <w:instrText xml:space="preserve"> REF _Ref43990225 \r \h </w:instrText>
      </w:r>
      <w:r>
        <w:fldChar w:fldCharType="separate"/>
      </w:r>
      <w:r>
        <w:t>14</w:t>
      </w:r>
      <w:r>
        <w:fldChar w:fldCharType="end"/>
      </w:r>
      <w:r>
        <w:t xml:space="preserve"> are available but should be used considerately</w:t>
      </w:r>
    </w:p>
    <w:p w14:paraId="01F4521C" w14:textId="77777777">
      <w:pPr>
        <w:pStyle w:val="Cmsor4"/>
      </w:pPr>
      <w:bookmarkStart w:id="1075" w:name="_Ref231980025"/>
      <w:r>
        <w:lastRenderedPageBreak/>
        <w:t>Documents written in more than one hand</w:t>
      </w:r>
      <w:bookmarkEnd w:id="1075"/>
    </w:p>
    <w:p w14:paraId="14FEB366" w14:textId="77777777">
      <w:r>
        <w:t xml:space="preserve">In addition to a </w:t>
      </w:r>
      <w:r>
        <w:rPr>
          <w:rStyle w:val="Code"/>
        </w:rPr>
        <w:t>&lt;p&gt;</w:t>
      </w:r>
      <w:r>
        <w:t xml:space="preserve"> element with free text, the </w:t>
      </w:r>
      <w:r>
        <w:rPr>
          <w:rStyle w:val="Code"/>
        </w:rPr>
        <w:t>&lt;handDesc&gt;</w:t>
      </w:r>
      <w:r>
        <w:t xml:space="preserve"> element may include a structured description of scribal hands. In DHARMA practice this method is only resorted to when more than one hand can be clearly identified within a single document. In this case, use the following encoding illustrated in </w:t>
      </w:r>
      <w:r>
        <w:fldChar w:fldCharType="begin"/>
      </w:r>
      <w:r>
        <w:instrText xml:space="preserve"> REF _Ref233966339 \h </w:instrText>
      </w:r>
      <w:r>
        <w:fldChar w:fldCharType="separate"/>
      </w:r>
      <w:r>
        <w:t xml:space="preserve">Exhibit </w:t>
      </w:r>
      <w:r>
        <w:rPr>
          <w:noProof/>
        </w:rPr>
        <w:t>15.2</w:t>
      </w:r>
      <w:r>
        <w:t>.</w:t>
      </w:r>
      <w:r>
        <w:rPr>
          <w:noProof/>
        </w:rPr>
        <w:t>A</w:t>
      </w:r>
      <w:r>
        <w:fldChar w:fldCharType="end"/>
      </w:r>
      <w:r>
        <w:t>.</w:t>
      </w:r>
    </w:p>
    <w:p w14:paraId="0A34FE84" w14:textId="77777777">
      <w:pPr>
        <w:pStyle w:val="Lista"/>
      </w:pPr>
      <w:r>
        <w:t xml:space="preserve">within </w:t>
      </w:r>
      <w:r>
        <w:rPr>
          <w:rStyle w:val="Code"/>
        </w:rPr>
        <w:t>&lt;handDesc&gt;</w:t>
      </w:r>
      <w:r>
        <w:t xml:space="preserve">, wrap the </w:t>
      </w:r>
      <w:r>
        <w:rPr>
          <w:rStyle w:val="Code"/>
        </w:rPr>
        <w:t>&lt;p&gt;</w:t>
      </w:r>
      <w:r>
        <w:t xml:space="preserve"> element(s) containing the palaeographic description (§</w:t>
      </w:r>
      <w:r>
        <w:fldChar w:fldCharType="begin"/>
      </w:r>
      <w:r>
        <w:instrText xml:space="preserve"> REF _Ref233965237 \r \h </w:instrText>
      </w:r>
      <w:r>
        <w:fldChar w:fldCharType="separate"/>
      </w:r>
      <w:r>
        <w:t>15.2.1.1</w:t>
      </w:r>
      <w:r>
        <w:fldChar w:fldCharType="end"/>
      </w:r>
      <w:r>
        <w:t xml:space="preserve">) in the element </w:t>
      </w:r>
      <w:r>
        <w:rPr>
          <w:rStyle w:val="Code"/>
        </w:rPr>
        <w:t>&lt;summary&gt;</w:t>
      </w:r>
    </w:p>
    <w:p w14:paraId="2E14C9BF" w14:textId="77777777">
      <w:pPr>
        <w:pStyle w:val="Lista2"/>
      </w:pPr>
      <w:r>
        <w:t>the palaeographic description should in this case contain only observations that apply to the entirety of the inscription</w:t>
      </w:r>
    </w:p>
    <w:p w14:paraId="6E8C7C46" w14:textId="77777777">
      <w:pPr>
        <w:pStyle w:val="Lista2"/>
      </w:pPr>
      <w:r>
        <w:t xml:space="preserve">the overall palaeographic description may also be left empty, but the skeleton structure of </w:t>
      </w:r>
      <w:r>
        <w:rPr>
          <w:rStyle w:val="Code"/>
        </w:rPr>
        <w:t>&lt;summary&gt;&lt;p/&gt;&lt;/summary&gt;</w:t>
      </w:r>
      <w:r>
        <w:t xml:space="preserve"> must be preserved</w:t>
      </w:r>
    </w:p>
    <w:p w14:paraId="1E888C1B" w14:textId="77777777">
      <w:pPr>
        <w:pStyle w:val="Lista"/>
      </w:pPr>
      <w:r>
        <w:t xml:space="preserve">after the </w:t>
      </w:r>
      <w:r>
        <w:rPr>
          <w:rStyle w:val="Code"/>
        </w:rPr>
        <w:t>&lt;summary&gt;</w:t>
      </w:r>
      <w:r>
        <w:t xml:space="preserve"> element, create one </w:t>
      </w:r>
      <w:r>
        <w:rPr>
          <w:rStyle w:val="Code"/>
        </w:rPr>
        <w:t>&lt;handNote&gt;</w:t>
      </w:r>
      <w:r>
        <w:t xml:space="preserve"> element for each hand, with the mandatory attribute </w:t>
      </w:r>
      <w:r>
        <w:rPr>
          <w:rStyle w:val="Codeattribute"/>
        </w:rPr>
        <w:t>@xml:id</w:t>
      </w:r>
      <w:r>
        <w:t xml:space="preserve"> to serve as a unique identifier for each hand</w:t>
      </w:r>
    </w:p>
    <w:p w14:paraId="7773B941" w14:textId="77777777">
      <w:pPr>
        <w:pStyle w:val="Lista2"/>
      </w:pPr>
      <w:r>
        <w:t>as per §</w:t>
      </w:r>
      <w:r>
        <w:fldChar w:fldCharType="begin"/>
      </w:r>
      <w:r>
        <w:instrText xml:space="preserve"> REF _Ref43988993 \w \h  \* MERGEFORMAT </w:instrText>
      </w:r>
      <w:r>
        <w:fldChar w:fldCharType="separate"/>
      </w:r>
      <w:r>
        <w:t>14.6.6</w:t>
      </w:r>
      <w:r>
        <w:fldChar w:fldCharType="end"/>
      </w:r>
      <w:r>
        <w:t xml:space="preserve">, the values of </w:t>
      </w:r>
      <w:r>
        <w:rPr>
          <w:rStyle w:val="Codeattribute"/>
        </w:rPr>
        <w:t>@xml:id</w:t>
      </w:r>
      <w:r>
        <w:t xml:space="preserve"> must consist of simple alphanumeric characters and be unique throughout your XML file</w:t>
      </w:r>
    </w:p>
    <w:p w14:paraId="2D96DD76" w14:textId="77777777">
      <w:pPr>
        <w:pStyle w:val="Lista2"/>
      </w:pPr>
      <w:r>
        <w:t xml:space="preserve">the recommended values are </w:t>
      </w:r>
      <w:r>
        <w:rPr>
          <w:rStyle w:val="Codevalue"/>
        </w:rPr>
        <w:t>"hand1"</w:t>
      </w:r>
      <w:r>
        <w:t xml:space="preserve">, </w:t>
      </w:r>
      <w:r>
        <w:rPr>
          <w:rStyle w:val="Codevalue"/>
        </w:rPr>
        <w:t>"hand2"</w:t>
      </w:r>
      <w:r>
        <w:t xml:space="preserve"> and so on for the required number of hands</w:t>
      </w:r>
    </w:p>
    <w:p w14:paraId="0FBAD29C" w14:textId="77777777">
      <w:pPr>
        <w:pStyle w:val="Lista"/>
      </w:pPr>
      <w:r>
        <w:t xml:space="preserve">in the contents of each </w:t>
      </w:r>
      <w:r>
        <w:rPr>
          <w:rStyle w:val="Code"/>
        </w:rPr>
        <w:t>&lt;handNote&gt;</w:t>
      </w:r>
      <w:r>
        <w:t xml:space="preserve"> element, write a concise, freeform description of the hand</w:t>
      </w:r>
    </w:p>
    <w:p w14:paraId="0D2E5CE1" w14:textId="77777777">
      <w:pPr>
        <w:pStyle w:val="Lista"/>
      </w:pPr>
      <w:r>
        <w:t xml:space="preserve">once the hands have been encoded in the header as above, use </w:t>
      </w:r>
      <w:r>
        <w:rPr>
          <w:rStyle w:val="Code"/>
        </w:rPr>
        <w:t>&lt;handShift/&gt;</w:t>
      </w:r>
      <w:r>
        <w:t xml:space="preserve"> within your edition to indicate hands, as described in §</w:t>
      </w:r>
      <w:r>
        <w:fldChar w:fldCharType="begin"/>
      </w:r>
      <w:r>
        <w:instrText xml:space="preserve"> REF _Ref231978881 \r \h </w:instrText>
      </w:r>
      <w:r>
        <w:fldChar w:fldCharType="separate"/>
      </w:r>
      <w:r>
        <w:t>8.3</w:t>
      </w:r>
      <w:r>
        <w:fldChar w:fldCharType="end"/>
      </w:r>
    </w:p>
    <w:tbl>
      <w:tblPr>
        <w:tblStyle w:val="CodeSampleTable"/>
        <w:tblW w:w="5000" w:type="pct"/>
        <w:tblLook w:val="04A0" w:firstRow="1" w:lastRow="0" w:firstColumn="1" w:lastColumn="0" w:noHBand="0" w:noVBand="1"/>
      </w:tblPr>
      <w:tblGrid>
        <w:gridCol w:w="9628"/>
      </w:tblGrid>
      <w:tr w14:paraId="146B7E92"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46ADCBAD" w14:textId="77777777">
            <w:pPr>
              <w:pStyle w:val="Kpalrs"/>
            </w:pPr>
            <w:bookmarkStart w:id="1076" w:name="_Ref233966339"/>
            <w:r>
              <w:t xml:space="preserve">Exhibit </w:t>
            </w:r>
            <w:fldSimple w:instr=" STYLEREF 2 \s ">
              <w:r>
                <w:rPr>
                  <w:noProof/>
                </w:rPr>
                <w:t>15.2</w:t>
              </w:r>
            </w:fldSimple>
            <w:r>
              <w:t>.</w:t>
            </w:r>
            <w:fldSimple w:instr=" SEQ Exhibit \* ALPHABETIC \s 2 ">
              <w:r>
                <w:rPr>
                  <w:noProof/>
                </w:rPr>
                <w:t>A</w:t>
              </w:r>
            </w:fldSimple>
            <w:bookmarkEnd w:id="1076"/>
            <w:r>
              <w:t>: hand description with multiple hands</w:t>
            </w:r>
          </w:p>
        </w:tc>
      </w:tr>
      <w:tr w14:paraId="223D0179" w14:textId="77777777">
        <w:tc>
          <w:tcPr>
            <w:tcW w:w="5000" w:type="pct"/>
          </w:tcPr>
          <w:p w14:paraId="7AE36EE4" w14:textId="77777777">
            <w:pPr>
              <w:pStyle w:val="CodeParagraph"/>
              <w:rPr>
                <w:rStyle w:val="Code"/>
              </w:rPr>
            </w:pPr>
            <w:r>
              <w:rPr>
                <w:rStyle w:val="Code"/>
              </w:rPr>
              <w:t>&lt;handDesc&gt;</w:t>
            </w:r>
          </w:p>
          <w:p w14:paraId="02222874" w14:textId="77777777">
            <w:pPr>
              <w:pStyle w:val="CodeParagraph"/>
              <w:rPr>
                <w:rStyle w:val="Code"/>
              </w:rPr>
            </w:pPr>
            <w:r>
              <w:rPr>
                <w:rStyle w:val="Code"/>
              </w:rPr>
              <w:t xml:space="preserve">  &lt;summary&gt;</w:t>
            </w:r>
          </w:p>
          <w:p w14:paraId="737694EC" w14:textId="77777777">
            <w:pPr>
              <w:pStyle w:val="CodeParagraph"/>
              <w:rPr>
                <w:rStyle w:val="Codetext"/>
              </w:rPr>
            </w:pPr>
            <w:r>
              <w:rPr>
                <w:rStyle w:val="Codetext"/>
              </w:rPr>
              <w:t xml:space="preserve">    </w:t>
            </w:r>
            <w:r>
              <w:rPr>
                <w:rStyle w:val="Code"/>
              </w:rPr>
              <w:t>&lt;p&gt;</w:t>
            </w:r>
            <w:r>
              <w:rPr>
                <w:rStyle w:val="Codetext"/>
              </w:rPr>
              <w:t xml:space="preserve">Final </w:t>
            </w:r>
            <w:r>
              <w:rPr>
                <w:rStyle w:val="Code"/>
              </w:rPr>
              <w:t>&lt;foreign&gt;</w:t>
            </w:r>
            <w:r>
              <w:rPr>
                <w:rStyle w:val="Codetext"/>
              </w:rPr>
              <w:t>T</w:t>
            </w:r>
            <w:r>
              <w:rPr>
                <w:rStyle w:val="Code"/>
              </w:rPr>
              <w:t>&lt;/foreign&gt;</w:t>
            </w:r>
            <w:r>
              <w:rPr>
                <w:rStyle w:val="Codetext"/>
              </w:rPr>
              <w:t xml:space="preserve"> looks like a full-sized </w:t>
            </w:r>
            <w:r>
              <w:rPr>
                <w:rStyle w:val="Code"/>
              </w:rPr>
              <w:t>&lt;foreign&gt;</w:t>
            </w:r>
            <w:r>
              <w:rPr>
                <w:rStyle w:val="Codetext"/>
              </w:rPr>
              <w:t>ta</w:t>
            </w:r>
            <w:r>
              <w:rPr>
                <w:rStyle w:val="Code"/>
              </w:rPr>
              <w:t>&lt;/foreign&gt;</w:t>
            </w:r>
            <w:r>
              <w:rPr>
                <w:rStyle w:val="Codetext"/>
              </w:rPr>
              <w:t xml:space="preserve"> without a headmark (. l21, l. 47) ... </w:t>
            </w:r>
            <w:r>
              <w:rPr>
                <w:rStyle w:val="Code"/>
              </w:rPr>
              <w:t>&lt;/p&gt;</w:t>
            </w:r>
          </w:p>
          <w:p w14:paraId="273C1714" w14:textId="77777777">
            <w:pPr>
              <w:pStyle w:val="CodeParagraph"/>
              <w:rPr>
                <w:rStyle w:val="Codetext"/>
              </w:rPr>
            </w:pPr>
            <w:r>
              <w:rPr>
                <w:rStyle w:val="Code"/>
              </w:rPr>
              <w:t xml:space="preserve">    &lt;p&gt;</w:t>
            </w:r>
            <w:r>
              <w:rPr>
                <w:rStyle w:val="Codetext"/>
              </w:rPr>
              <w:t xml:space="preserve">Original punctuation marks are plain straight verticals ... </w:t>
            </w:r>
            <w:r>
              <w:rPr>
                <w:rStyle w:val="Code"/>
              </w:rPr>
              <w:t>&lt;/p&gt;</w:t>
            </w:r>
          </w:p>
          <w:p w14:paraId="474E0FB0" w14:textId="77777777">
            <w:pPr>
              <w:pStyle w:val="CodeParagraph"/>
              <w:rPr>
                <w:rStyle w:val="Codetext"/>
              </w:rPr>
            </w:pPr>
            <w:r>
              <w:rPr>
                <w:rStyle w:val="Codetext"/>
              </w:rPr>
              <w:t xml:space="preserve">    </w:t>
            </w:r>
            <w:r>
              <w:rPr>
                <w:rStyle w:val="Code"/>
              </w:rPr>
              <w:t>&lt;p&gt;&lt;foreign&gt;</w:t>
            </w:r>
            <w:r>
              <w:rPr>
                <w:rStyle w:val="Codetext"/>
              </w:rPr>
              <w:t>Anusvāra</w:t>
            </w:r>
            <w:r>
              <w:rPr>
                <w:rStyle w:val="Code"/>
              </w:rPr>
              <w:t>&lt;/foreign&gt;</w:t>
            </w:r>
            <w:r>
              <w:rPr>
                <w:rStyle w:val="Codetext"/>
              </w:rPr>
              <w:t xml:space="preserve"> is a dot after the character to which it belongs ... </w:t>
            </w:r>
            <w:r>
              <w:rPr>
                <w:rStyle w:val="Code"/>
              </w:rPr>
              <w:t>&lt;/p&gt;</w:t>
            </w:r>
          </w:p>
          <w:p w14:paraId="18BCC056" w14:textId="77777777">
            <w:pPr>
              <w:pStyle w:val="CodeParagraph"/>
              <w:rPr>
                <w:rStyle w:val="Code"/>
              </w:rPr>
            </w:pPr>
            <w:r>
              <w:rPr>
                <w:rStyle w:val="Code"/>
              </w:rPr>
              <w:t xml:space="preserve">  &lt;/summary&gt;</w:t>
            </w:r>
          </w:p>
          <w:p w14:paraId="1C2B5E37" w14:textId="77777777">
            <w:pPr>
              <w:pStyle w:val="CodeParagraph"/>
              <w:rPr>
                <w:rStyle w:val="Codetext"/>
              </w:rPr>
            </w:pPr>
            <w:r>
              <w:rPr>
                <w:rStyle w:val="Code"/>
              </w:rPr>
              <w:t xml:space="preserve">  &lt;handNote </w:t>
            </w:r>
            <w:r>
              <w:rPr>
                <w:rStyle w:val="Codeattribute"/>
              </w:rPr>
              <w:t>xml:id=</w:t>
            </w:r>
            <w:r>
              <w:rPr>
                <w:rStyle w:val="Codevalue"/>
              </w:rPr>
              <w:t>"hand1"</w:t>
            </w:r>
            <w:r>
              <w:rPr>
                <w:rStyle w:val="Code"/>
              </w:rPr>
              <w:t>&gt;</w:t>
            </w:r>
            <w:r>
              <w:rPr>
                <w:rStyle w:val="Codetext"/>
              </w:rPr>
              <w:t xml:space="preserve">The hand responsible for most of the inscription, characterised by relatively small and squarish character bodies and a very large number of scribal mistakes ... </w:t>
            </w:r>
            <w:r>
              <w:rPr>
                <w:rStyle w:val="Code"/>
              </w:rPr>
              <w:t>&lt;/handNote&gt;</w:t>
            </w:r>
          </w:p>
          <w:p w14:paraId="46CA1595" w14:textId="77777777">
            <w:pPr>
              <w:pStyle w:val="CodeParagraph"/>
              <w:rPr>
                <w:rStyle w:val="Codetext"/>
              </w:rPr>
            </w:pPr>
            <w:r>
              <w:rPr>
                <w:rStyle w:val="Code"/>
              </w:rPr>
              <w:t xml:space="preserve">  &lt;handNote </w:t>
            </w:r>
            <w:r>
              <w:rPr>
                <w:rStyle w:val="Codeattribute"/>
              </w:rPr>
              <w:t>xml:id=</w:t>
            </w:r>
            <w:r>
              <w:rPr>
                <w:rStyle w:val="Codevalue"/>
              </w:rPr>
              <w:t>"hand2"</w:t>
            </w:r>
            <w:r>
              <w:rPr>
                <w:rStyle w:val="Code"/>
              </w:rPr>
              <w:t>&gt;</w:t>
            </w:r>
            <w:r>
              <w:rPr>
                <w:rStyle w:val="Codetext"/>
              </w:rPr>
              <w:t xml:space="preserve">A hand characterised by characters which are are bolder and more evenly written, have a more cursive ductus and a slant to the right ... </w:t>
            </w:r>
            <w:r>
              <w:rPr>
                <w:rStyle w:val="Code"/>
              </w:rPr>
              <w:t>&lt;/handNote&gt;</w:t>
            </w:r>
          </w:p>
          <w:p w14:paraId="51AAD868" w14:textId="77777777">
            <w:pPr>
              <w:pStyle w:val="CodeParagraph"/>
              <w:rPr>
                <w:rStyle w:val="Code"/>
              </w:rPr>
            </w:pPr>
            <w:r>
              <w:rPr>
                <w:rStyle w:val="Code"/>
              </w:rPr>
              <w:t>&lt;/handDesc&gt;</w:t>
            </w:r>
          </w:p>
        </w:tc>
      </w:tr>
    </w:tbl>
    <w:p w14:paraId="362C7FFE" w14:textId="77777777">
      <w:pPr>
        <w:pStyle w:val="Cmsor2"/>
      </w:pPr>
      <w:bookmarkStart w:id="1077" w:name="_l88w6yddwwcn" w:colFirst="0" w:colLast="0"/>
      <w:bookmarkStart w:id="1078" w:name="_wnsvz48xieus" w:colFirst="0" w:colLast="0"/>
      <w:bookmarkStart w:id="1079" w:name="_Ref240276652"/>
      <w:bookmarkStart w:id="1080" w:name="_Toc243900467"/>
      <w:bookmarkEnd w:id="1077"/>
      <w:bookmarkEnd w:id="1078"/>
      <w:r>
        <w:t>Keeping track of file history</w:t>
      </w:r>
      <w:bookmarkEnd w:id="1079"/>
      <w:bookmarkEnd w:id="1080"/>
    </w:p>
    <w:p w14:paraId="64370FA8" w14:textId="77777777">
      <w:r>
        <w:t xml:space="preserve">From the moment it is created, the life-cycle of any XML file is liable to include any number of changes, such as additions, updates, corrections, or transformations. The history of the file is to be recorded in the Revision Description, encoded in </w:t>
      </w:r>
      <w:r>
        <w:rPr>
          <w:rStyle w:val="Code"/>
        </w:rPr>
        <w:t>&lt;revisionDesc&gt;</w:t>
      </w:r>
      <w:r>
        <w:t xml:space="preserve"> as the final high-level element in the TEI header, illustrated in </w:t>
      </w:r>
      <w:r>
        <w:fldChar w:fldCharType="begin"/>
      </w:r>
      <w:r>
        <w:instrText xml:space="preserve"> REF _Ref233967208 \h </w:instrText>
      </w:r>
      <w:r>
        <w:fldChar w:fldCharType="separate"/>
      </w:r>
      <w:r>
        <w:t xml:space="preserve">Exhibit </w:t>
      </w:r>
      <w:r>
        <w:rPr>
          <w:noProof/>
        </w:rPr>
        <w:t>15.3</w:t>
      </w:r>
      <w:r>
        <w:t>.</w:t>
      </w:r>
      <w:r>
        <w:rPr>
          <w:noProof/>
        </w:rPr>
        <w:t>A</w:t>
      </w:r>
      <w:r>
        <w:fldChar w:fldCharType="end"/>
      </w:r>
      <w:r>
        <w:t>. Once the initial encoding of a file has been completed, or the unfinished file is put aside to pick up later, any substantive alterations (extensive changes, deletions and additions) should be recorded in the revision description. Doing so at a manageable yet still meaningful level of detail can become an asset for the management and control of the files, for instance by helping to resolve issues regarding the encoding choices that can arise when files are being edited by multiple team members, and to gain a quick overview of the latest changes made when you return to work on a file after some time. We therefore recommend that you always check this part of the file before resuming your work to be sure that you have a clear understanding of the state of the encoding and avoid undoing changes made by others.</w:t>
      </w:r>
    </w:p>
    <w:p w14:paraId="2F609ED0" w14:textId="77777777">
      <w:pPr>
        <w:pStyle w:val="Lista"/>
      </w:pPr>
      <w:r>
        <w:t xml:space="preserve">each substantive change shall be recorded as a </w:t>
      </w:r>
      <w:r>
        <w:rPr>
          <w:rStyle w:val="Code"/>
        </w:rPr>
        <w:t>&lt;change&gt;</w:t>
      </w:r>
      <w:r>
        <w:t xml:space="preserve"> element with the following attributes:</w:t>
      </w:r>
    </w:p>
    <w:p w14:paraId="28B951ED" w14:textId="77777777">
      <w:pPr>
        <w:pStyle w:val="Lista2"/>
      </w:pPr>
      <w:r>
        <w:t xml:space="preserve">mandatorily, </w:t>
      </w:r>
      <w:r>
        <w:rPr>
          <w:rStyle w:val="Codeattribute"/>
        </w:rPr>
        <w:t>@who</w:t>
      </w:r>
      <w:r>
        <w:t>, the value of which shall be the personal identifier of the person</w:t>
      </w:r>
      <w:r>
        <w:rPr>
          <w:noProof/>
        </w:rPr>
        <w:t>(</w:t>
      </w:r>
      <w:r>
        <w:t xml:space="preserve">s) making the change, i.e. normally yours, with the prefix </w:t>
      </w:r>
      <w:r>
        <w:rPr>
          <w:rStyle w:val="Codevalue"/>
        </w:rPr>
        <w:t>part:</w:t>
      </w:r>
      <w:r>
        <w:t xml:space="preserve"> </w:t>
      </w:r>
      <w:r>
        <w:rPr>
          <w:noProof/>
        </w:rPr>
        <w:t>(</w:t>
      </w:r>
      <w:r>
        <w:t>as an abbreviated reference to the file listing participants of the project)</w:t>
      </w:r>
    </w:p>
    <w:p w14:paraId="6888CC0F" w14:textId="77777777">
      <w:pPr>
        <w:pStyle w:val="Lista3"/>
      </w:pPr>
      <w:r>
        <w:t xml:space="preserve">our personal identifiers are available at </w:t>
      </w:r>
      <w:hyperlink r:id="rId81" w:history="1">
        <w:r>
          <w:rPr>
            <w:rStyle w:val="Hiperhivatkozs"/>
          </w:rPr>
          <w:t>https://dharmalekha.info/contributors</w:t>
        </w:r>
      </w:hyperlink>
      <w:r>
        <w:t xml:space="preserve"> </w:t>
      </w:r>
    </w:p>
    <w:p w14:paraId="630948EB" w14:textId="77777777">
      <w:pPr>
        <w:pStyle w:val="Lista3"/>
      </w:pPr>
      <w:r>
        <w:t>to record multiple identifiers for a single change, prefix each as above and separate them by a space</w:t>
      </w:r>
    </w:p>
    <w:p w14:paraId="763F47AB" w14:textId="77777777">
      <w:pPr>
        <w:pStyle w:val="Lista2"/>
      </w:pPr>
      <w:r>
        <w:lastRenderedPageBreak/>
        <w:t xml:space="preserve">mandatorily, </w:t>
      </w:r>
      <w:r>
        <w:rPr>
          <w:rStyle w:val="Codeattribute"/>
        </w:rPr>
        <w:t>@when</w:t>
      </w:r>
      <w:r>
        <w:t>, the value of which shall be the date of the change in ISO format, i.e. YYYY-MM-DD</w:t>
      </w:r>
    </w:p>
    <w:p w14:paraId="74AD6554" w14:textId="77777777">
      <w:pPr>
        <w:pStyle w:val="Lista2"/>
      </w:pPr>
      <w:r>
        <w:t xml:space="preserve">optionally as applicable, </w:t>
      </w:r>
      <w:r>
        <w:rPr>
          <w:rStyle w:val="Codeattribute"/>
        </w:rPr>
        <w:t>@status</w:t>
      </w:r>
      <w:r>
        <w:t xml:space="preserve"> with one of the following values, to help keep track of significant milestones in the process of editing, especially when the work is done by a less experienced contributor under supervision</w:t>
      </w:r>
    </w:p>
    <w:p w14:paraId="3B152B3F" w14:textId="77777777">
      <w:pPr>
        <w:pStyle w:val="Lista3"/>
      </w:pPr>
      <w:r>
        <w:rPr>
          <w:rStyle w:val="Codevalue"/>
        </w:rPr>
        <w:t>"draft"</w:t>
      </w:r>
    </w:p>
    <w:p w14:paraId="3628E0BC" w14:textId="77777777">
      <w:pPr>
        <w:pStyle w:val="Lista3"/>
      </w:pPr>
      <w:r>
        <w:rPr>
          <w:rStyle w:val="Codevalue"/>
        </w:rPr>
        <w:t>"candidate"</w:t>
      </w:r>
    </w:p>
    <w:p w14:paraId="594265C3" w14:textId="77777777">
      <w:pPr>
        <w:pStyle w:val="Lista3"/>
      </w:pPr>
      <w:r>
        <w:rPr>
          <w:rStyle w:val="Codevalue"/>
        </w:rPr>
        <w:t>"approved"</w:t>
      </w:r>
    </w:p>
    <w:p w14:paraId="6346BF08" w14:textId="77777777">
      <w:pPr>
        <w:pStyle w:val="Lista3"/>
      </w:pPr>
      <w:r>
        <w:rPr>
          <w:rStyle w:val="Codevalue"/>
        </w:rPr>
        <w:t>"published"</w:t>
      </w:r>
    </w:p>
    <w:p w14:paraId="2C1B83E7" w14:textId="77777777">
      <w:pPr>
        <w:pStyle w:val="Lista3"/>
        <w:rPr>
          <w:rStyle w:val="Codevalue"/>
          <w:rFonts w:ascii="Gentium" w:eastAsiaTheme="minorEastAsia" w:hAnsi="Gentium" w:cs="Tiro Devanagari Sanskrit"/>
          <w:noProof w:val="0"/>
          <w:color w:val="auto"/>
          <w:shd w:val="clear" w:color="auto" w:fill="auto"/>
        </w:rPr>
      </w:pPr>
      <w:r>
        <w:rPr>
          <w:rStyle w:val="Codevalue"/>
        </w:rPr>
        <w:t>"withdrawn"</w:t>
      </w:r>
    </w:p>
    <w:p w14:paraId="36A00145" w14:textId="77777777">
      <w:pPr>
        <w:pStyle w:val="Lista"/>
      </w:pPr>
      <w:r>
        <w:t xml:space="preserve">the contents of </w:t>
      </w:r>
      <w:r>
        <w:rPr>
          <w:rStyle w:val="Code"/>
        </w:rPr>
        <w:t>&lt;change&gt;</w:t>
      </w:r>
      <w:r>
        <w:t xml:space="preserve"> shall be a freeform description of the modification</w:t>
      </w:r>
    </w:p>
    <w:p w14:paraId="335D916E" w14:textId="77777777">
      <w:pPr>
        <w:pStyle w:val="Lista2"/>
      </w:pPr>
      <w:r>
        <w:t>please be concise, but avoid generic formulations and favour precise ones</w:t>
      </w:r>
    </w:p>
    <w:p w14:paraId="27A0E8E0" w14:textId="77777777">
      <w:pPr>
        <w:pStyle w:val="Lista"/>
      </w:pPr>
      <w:r>
        <w:t>when first beginning to work on a file using a blank template or recycling one of your other editions</w:t>
      </w:r>
    </w:p>
    <w:p w14:paraId="6312B0E4" w14:textId="77777777">
      <w:pPr>
        <w:pStyle w:val="Lista2"/>
      </w:pPr>
      <w:r>
        <w:t xml:space="preserve">delete all but one of the </w:t>
      </w:r>
      <w:r>
        <w:rPr>
          <w:rStyle w:val="Code"/>
        </w:rPr>
        <w:t>&lt;change&gt;</w:t>
      </w:r>
      <w:r>
        <w:t xml:space="preserve"> elements already present</w:t>
      </w:r>
    </w:p>
    <w:p w14:paraId="5F18FAA9" w14:textId="77777777">
      <w:pPr>
        <w:pStyle w:val="Lista2"/>
      </w:pPr>
      <w:r>
        <w:t xml:space="preserve">edit the retained </w:t>
      </w:r>
      <w:r>
        <w:rPr>
          <w:rStyle w:val="Code"/>
        </w:rPr>
        <w:t>&lt;change&gt;</w:t>
      </w:r>
      <w:r>
        <w:t xml:space="preserve"> element’s attributes and content to record the event of initial encoding</w:t>
      </w:r>
    </w:p>
    <w:p w14:paraId="5C550B72" w14:textId="77777777">
      <w:pPr>
        <w:pStyle w:val="Lista2"/>
      </w:pPr>
      <w:r>
        <w:t>the date shall be the start of your work on the file</w:t>
      </w:r>
    </w:p>
    <w:p w14:paraId="45A4FD63" w14:textId="77777777">
      <w:pPr>
        <w:pStyle w:val="Lista3"/>
      </w:pPr>
      <w:r>
        <w:t>if initial encoding is completed within a reasonable period of time, the completion of initial encoding need not be recorded as a separate event</w:t>
      </w:r>
    </w:p>
    <w:p w14:paraId="6599AB29" w14:textId="77777777">
      <w:pPr>
        <w:pStyle w:val="Lista"/>
      </w:pPr>
      <w:r>
        <w:t>whenever you return to the file and make a substantive change</w:t>
      </w:r>
    </w:p>
    <w:p w14:paraId="534828D2" w14:textId="77777777">
      <w:pPr>
        <w:pStyle w:val="Lista2"/>
      </w:pPr>
      <w:r>
        <w:t xml:space="preserve">create a new </w:t>
      </w:r>
      <w:r>
        <w:rPr>
          <w:rStyle w:val="Code"/>
        </w:rPr>
        <w:t>&lt;change&gt;</w:t>
      </w:r>
      <w:r>
        <w:t xml:space="preserve"> element (or replicate an existing one)</w:t>
      </w:r>
    </w:p>
    <w:p w14:paraId="1252F3D5" w14:textId="77777777">
      <w:pPr>
        <w:pStyle w:val="Lista2"/>
      </w:pPr>
      <w:r>
        <w:t xml:space="preserve">the new </w:t>
      </w:r>
      <w:r>
        <w:rPr>
          <w:rStyle w:val="Code"/>
        </w:rPr>
        <w:t>&lt;change&gt;</w:t>
      </w:r>
      <w:r>
        <w:t xml:space="preserve"> element must always be at the top, so that events are listed in a reverse chronological order with the most recent at the top</w:t>
      </w:r>
    </w:p>
    <w:p w14:paraId="07E30E49" w14:textId="759F20F9">
      <w:pPr>
        <w:pStyle w:val="Lista2"/>
      </w:pPr>
      <w:r>
        <w:t xml:space="preserve">fill or edit the contents of the new </w:t>
      </w:r>
      <w:r>
        <w:rPr>
          <w:rStyle w:val="Code"/>
        </w:rPr>
        <w:t>&lt;change&gt;</w:t>
      </w:r>
      <w:r>
        <w:t xml:space="preserve"> element to record the details of the change </w:t>
      </w:r>
    </w:p>
    <w:tbl>
      <w:tblPr>
        <w:tblStyle w:val="CodeSampleTable"/>
        <w:tblW w:w="5000" w:type="pct"/>
        <w:tblLook w:val="04A0" w:firstRow="1" w:lastRow="0" w:firstColumn="1" w:lastColumn="0" w:noHBand="0" w:noVBand="1"/>
      </w:tblPr>
      <w:tblGrid>
        <w:gridCol w:w="9628"/>
      </w:tblGrid>
      <w:tr w14:paraId="39DC3A35"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2CA7BBCC" w14:textId="77777777">
            <w:pPr>
              <w:pStyle w:val="Kpalrs"/>
            </w:pPr>
            <w:bookmarkStart w:id="1081" w:name="_Ref233967208"/>
            <w:r>
              <w:t xml:space="preserve">Exhibit </w:t>
            </w:r>
            <w:fldSimple w:instr=" STYLEREF 2 \s ">
              <w:r>
                <w:rPr>
                  <w:noProof/>
                </w:rPr>
                <w:t>15.3</w:t>
              </w:r>
            </w:fldSimple>
            <w:r>
              <w:t>.</w:t>
            </w:r>
            <w:fldSimple w:instr=" SEQ Exhibit \* ALPHABETIC \s 2 ">
              <w:r>
                <w:rPr>
                  <w:noProof/>
                </w:rPr>
                <w:t>A</w:t>
              </w:r>
            </w:fldSimple>
            <w:bookmarkEnd w:id="1081"/>
            <w:r>
              <w:t>: the revision description</w:t>
            </w:r>
          </w:p>
        </w:tc>
      </w:tr>
      <w:tr w14:paraId="4F179A72" w14:textId="77777777">
        <w:tc>
          <w:tcPr>
            <w:tcW w:w="5000" w:type="pct"/>
          </w:tcPr>
          <w:p w14:paraId="50B1C677" w14:textId="77777777">
            <w:pPr>
              <w:pStyle w:val="CodeParagraph"/>
              <w:rPr>
                <w:rStyle w:val="Code"/>
              </w:rPr>
            </w:pPr>
            <w:r>
              <w:rPr>
                <w:rStyle w:val="Code"/>
              </w:rPr>
              <w:t>&lt;revisionDesc&gt;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"2024-07-05" </w:t>
            </w:r>
            <w:r>
              <w:rPr>
                <w:rStyle w:val="Codeattribute"/>
              </w:rPr>
              <w:t>status</w:t>
            </w:r>
            <w:r>
              <w:rPr>
                <w:rStyle w:val="Code"/>
              </w:rPr>
              <w:t>=</w:t>
            </w:r>
            <w:r>
              <w:rPr>
                <w:rStyle w:val="Codevalue"/>
              </w:rPr>
              <w:t>"published"</w:t>
            </w:r>
            <w:r>
              <w:rPr>
                <w:rStyle w:val="Code"/>
              </w:rPr>
              <w:t>&gt;</w:t>
            </w:r>
            <w:r>
              <w:rPr>
                <w:rStyle w:val="Codetext"/>
              </w:rPr>
              <w:t>Re-collation with new photos</w:t>
            </w:r>
            <w:r>
              <w:rPr>
                <w:rStyle w:val="Code"/>
              </w:rPr>
              <w:t>&lt;/change&gt;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"2020-03-10" </w:t>
            </w:r>
            <w:r>
              <w:rPr>
                <w:rStyle w:val="Codeattribute"/>
              </w:rPr>
              <w:t>status</w:t>
            </w:r>
            <w:r>
              <w:rPr>
                <w:rStyle w:val="Code"/>
              </w:rPr>
              <w:t>=</w:t>
            </w:r>
            <w:r>
              <w:rPr>
                <w:rStyle w:val="Codevalue"/>
              </w:rPr>
              <w:t>"published"</w:t>
            </w:r>
            <w:r>
              <w:rPr>
                <w:rStyle w:val="Code"/>
              </w:rPr>
              <w:t>&gt;</w:t>
            </w:r>
            <w:r>
              <w:rPr>
                <w:rStyle w:val="Codetext"/>
              </w:rPr>
              <w:t>Adding translation</w:t>
            </w:r>
            <w:r>
              <w:rPr>
                <w:rStyle w:val="Code"/>
              </w:rPr>
              <w:t>&lt;/change&gt;</w:t>
            </w:r>
            <w:r>
              <w:rPr>
                <w:rStyle w:val="Codetext"/>
              </w:rPr>
              <w:br/>
              <w:t xml:space="preserve">  </w:t>
            </w:r>
            <w:r>
              <w:rPr>
                <w:rStyle w:val="Code"/>
              </w:rPr>
              <w:t xml:space="preserve">&lt;change </w:t>
            </w:r>
            <w:r>
              <w:rPr>
                <w:rStyle w:val="Codeattribute"/>
              </w:rPr>
              <w:t>who</w:t>
            </w:r>
            <w:r>
              <w:rPr>
                <w:rStyle w:val="Code"/>
              </w:rPr>
              <w:t>=</w:t>
            </w:r>
            <w:r>
              <w:rPr>
                <w:rStyle w:val="Codevalue"/>
              </w:rPr>
              <w:t>"part:daba"</w:t>
            </w:r>
            <w:r>
              <w:rPr>
                <w:rStyle w:val="Code"/>
              </w:rPr>
              <w:t xml:space="preserve"> </w:t>
            </w:r>
            <w:r>
              <w:rPr>
                <w:rStyle w:val="Codeattribute"/>
              </w:rPr>
              <w:t>when</w:t>
            </w:r>
            <w:r>
              <w:rPr>
                <w:rStyle w:val="Code"/>
              </w:rPr>
              <w:t>=</w:t>
            </w:r>
            <w:r>
              <w:rPr>
                <w:rStyle w:val="Codevalue"/>
              </w:rPr>
              <w:t xml:space="preserve">"2019-12-01" </w:t>
            </w:r>
            <w:r>
              <w:rPr>
                <w:rStyle w:val="Codeattribute"/>
              </w:rPr>
              <w:t>status</w:t>
            </w:r>
            <w:r>
              <w:rPr>
                <w:rStyle w:val="Code"/>
              </w:rPr>
              <w:t>=</w:t>
            </w:r>
            <w:r>
              <w:rPr>
                <w:rStyle w:val="Codevalue"/>
              </w:rPr>
              <w:t>"draft"</w:t>
            </w:r>
            <w:r>
              <w:rPr>
                <w:rStyle w:val="Code"/>
              </w:rPr>
              <w:t>&gt;</w:t>
            </w:r>
            <w:r>
              <w:rPr>
                <w:rStyle w:val="Codetext"/>
              </w:rPr>
              <w:t>Initial encoding</w:t>
            </w:r>
            <w:r>
              <w:rPr>
                <w:rStyle w:val="Code"/>
              </w:rPr>
              <w:t>&lt;/change&gt;</w:t>
            </w:r>
            <w:r>
              <w:rPr>
                <w:rStyle w:val="Codetext"/>
              </w:rPr>
              <w:br/>
            </w:r>
            <w:r>
              <w:rPr>
                <w:rStyle w:val="Code"/>
              </w:rPr>
              <w:t>&lt;/revisionDesc&gt;</w:t>
            </w:r>
          </w:p>
        </w:tc>
      </w:tr>
    </w:tbl>
    <w:p w14:paraId="578CF1BC" w14:textId="77777777">
      <w:pPr>
        <w:pStyle w:val="Cmsor1"/>
      </w:pPr>
      <w:bookmarkStart w:id="1082" w:name="_m394n9pgjwwz" w:colFirst="0" w:colLast="0"/>
      <w:bookmarkStart w:id="1083" w:name="_Toc243900468"/>
      <w:bookmarkEnd w:id="1082"/>
      <w:r>
        <w:lastRenderedPageBreak/>
        <w:t>Good encoding practice</w:t>
      </w:r>
      <w:bookmarkEnd w:id="1083"/>
    </w:p>
    <w:p w14:paraId="5522AFD5" w14:textId="77777777">
      <w:pPr>
        <w:pStyle w:val="Cmsor2"/>
      </w:pPr>
      <w:bookmarkStart w:id="1084" w:name="_udlxmxv788yo" w:colFirst="0" w:colLast="0"/>
      <w:bookmarkStart w:id="1085" w:name="_i3nexhtm21xy" w:colFirst="0" w:colLast="0"/>
      <w:bookmarkStart w:id="1086" w:name="_Ref43989206"/>
      <w:bookmarkStart w:id="1087" w:name="_Toc243900469"/>
      <w:bookmarkEnd w:id="1084"/>
      <w:bookmarkEnd w:id="1085"/>
      <w:r>
        <w:t>White space</w:t>
      </w:r>
      <w:bookmarkEnd w:id="1086"/>
      <w:bookmarkEnd w:id="1087"/>
    </w:p>
    <w:p w14:paraId="2EC065DB" w14:textId="77777777">
      <w:r>
        <w:t xml:space="preserve">In coding terminology, white space (or whitespace) means a blank space in a document, i.e. any combination of spaces, tabs and new line </w:t>
      </w:r>
      <w:r>
        <w:rPr>
          <w:noProof/>
        </w:rPr>
        <w:t>(</w:t>
      </w:r>
      <w:r>
        <w:t>carriage return) characters.</w:t>
      </w:r>
      <w:r>
        <w:rPr>
          <w:rStyle w:val="Lbjegyzet-hivatkozs"/>
        </w:rPr>
        <w:footnoteReference w:id="43"/>
      </w:r>
      <w:r>
        <w:t xml:space="preserve"> White space that affects the processing and transformation of an XML document is called significant, while white space that does not is called insignificant. While editing an XML file, take care to use significant white space correctly, adding no more and no less than necessary, to ensure that processing and displaying take place correctly.</w:t>
      </w:r>
    </w:p>
    <w:tbl>
      <w:tblPr>
        <w:tblStyle w:val="CodeSampleTable"/>
        <w:tblpPr w:leftFromText="180" w:rightFromText="180" w:vertAnchor="text" w:tblpXSpec="right" w:tblpY="1"/>
        <w:tblOverlap w:val="never"/>
        <w:tblW w:w="3690" w:type="dxa"/>
        <w:jc w:val="right"/>
        <w:tblLook w:val="04A0" w:firstRow="1" w:lastRow="0" w:firstColumn="1" w:lastColumn="0" w:noHBand="0" w:noVBand="1"/>
      </w:tblPr>
      <w:tblGrid>
        <w:gridCol w:w="288"/>
        <w:gridCol w:w="3402"/>
      </w:tblGrid>
      <w:tr w14:paraId="5BD270F1" w14:textId="77777777">
        <w:trPr>
          <w:cnfStyle w:val="100000000000" w:firstRow="1" w:lastRow="0" w:firstColumn="0" w:lastColumn="0" w:oddVBand="0" w:evenVBand="0" w:oddHBand="0" w:evenHBand="0" w:firstRowFirstColumn="0" w:firstRowLastColumn="0" w:lastRowFirstColumn="0" w:lastRowLastColumn="0"/>
          <w:jc w:val="right"/>
        </w:trPr>
        <w:tc>
          <w:tcPr>
            <w:tcW w:w="3690" w:type="dxa"/>
            <w:gridSpan w:val="2"/>
          </w:tcPr>
          <w:p w14:paraId="2610567B" w14:textId="77777777">
            <w:pPr>
              <w:pStyle w:val="Kpalrs"/>
            </w:pPr>
            <w:bookmarkStart w:id="1088" w:name="_Ref242975031"/>
            <w:bookmarkStart w:id="1089" w:name="_Ref242975027"/>
            <w:r>
              <w:t xml:space="preserve">Exhibit </w:t>
            </w:r>
            <w:fldSimple w:instr=" STYLEREF 2 \s ">
              <w:r>
                <w:rPr>
                  <w:noProof/>
                </w:rPr>
                <w:t>16.1</w:t>
              </w:r>
            </w:fldSimple>
            <w:r>
              <w:t>.</w:t>
            </w:r>
            <w:fldSimple w:instr=" SEQ Exhibit \* ALPHABETIC \s 2 ">
              <w:r>
                <w:rPr>
                  <w:noProof/>
                </w:rPr>
                <w:t>A</w:t>
              </w:r>
            </w:fldSimple>
            <w:bookmarkEnd w:id="1088"/>
            <w:r>
              <w:t>: white space</w:t>
            </w:r>
            <w:bookmarkEnd w:id="1089"/>
            <w:r>
              <w:t xml:space="preserve"> in tags</w:t>
            </w:r>
          </w:p>
        </w:tc>
      </w:tr>
      <w:tr w14:paraId="0CFA51D3" w14:textId="77777777">
        <w:trPr>
          <w:jc w:val="right"/>
        </w:trPr>
        <w:tc>
          <w:tcPr>
            <w:tcW w:w="288" w:type="dxa"/>
            <w:shd w:val="clear" w:color="auto" w:fill="92D050"/>
          </w:tcPr>
          <w:p w14:paraId="3343B999" w14:textId="77777777">
            <w:pPr>
              <w:pStyle w:val="Tabletext"/>
              <w:jc w:val="center"/>
            </w:pPr>
            <w:r>
              <w:t>1</w:t>
            </w:r>
          </w:p>
        </w:tc>
        <w:tc>
          <w:tcPr>
            <w:tcW w:w="3402" w:type="dxa"/>
          </w:tcPr>
          <w:p w14:paraId="4833F993" w14:textId="77777777">
            <w:pPr>
              <w:pStyle w:val="CodeParagraph"/>
              <w:keepNext/>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break</w:t>
            </w:r>
            <w:r>
              <w:rPr>
                <w:rStyle w:val="Code"/>
              </w:rPr>
              <w:t>=</w:t>
            </w:r>
            <w:r>
              <w:rPr>
                <w:rStyle w:val="Codevalue"/>
              </w:rPr>
              <w:t>"no"</w:t>
            </w:r>
            <w:r>
              <w:rPr>
                <w:rStyle w:val="Code"/>
              </w:rPr>
              <w:t>/&gt;</w:t>
            </w:r>
          </w:p>
        </w:tc>
      </w:tr>
      <w:tr w14:paraId="64F4DEFF" w14:textId="77777777">
        <w:trPr>
          <w:jc w:val="right"/>
        </w:trPr>
        <w:tc>
          <w:tcPr>
            <w:tcW w:w="288" w:type="dxa"/>
            <w:shd w:val="clear" w:color="auto" w:fill="92D050"/>
          </w:tcPr>
          <w:p w14:paraId="7A21C1D3" w14:textId="77777777">
            <w:pPr>
              <w:pStyle w:val="Tabletext"/>
              <w:jc w:val="center"/>
            </w:pPr>
            <w:r>
              <w:t>2</w:t>
            </w:r>
          </w:p>
        </w:tc>
        <w:tc>
          <w:tcPr>
            <w:tcW w:w="3402" w:type="dxa"/>
          </w:tcPr>
          <w:p w14:paraId="7C15A200"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 xml:space="preserve">break </w:t>
            </w:r>
            <w:r>
              <w:rPr>
                <w:rStyle w:val="Code"/>
              </w:rPr>
              <w:t xml:space="preserve">= </w:t>
            </w:r>
            <w:r>
              <w:rPr>
                <w:rStyle w:val="Codevalue"/>
              </w:rPr>
              <w:t xml:space="preserve">"no" </w:t>
            </w:r>
            <w:r>
              <w:rPr>
                <w:rStyle w:val="Code"/>
              </w:rPr>
              <w:t>/ &gt;</w:t>
            </w:r>
          </w:p>
        </w:tc>
      </w:tr>
      <w:tr w14:paraId="23A4957C" w14:textId="77777777">
        <w:trPr>
          <w:jc w:val="right"/>
        </w:trPr>
        <w:tc>
          <w:tcPr>
            <w:tcW w:w="288" w:type="dxa"/>
            <w:shd w:val="clear" w:color="auto" w:fill="92D050"/>
          </w:tcPr>
          <w:p w14:paraId="211BC65D" w14:textId="77777777">
            <w:pPr>
              <w:pStyle w:val="Tabletext"/>
              <w:jc w:val="center"/>
            </w:pPr>
            <w:r>
              <w:t>3</w:t>
            </w:r>
          </w:p>
        </w:tc>
        <w:tc>
          <w:tcPr>
            <w:tcW w:w="3402" w:type="dxa"/>
          </w:tcPr>
          <w:p w14:paraId="41959C93" w14:textId="77777777">
            <w:pPr>
              <w:pStyle w:val="CodeParagraph"/>
              <w:keepNext/>
              <w:rPr>
                <w:rStyle w:val="Code"/>
              </w:rPr>
            </w:pPr>
            <w:r>
              <w:rPr>
                <w:rStyle w:val="Code"/>
              </w:rPr>
              <w:t>&lt;lb</w:t>
            </w:r>
            <w:r>
              <w:rPr>
                <w:rStyle w:val="Code"/>
              </w:rPr>
              <w:br/>
            </w:r>
            <w:r>
              <w:rPr>
                <w:rStyle w:val="Codeattribute"/>
              </w:rPr>
              <w:t>n</w:t>
            </w:r>
            <w:r>
              <w:rPr>
                <w:rStyle w:val="Code"/>
              </w:rPr>
              <w:t>=</w:t>
            </w:r>
            <w:r>
              <w:rPr>
                <w:rStyle w:val="Codevalue"/>
              </w:rPr>
              <w:t>"1"</w:t>
            </w:r>
            <w:r>
              <w:rPr>
                <w:rStyle w:val="Code"/>
              </w:rPr>
              <w:br/>
            </w:r>
            <w:r>
              <w:rPr>
                <w:rStyle w:val="Codeattribute"/>
              </w:rPr>
              <w:t>break</w:t>
            </w:r>
            <w:r>
              <w:rPr>
                <w:rStyle w:val="Code"/>
              </w:rPr>
              <w:t>=</w:t>
            </w:r>
            <w:r>
              <w:rPr>
                <w:rStyle w:val="Codevalue"/>
              </w:rPr>
              <w:t>"no"</w:t>
            </w:r>
            <w:r>
              <w:rPr>
                <w:rStyle w:val="Code"/>
              </w:rPr>
              <w:t>/&gt;</w:t>
            </w:r>
          </w:p>
        </w:tc>
      </w:tr>
      <w:tr w14:paraId="53A0E430" w14:textId="77777777">
        <w:trPr>
          <w:jc w:val="right"/>
        </w:trPr>
        <w:tc>
          <w:tcPr>
            <w:tcW w:w="288" w:type="dxa"/>
            <w:shd w:val="clear" w:color="auto" w:fill="C00000"/>
          </w:tcPr>
          <w:p w14:paraId="7C0786F7" w14:textId="77777777">
            <w:pPr>
              <w:pStyle w:val="Tabletext"/>
              <w:jc w:val="center"/>
            </w:pPr>
            <w:r>
              <w:t>4</w:t>
            </w:r>
          </w:p>
        </w:tc>
        <w:tc>
          <w:tcPr>
            <w:tcW w:w="3402" w:type="dxa"/>
          </w:tcPr>
          <w:p w14:paraId="47D1B887"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attribute"/>
              </w:rPr>
              <w:t>break</w:t>
            </w:r>
            <w:r>
              <w:rPr>
                <w:rStyle w:val="Code"/>
              </w:rPr>
              <w:t>=</w:t>
            </w:r>
            <w:r>
              <w:rPr>
                <w:rStyle w:val="Codevalue"/>
              </w:rPr>
              <w:t>"no"</w:t>
            </w:r>
            <w:r>
              <w:rPr>
                <w:rStyle w:val="Code"/>
              </w:rPr>
              <w:t>/&gt;</w:t>
            </w:r>
          </w:p>
        </w:tc>
      </w:tr>
      <w:tr w14:paraId="0914147F" w14:textId="77777777">
        <w:trPr>
          <w:jc w:val="right"/>
        </w:trPr>
        <w:tc>
          <w:tcPr>
            <w:tcW w:w="288" w:type="dxa"/>
            <w:shd w:val="clear" w:color="auto" w:fill="C00000"/>
          </w:tcPr>
          <w:p w14:paraId="5E5EFAC6" w14:textId="77777777">
            <w:pPr>
              <w:pStyle w:val="Tabletext"/>
              <w:jc w:val="center"/>
            </w:pPr>
            <w:r>
              <w:t>5</w:t>
            </w:r>
          </w:p>
        </w:tc>
        <w:tc>
          <w:tcPr>
            <w:tcW w:w="3402" w:type="dxa"/>
          </w:tcPr>
          <w:p w14:paraId="7CC76900" w14:textId="77777777">
            <w:pPr>
              <w:pStyle w:val="CodeParagraph"/>
              <w:keepNext/>
              <w:rPr>
                <w:rStyle w:val="Code"/>
              </w:rPr>
            </w:pPr>
            <w:r>
              <w:rPr>
                <w:rStyle w:val="Code"/>
              </w:rPr>
              <w:t xml:space="preserve">&lt;lb </w:t>
            </w:r>
            <w:r>
              <w:rPr>
                <w:rStyle w:val="Codeattribute"/>
              </w:rPr>
              <w:t>n</w:t>
            </w:r>
            <w:r>
              <w:rPr>
                <w:rStyle w:val="Code"/>
              </w:rPr>
              <w:t>=</w:t>
            </w:r>
            <w:r>
              <w:rPr>
                <w:rStyle w:val="Codevalue"/>
              </w:rPr>
              <w:t>" 1"</w:t>
            </w:r>
            <w:r>
              <w:rPr>
                <w:rStyle w:val="Code"/>
              </w:rPr>
              <w:t xml:space="preserve"> </w:t>
            </w:r>
            <w:r>
              <w:rPr>
                <w:rStyle w:val="Codeattribute"/>
              </w:rPr>
              <w:t>break</w:t>
            </w:r>
            <w:r>
              <w:rPr>
                <w:rStyle w:val="Code"/>
              </w:rPr>
              <w:t>=</w:t>
            </w:r>
            <w:r>
              <w:rPr>
                <w:rStyle w:val="Codevalue"/>
              </w:rPr>
              <w:t>"no"</w:t>
            </w:r>
            <w:r>
              <w:rPr>
                <w:rStyle w:val="Code"/>
              </w:rPr>
              <w:t>/&gt;</w:t>
            </w:r>
          </w:p>
        </w:tc>
      </w:tr>
      <w:tr w14:paraId="7B04B865" w14:textId="77777777">
        <w:trPr>
          <w:jc w:val="right"/>
        </w:trPr>
        <w:tc>
          <w:tcPr>
            <w:tcW w:w="288" w:type="dxa"/>
            <w:shd w:val="clear" w:color="auto" w:fill="C00000"/>
          </w:tcPr>
          <w:p w14:paraId="62630A66" w14:textId="77777777">
            <w:pPr>
              <w:pStyle w:val="Tabletext"/>
              <w:jc w:val="center"/>
            </w:pPr>
            <w:r>
              <w:t>6</w:t>
            </w:r>
          </w:p>
        </w:tc>
        <w:tc>
          <w:tcPr>
            <w:tcW w:w="3402" w:type="dxa"/>
          </w:tcPr>
          <w:p w14:paraId="0C92E916" w14:textId="77777777">
            <w:pPr>
              <w:pStyle w:val="CodeParagraph"/>
              <w:keepNext/>
              <w:rPr>
                <w:rStyle w:val="Code"/>
              </w:rPr>
            </w:pPr>
            <w:r>
              <w:rPr>
                <w:rStyle w:val="Code"/>
              </w:rPr>
              <w:t xml:space="preserve">&lt;lb </w:t>
            </w:r>
            <w:r>
              <w:rPr>
                <w:rStyle w:val="Codeattribute"/>
              </w:rPr>
              <w:t>n</w:t>
            </w:r>
            <w:r>
              <w:rPr>
                <w:rStyle w:val="Code"/>
              </w:rPr>
              <w:t>=</w:t>
            </w:r>
            <w:r>
              <w:rPr>
                <w:rStyle w:val="Codevalue"/>
              </w:rPr>
              <w:t>"1"</w:t>
            </w:r>
            <w:r>
              <w:rPr>
                <w:rStyle w:val="Code"/>
              </w:rPr>
              <w:t xml:space="preserve"> </w:t>
            </w:r>
            <w:r>
              <w:rPr>
                <w:rStyle w:val="Codeattribute"/>
              </w:rPr>
              <w:t>break</w:t>
            </w:r>
            <w:r>
              <w:rPr>
                <w:rStyle w:val="Code"/>
              </w:rPr>
              <w:t>=</w:t>
            </w:r>
            <w:r>
              <w:rPr>
                <w:rStyle w:val="Codevalue"/>
              </w:rPr>
              <w:t>"no "</w:t>
            </w:r>
            <w:r>
              <w:rPr>
                <w:rStyle w:val="Code"/>
              </w:rPr>
              <w:t>/&gt;</w:t>
            </w:r>
          </w:p>
        </w:tc>
      </w:tr>
    </w:tbl>
    <w:p w14:paraId="7F22FEDD" w14:textId="77777777">
      <w:pPr>
        <w:pStyle w:val="Lista"/>
      </w:pPr>
      <w:r>
        <w:t>white space inside XML tags is as generally insignificant</w:t>
      </w:r>
    </w:p>
    <w:p w14:paraId="7C984E01" w14:textId="77777777">
      <w:pPr>
        <w:pStyle w:val="Lista2"/>
      </w:pPr>
      <w:r>
        <w:t xml:space="preserve">thus, rows 1 through 3 in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are equivalent</w:t>
      </w:r>
    </w:p>
    <w:p w14:paraId="79F587F4" w14:textId="77777777">
      <w:pPr>
        <w:pStyle w:val="Lista2"/>
      </w:pPr>
      <w:r>
        <w:t xml:space="preserve">some form of white space must, however, be present before all attribute names, so the code in row 4 of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is not equivalent to those above: it is incorrect XML because it has no space before the second attribute</w:t>
      </w:r>
    </w:p>
    <w:p w14:paraId="5B6D84C4" w14:textId="77777777">
      <w:pPr>
        <w:pStyle w:val="Lista2"/>
      </w:pPr>
      <w:r>
        <w:t xml:space="preserve">white space within attribute values is significant, so the code in rows 5 and 6 of </w:t>
      </w:r>
      <w:r>
        <w:fldChar w:fldCharType="begin"/>
      </w:r>
      <w:r>
        <w:instrText xml:space="preserve"> REF _Ref242975031 \h </w:instrText>
      </w:r>
      <w:r>
        <w:fldChar w:fldCharType="separate"/>
      </w:r>
      <w:r>
        <w:t xml:space="preserve">Exhibit </w:t>
      </w:r>
      <w:r>
        <w:rPr>
          <w:noProof/>
        </w:rPr>
        <w:t>16.1</w:t>
      </w:r>
      <w:r>
        <w:t>.</w:t>
      </w:r>
      <w:r>
        <w:rPr>
          <w:noProof/>
        </w:rPr>
        <w:t>A</w:t>
      </w:r>
      <w:r>
        <w:fldChar w:fldCharType="end"/>
      </w:r>
      <w:r>
        <w:t xml:space="preserve"> are also not equivalent to those above</w:t>
      </w:r>
    </w:p>
    <w:p w14:paraId="138B270D" w14:textId="77777777">
      <w:pPr>
        <w:pStyle w:val="Lista3"/>
      </w:pPr>
      <w:r>
        <w:t xml:space="preserve">the value </w:t>
      </w:r>
      <w:r>
        <w:rPr>
          <w:rStyle w:val="Codevalue"/>
        </w:rPr>
        <w:t>" 1"</w:t>
      </w:r>
      <w:r>
        <w:t xml:space="preserve"> in row 5 begins with a space, which is valid, but different from </w:t>
      </w:r>
      <w:r>
        <w:rPr>
          <w:rStyle w:val="Codevalue"/>
        </w:rPr>
        <w:t>"1"</w:t>
      </w:r>
    </w:p>
    <w:p w14:paraId="5C65DB03" w14:textId="77777777">
      <w:pPr>
        <w:pStyle w:val="Lista3"/>
      </w:pPr>
      <w:r>
        <w:t xml:space="preserve">the value </w:t>
      </w:r>
      <w:r>
        <w:rPr>
          <w:rStyle w:val="Codevalue"/>
        </w:rPr>
        <w:t>"no "</w:t>
      </w:r>
      <w:r>
        <w:t xml:space="preserve"> in row 6 has a space at the end, which is not meaningful in TEI</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284"/>
        <w:gridCol w:w="4252"/>
      </w:tblGrid>
      <w:tr w14:paraId="0F4DA499" w14:textId="77777777">
        <w:trPr>
          <w:cnfStyle w:val="100000000000" w:firstRow="1" w:lastRow="0" w:firstColumn="0" w:lastColumn="0" w:oddVBand="0" w:evenVBand="0" w:oddHBand="0" w:evenHBand="0" w:firstRowFirstColumn="0" w:firstRowLastColumn="0" w:lastRowFirstColumn="0" w:lastRowLastColumn="0"/>
          <w:jc w:val="right"/>
        </w:trPr>
        <w:tc>
          <w:tcPr>
            <w:tcW w:w="4536" w:type="dxa"/>
            <w:gridSpan w:val="2"/>
          </w:tcPr>
          <w:p w14:paraId="4A8FF242" w14:textId="77777777">
            <w:pPr>
              <w:pStyle w:val="Kpalrs"/>
            </w:pPr>
            <w:bookmarkStart w:id="1090" w:name="_Ref242975596"/>
            <w:r>
              <w:t xml:space="preserve">Exhibit </w:t>
            </w:r>
            <w:fldSimple w:instr=" STYLEREF 2 \s ">
              <w:r>
                <w:rPr>
                  <w:noProof/>
                </w:rPr>
                <w:t>16.1</w:t>
              </w:r>
            </w:fldSimple>
            <w:r>
              <w:t>.</w:t>
            </w:r>
            <w:fldSimple w:instr=" SEQ Exhibit \* ALPHABETIC \s 2 ">
              <w:r>
                <w:rPr>
                  <w:noProof/>
                </w:rPr>
                <w:t>B</w:t>
              </w:r>
            </w:fldSimple>
            <w:bookmarkEnd w:id="1090"/>
            <w:r>
              <w:t>: white space in elements without text</w:t>
            </w:r>
          </w:p>
        </w:tc>
      </w:tr>
      <w:tr w14:paraId="5D3E51F6" w14:textId="77777777">
        <w:trPr>
          <w:jc w:val="right"/>
        </w:trPr>
        <w:tc>
          <w:tcPr>
            <w:tcW w:w="284" w:type="dxa"/>
            <w:shd w:val="clear" w:color="auto" w:fill="92D050"/>
          </w:tcPr>
          <w:p w14:paraId="30B03429" w14:textId="77777777">
            <w:pPr>
              <w:pStyle w:val="Tabletext"/>
              <w:jc w:val="center"/>
            </w:pPr>
            <w:r>
              <w:t>1</w:t>
            </w:r>
          </w:p>
        </w:tc>
        <w:tc>
          <w:tcPr>
            <w:tcW w:w="4182" w:type="dxa"/>
          </w:tcPr>
          <w:p w14:paraId="72CDD3AC" w14:textId="77777777">
            <w:pPr>
              <w:pStyle w:val="CodeParagraph"/>
              <w:keepNext/>
            </w:pPr>
            <w:r>
              <w:rPr>
                <w:rStyle w:val="Code"/>
              </w:rPr>
              <w:t xml:space="preserve">&lt;p&gt;&lt;lb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/&gt;&lt;/p&gt;</w:t>
            </w:r>
          </w:p>
        </w:tc>
      </w:tr>
      <w:tr w14:paraId="40215EE8" w14:textId="77777777">
        <w:trPr>
          <w:jc w:val="right"/>
        </w:trPr>
        <w:tc>
          <w:tcPr>
            <w:tcW w:w="284" w:type="dxa"/>
            <w:shd w:val="clear" w:color="auto" w:fill="92D050"/>
          </w:tcPr>
          <w:p w14:paraId="3ADB3A89" w14:textId="77777777">
            <w:pPr>
              <w:pStyle w:val="Tabletext"/>
              <w:jc w:val="center"/>
            </w:pPr>
            <w:r>
              <w:t>2</w:t>
            </w:r>
          </w:p>
        </w:tc>
        <w:tc>
          <w:tcPr>
            <w:tcW w:w="4182" w:type="dxa"/>
          </w:tcPr>
          <w:p w14:paraId="07617064" w14:textId="77777777">
            <w:pPr>
              <w:pStyle w:val="CodeParagraph"/>
              <w:keepNext/>
              <w:rPr>
                <w:rStyle w:val="Code"/>
              </w:rPr>
            </w:pPr>
            <w:r>
              <w:rPr>
                <w:rStyle w:val="Code"/>
              </w:rPr>
              <w:t xml:space="preserve">&lt;p&gt; &lt;lb </w:t>
            </w:r>
            <w:r>
              <w:rPr>
                <w:rStyle w:val="Codeattribute"/>
              </w:rPr>
              <w:t>n</w:t>
            </w:r>
            <w:r>
              <w:rPr>
                <w:rStyle w:val="Code"/>
              </w:rPr>
              <w:t>=</w:t>
            </w:r>
            <w:r>
              <w:rPr>
                <w:rStyle w:val="Codevalue"/>
              </w:rPr>
              <w:t>"1"</w:t>
            </w:r>
            <w:r>
              <w:rPr>
                <w:rStyle w:val="Code"/>
              </w:rPr>
              <w:t xml:space="preserve">/&gt;      &lt;gap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   &lt;/p&gt;</w:t>
            </w:r>
          </w:p>
        </w:tc>
      </w:tr>
      <w:tr w14:paraId="20E34831" w14:textId="77777777">
        <w:trPr>
          <w:jc w:val="right"/>
        </w:trPr>
        <w:tc>
          <w:tcPr>
            <w:tcW w:w="284" w:type="dxa"/>
            <w:shd w:val="clear" w:color="auto" w:fill="92D050"/>
          </w:tcPr>
          <w:p w14:paraId="5B42B50F" w14:textId="77777777">
            <w:pPr>
              <w:pStyle w:val="Tabletext"/>
              <w:jc w:val="center"/>
            </w:pPr>
            <w:r>
              <w:t>3</w:t>
            </w:r>
          </w:p>
        </w:tc>
        <w:tc>
          <w:tcPr>
            <w:tcW w:w="4182" w:type="dxa"/>
          </w:tcPr>
          <w:p w14:paraId="2928E4EE" w14:textId="77777777">
            <w:pPr>
              <w:pStyle w:val="CodeParagraph"/>
              <w:keepNext/>
              <w:rPr>
                <w:rStyle w:val="Code"/>
              </w:rPr>
            </w:pPr>
            <w:r>
              <w:rPr>
                <w:rStyle w:val="Code"/>
              </w:rPr>
              <w:t>&lt;p&gt;</w:t>
            </w:r>
            <w:r>
              <w:rPr>
                <w:rStyle w:val="Code"/>
              </w:rPr>
              <w:br/>
              <w:t xml:space="preserve">&lt;lb </w:t>
            </w:r>
            <w:r>
              <w:rPr>
                <w:rStyle w:val="Codeattribute"/>
              </w:rPr>
              <w:t>n</w:t>
            </w:r>
            <w:r>
              <w:rPr>
                <w:rStyle w:val="Code"/>
              </w:rPr>
              <w:t>=</w:t>
            </w:r>
            <w:r>
              <w:rPr>
                <w:rStyle w:val="Codevalue"/>
              </w:rPr>
              <w:t>"1"</w:t>
            </w:r>
            <w:r>
              <w:rPr>
                <w:rStyle w:val="Code"/>
              </w:rPr>
              <w:t>/&gt;</w:t>
            </w:r>
            <w:r>
              <w:rPr>
                <w:rStyle w:val="Code"/>
              </w:rPr>
              <w:b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
              </w:rPr>
              <w:br/>
              <w:t>&lt;/p&gt;</w:t>
            </w:r>
          </w:p>
        </w:tc>
      </w:tr>
    </w:tbl>
    <w:p w14:paraId="4A554F73" w14:textId="77777777">
      <w:pPr>
        <w:pStyle w:val="Lista"/>
      </w:pPr>
      <w:r>
        <w:t>when an element contains only other elements and white space, this space is as a rule insignificant</w:t>
      </w:r>
    </w:p>
    <w:p w14:paraId="45D5CBD7" w14:textId="77777777">
      <w:pPr>
        <w:pStyle w:val="Lista2"/>
      </w:pPr>
      <w:r>
        <w:t xml:space="preserve">thus, each of the rows in </w:t>
      </w:r>
      <w:r>
        <w:fldChar w:fldCharType="begin"/>
      </w:r>
      <w:r>
        <w:instrText xml:space="preserve"> REF _Ref242975596 \h </w:instrText>
      </w:r>
      <w:r>
        <w:fldChar w:fldCharType="separate"/>
      </w:r>
      <w:r>
        <w:t xml:space="preserve">Exhibit </w:t>
      </w:r>
      <w:r>
        <w:rPr>
          <w:noProof/>
        </w:rPr>
        <w:t>16.1</w:t>
      </w:r>
      <w:r>
        <w:t>.</w:t>
      </w:r>
      <w:r>
        <w:rPr>
          <w:noProof/>
        </w:rPr>
        <w:t>B</w:t>
      </w:r>
      <w:r>
        <w:fldChar w:fldCharType="end"/>
      </w:r>
      <w:r>
        <w:t xml:space="preserve"> perfectly equivalent</w:t>
      </w:r>
    </w:p>
    <w:p w14:paraId="35F9C183" w14:textId="77777777">
      <w:pPr>
        <w:pStyle w:val="Lista"/>
      </w:pPr>
      <w:r>
        <w:t>the handling of white space within text-containing elements is a complex matter controlled by the software processing and transforming the XML document; for our purposes</w:t>
      </w:r>
    </w:p>
    <w:p w14:paraId="4981803A" w14:textId="77777777">
      <w:pPr>
        <w:pStyle w:val="Lista2"/>
      </w:pPr>
      <w:r>
        <w:t xml:space="preserve">in general, white space in content is significant, but it is </w:t>
      </w:r>
      <w:r>
        <w:rPr>
          <w:rStyle w:val="Foreign"/>
        </w:rPr>
        <w:t>collapsed</w:t>
      </w:r>
      <w:r>
        <w:t xml:space="preserve"> and </w:t>
      </w:r>
      <w:r>
        <w:rPr>
          <w:rStyle w:val="Foreign"/>
        </w:rPr>
        <w:t>trimmed</w:t>
      </w:r>
      <w:r>
        <w:t xml:space="preserve"> in the course of processing</w:t>
      </w:r>
    </w:p>
    <w:tbl>
      <w:tblPr>
        <w:tblStyle w:val="CodeSampleTable"/>
        <w:tblpPr w:leftFromText="180" w:rightFromText="180" w:vertAnchor="text" w:tblpXSpec="right" w:tblpY="1"/>
        <w:tblOverlap w:val="never"/>
        <w:tblW w:w="4536" w:type="dxa"/>
        <w:jc w:val="right"/>
        <w:tblLook w:val="04A0" w:firstRow="1" w:lastRow="0" w:firstColumn="1" w:lastColumn="0" w:noHBand="0" w:noVBand="1"/>
      </w:tblPr>
      <w:tblGrid>
        <w:gridCol w:w="284"/>
        <w:gridCol w:w="4252"/>
      </w:tblGrid>
      <w:tr w14:paraId="7758D68E" w14:textId="77777777">
        <w:trPr>
          <w:cnfStyle w:val="100000000000" w:firstRow="1" w:lastRow="0" w:firstColumn="0" w:lastColumn="0" w:oddVBand="0" w:evenVBand="0" w:oddHBand="0" w:evenHBand="0" w:firstRowFirstColumn="0" w:firstRowLastColumn="0" w:lastRowFirstColumn="0" w:lastRowLastColumn="0"/>
          <w:jc w:val="right"/>
        </w:trPr>
        <w:tc>
          <w:tcPr>
            <w:tcW w:w="4536" w:type="dxa"/>
            <w:gridSpan w:val="2"/>
          </w:tcPr>
          <w:p w14:paraId="08210F69" w14:textId="77777777">
            <w:pPr>
              <w:pStyle w:val="Kpalrs"/>
            </w:pPr>
            <w:bookmarkStart w:id="1091" w:name="_Ref242975692"/>
            <w:r>
              <w:t xml:space="preserve">Exhibit </w:t>
            </w:r>
            <w:fldSimple w:instr=" STYLEREF 2 \s ">
              <w:r>
                <w:rPr>
                  <w:noProof/>
                </w:rPr>
                <w:t>16.1</w:t>
              </w:r>
            </w:fldSimple>
            <w:r>
              <w:t>.</w:t>
            </w:r>
            <w:fldSimple w:instr=" SEQ Exhibit \* ALPHABETIC \s 2 ">
              <w:r>
                <w:rPr>
                  <w:noProof/>
                </w:rPr>
                <w:t>C</w:t>
              </w:r>
            </w:fldSimple>
            <w:bookmarkEnd w:id="1091"/>
            <w:r>
              <w:t>: white space in elements with text</w:t>
            </w:r>
          </w:p>
        </w:tc>
      </w:tr>
      <w:tr w14:paraId="46074FEE" w14:textId="77777777">
        <w:trPr>
          <w:jc w:val="right"/>
        </w:trPr>
        <w:tc>
          <w:tcPr>
            <w:tcW w:w="284" w:type="dxa"/>
            <w:shd w:val="clear" w:color="auto" w:fill="92D050"/>
          </w:tcPr>
          <w:p w14:paraId="262BF442" w14:textId="77777777">
            <w:pPr>
              <w:pStyle w:val="Tabletext"/>
              <w:jc w:val="center"/>
            </w:pPr>
            <w:r>
              <w:t>1</w:t>
            </w:r>
          </w:p>
        </w:tc>
        <w:tc>
          <w:tcPr>
            <w:tcW w:w="4182" w:type="dxa"/>
          </w:tcPr>
          <w:p w14:paraId="7F464663" w14:textId="77777777">
            <w:pPr>
              <w:pStyle w:val="CodeParagraph"/>
              <w:keepNext/>
            </w:pPr>
            <w:r>
              <w:rPr>
                <w:rStyle w:val="Code"/>
              </w:rPr>
              <w:t>&lt;p&gt;</w:t>
            </w:r>
            <w:r>
              <w:rPr>
                <w:rStyle w:val="Codetext"/>
              </w:rPr>
              <w:t>In a hole in the ground there lived a hobbit.</w:t>
            </w:r>
            <w:r>
              <w:rPr>
                <w:rStyle w:val="Code"/>
              </w:rPr>
              <w:t>&lt;/p&gt;</w:t>
            </w:r>
          </w:p>
        </w:tc>
      </w:tr>
      <w:tr w14:paraId="1AD15847" w14:textId="77777777">
        <w:trPr>
          <w:jc w:val="right"/>
        </w:trPr>
        <w:tc>
          <w:tcPr>
            <w:tcW w:w="284" w:type="dxa"/>
            <w:shd w:val="clear" w:color="auto" w:fill="92D050"/>
          </w:tcPr>
          <w:p w14:paraId="219242FE" w14:textId="77777777">
            <w:pPr>
              <w:pStyle w:val="Tabletext"/>
              <w:jc w:val="center"/>
            </w:pPr>
            <w:r>
              <w:t>2</w:t>
            </w:r>
          </w:p>
        </w:tc>
        <w:tc>
          <w:tcPr>
            <w:tcW w:w="4182" w:type="dxa"/>
          </w:tcPr>
          <w:p w14:paraId="0320C279" w14:textId="77777777">
            <w:pPr>
              <w:pStyle w:val="CodeParagraph"/>
              <w:keepNext/>
              <w:rPr>
                <w:rStyle w:val="Code"/>
              </w:rPr>
            </w:pPr>
            <w:r>
              <w:rPr>
                <w:rStyle w:val="Code"/>
              </w:rPr>
              <w:t xml:space="preserve">&lt;p&gt; </w:t>
            </w:r>
            <w:r>
              <w:rPr>
                <w:rStyle w:val="Codetext"/>
              </w:rPr>
              <w:t xml:space="preserve">In   a hole in the ground there lived a hobbit.  </w:t>
            </w:r>
            <w:r>
              <w:rPr>
                <w:rStyle w:val="Code"/>
              </w:rPr>
              <w:t>&lt;/p&gt;</w:t>
            </w:r>
          </w:p>
        </w:tc>
      </w:tr>
      <w:tr w14:paraId="176EF125" w14:textId="77777777">
        <w:trPr>
          <w:jc w:val="right"/>
        </w:trPr>
        <w:tc>
          <w:tcPr>
            <w:tcW w:w="284" w:type="dxa"/>
            <w:shd w:val="clear" w:color="auto" w:fill="92D050"/>
          </w:tcPr>
          <w:p w14:paraId="6C3457BC" w14:textId="77777777">
            <w:pPr>
              <w:pStyle w:val="Tabletext"/>
              <w:jc w:val="center"/>
            </w:pPr>
            <w:r>
              <w:t>3</w:t>
            </w:r>
          </w:p>
        </w:tc>
        <w:tc>
          <w:tcPr>
            <w:tcW w:w="4182" w:type="dxa"/>
          </w:tcPr>
          <w:p w14:paraId="2F16C421" w14:textId="77777777">
            <w:pPr>
              <w:pStyle w:val="CodeParagraph"/>
              <w:keepNext/>
              <w:rPr>
                <w:rStyle w:val="Code"/>
              </w:rPr>
            </w:pPr>
            <w:r>
              <w:rPr>
                <w:rStyle w:val="Code"/>
              </w:rPr>
              <w:t>&lt;p&gt;</w:t>
            </w:r>
            <w:r>
              <w:rPr>
                <w:rStyle w:val="Code"/>
              </w:rPr>
              <w:br/>
            </w:r>
            <w:r>
              <w:rPr>
                <w:rStyle w:val="Codetext"/>
              </w:rPr>
              <w:t xml:space="preserve">In a hole in the ground </w:t>
            </w:r>
            <w:r>
              <w:rPr>
                <w:rStyle w:val="Codetext"/>
              </w:rPr>
              <w:br/>
              <w:t>there lived a hobbit.</w:t>
            </w:r>
            <w:r>
              <w:rPr>
                <w:rStyle w:val="Codetext"/>
              </w:rPr>
              <w:br/>
            </w:r>
            <w:r>
              <w:rPr>
                <w:rStyle w:val="Code"/>
              </w:rPr>
              <w:t>&lt;/p&gt;</w:t>
            </w:r>
          </w:p>
        </w:tc>
      </w:tr>
    </w:tbl>
    <w:p w14:paraId="1625D30A" w14:textId="77777777">
      <w:pPr>
        <w:pStyle w:val="Lista3"/>
      </w:pPr>
      <w:r>
        <w:t>collapsing means that any type and quantity of white space is reduced to a single space character</w:t>
      </w:r>
    </w:p>
    <w:p w14:paraId="441DDBC2" w14:textId="77777777">
      <w:pPr>
        <w:pStyle w:val="Lista3"/>
      </w:pPr>
      <w:r>
        <w:t>trimming means that space is stripped from the beginning and end of the text content of an element</w:t>
      </w:r>
    </w:p>
    <w:p w14:paraId="48847300" w14:textId="77777777">
      <w:pPr>
        <w:pStyle w:val="Lista2"/>
      </w:pPr>
      <w:r>
        <w:t xml:space="preserve">thus, each of the rows of </w:t>
      </w:r>
      <w:r>
        <w:fldChar w:fldCharType="begin"/>
      </w:r>
      <w:r>
        <w:instrText xml:space="preserve"> REF _Ref242975692 \h </w:instrText>
      </w:r>
      <w:r>
        <w:fldChar w:fldCharType="separate"/>
      </w:r>
      <w:r>
        <w:t xml:space="preserve">Exhibit </w:t>
      </w:r>
      <w:r>
        <w:rPr>
          <w:noProof/>
        </w:rPr>
        <w:t>16.1</w:t>
      </w:r>
      <w:r>
        <w:t>.</w:t>
      </w:r>
      <w:r>
        <w:rPr>
          <w:noProof/>
        </w:rPr>
        <w:t>C</w:t>
      </w:r>
      <w:r>
        <w:fldChar w:fldCharType="end"/>
      </w:r>
      <w:r>
        <w:t xml:space="preserve"> will normally produce the same transformed text</w:t>
      </w:r>
    </w:p>
    <w:p w14:paraId="1C3C9275" w14:textId="77777777">
      <w:pPr>
        <w:pStyle w:val="Lista2"/>
      </w:pPr>
      <w:r>
        <w:t xml:space="preserve">moreover, the transformed text generated from </w:t>
      </w:r>
      <w:r>
        <w:rPr>
          <w:rStyle w:val="Code"/>
        </w:rPr>
        <w:t xml:space="preserve">&lt;p&gt;&lt;lb </w:t>
      </w:r>
      <w:r>
        <w:rPr>
          <w:rStyle w:val="Codeattribute"/>
        </w:rPr>
        <w:t>n</w:t>
      </w:r>
      <w:r>
        <w:rPr>
          <w:rStyle w:val="Code"/>
        </w:rPr>
        <w:t>=</w:t>
      </w:r>
      <w:r>
        <w:rPr>
          <w:rStyle w:val="Codevalue"/>
        </w:rPr>
        <w:t>"1"</w:t>
      </w:r>
      <w:r>
        <w:rPr>
          <w:rStyle w:val="Code"/>
        </w:rPr>
        <w:t>/&gt;</w:t>
      </w:r>
      <w:r>
        <w:rPr>
          <w:rStyle w:val="Codetext"/>
        </w:rPr>
        <w:t xml:space="preserve">In a </w:t>
      </w:r>
      <w:r>
        <w:rPr>
          <w:rStyle w:val="Code"/>
        </w:rPr>
        <w:t>&lt;unclear&gt;</w:t>
      </w:r>
      <w:r>
        <w:rPr>
          <w:rStyle w:val="Codetext"/>
        </w:rPr>
        <w:t>hole</w:t>
      </w:r>
      <w:r>
        <w:rPr>
          <w:rStyle w:val="Code"/>
        </w:rPr>
        <w:t>&lt;/unclear&gt;</w:t>
      </w:r>
      <w:r>
        <w:rPr>
          <w:rStyle w:val="Codetext"/>
        </w:rPr>
        <w:t xml:space="preserve"> </w:t>
      </w:r>
      <w:r>
        <w:rPr>
          <w:rStyle w:val="Code"/>
        </w:rPr>
        <w:t xml:space="preserve">&lt;supplied </w:t>
      </w:r>
      <w:r>
        <w:rPr>
          <w:rStyle w:val="Codeattribute"/>
        </w:rPr>
        <w:t>reason</w:t>
      </w:r>
      <w:r>
        <w:rPr>
          <w:rStyle w:val="Code"/>
        </w:rPr>
        <w:t>=</w:t>
      </w:r>
      <w:r>
        <w:rPr>
          <w:rStyle w:val="Codevalue"/>
        </w:rPr>
        <w:t>"omitted"</w:t>
      </w:r>
      <w:r>
        <w:rPr>
          <w:rStyle w:val="Code"/>
        </w:rPr>
        <w:t>&gt;</w:t>
      </w:r>
      <w:r>
        <w:rPr>
          <w:rStyle w:val="Codetext"/>
        </w:rPr>
        <w:t>i</w:t>
      </w:r>
      <w:r>
        <w:rPr>
          <w:rStyle w:val="Code"/>
        </w:rPr>
        <w:t>&lt;/supplied&gt;</w:t>
      </w:r>
      <w:r>
        <w:rPr>
          <w:rStyle w:val="Codetext"/>
        </w:rPr>
        <w:t>n the ground there lived a hobbit</w:t>
      </w:r>
      <w:r>
        <w:rPr>
          <w:rStyle w:val="Code"/>
        </w:rPr>
        <w:t xml:space="preserve">&lt;g </w:t>
      </w:r>
      <w:r>
        <w:rPr>
          <w:rStyle w:val="Codeattribute"/>
        </w:rPr>
        <w:t>ref</w:t>
      </w:r>
      <w:r>
        <w:rPr>
          <w:rStyle w:val="Code"/>
        </w:rPr>
        <w:t>=</w:t>
      </w:r>
      <w:r>
        <w:rPr>
          <w:rStyle w:val="Codevalue"/>
        </w:rPr>
        <w:t>"sym:floret"</w:t>
      </w:r>
      <w:r>
        <w:rPr>
          <w:rStyle w:val="Code"/>
        </w:rPr>
        <w:t>/&gt;</w:t>
      </w:r>
      <w:r>
        <w:rPr>
          <w:rStyle w:val="Codetext"/>
        </w:rPr>
        <w:t>*</w:t>
      </w:r>
      <w:r>
        <w:rPr>
          <w:rStyle w:val="Code"/>
        </w:rPr>
        <w:t>&lt;/g&gt;&lt;/p&gt;</w:t>
      </w:r>
      <w:r>
        <w:t xml:space="preserve"> will normally not be affected by any of the following alterations:</w:t>
      </w:r>
    </w:p>
    <w:p w14:paraId="5ACB429B" w14:textId="77777777">
      <w:pPr>
        <w:pStyle w:val="Lista3"/>
      </w:pPr>
      <w:r>
        <w:rPr>
          <w:rStyle w:val="Code"/>
        </w:rPr>
        <w:t xml:space="preserve">... &lt;unclear&gt;  </w:t>
      </w:r>
      <w:r>
        <w:rPr>
          <w:rStyle w:val="Codetext"/>
        </w:rPr>
        <w:t xml:space="preserve">hole </w:t>
      </w:r>
      <w:r>
        <w:rPr>
          <w:rStyle w:val="Code"/>
        </w:rPr>
        <w:t>&lt;/unclear&gt;</w:t>
      </w:r>
      <w:r>
        <w:rPr>
          <w:rStyle w:val="Codetext"/>
        </w:rPr>
        <w:t xml:space="preserve"> ...</w:t>
      </w:r>
    </w:p>
    <w:p w14:paraId="42C725AD" w14:textId="77777777">
      <w:pPr>
        <w:pStyle w:val="Lista4"/>
      </w:pPr>
      <w:r>
        <w:t xml:space="preserve">the space at the beginning and end of the text content of the </w:t>
      </w:r>
      <w:r>
        <w:rPr>
          <w:rStyle w:val="Code"/>
        </w:rPr>
        <w:t>&lt;unclear&gt;</w:t>
      </w:r>
      <w:r>
        <w:t xml:space="preserve"> element is trimmed</w:t>
      </w:r>
    </w:p>
    <w:p w14:paraId="6CFD30DE" w14:textId="77777777">
      <w:pPr>
        <w:pStyle w:val="Lista3"/>
      </w:pPr>
      <w:r>
        <w:rPr>
          <w:rStyle w:val="Code"/>
        </w:rPr>
        <w:t xml:space="preserve">...&lt;supplied </w:t>
      </w:r>
      <w:r>
        <w:rPr>
          <w:rStyle w:val="Codeattribute"/>
        </w:rPr>
        <w:t>reason</w:t>
      </w:r>
      <w:r>
        <w:rPr>
          <w:rStyle w:val="Code"/>
        </w:rPr>
        <w:t>=</w:t>
      </w:r>
      <w:r>
        <w:rPr>
          <w:rStyle w:val="Codevalue"/>
        </w:rPr>
        <w:t>"omitted"</w:t>
      </w:r>
      <w:r>
        <w:rPr>
          <w:rStyle w:val="Code"/>
        </w:rPr>
        <w:t xml:space="preserve">&gt; </w:t>
      </w:r>
      <w:r>
        <w:rPr>
          <w:rStyle w:val="Codetext"/>
        </w:rPr>
        <w:t xml:space="preserve">i </w:t>
      </w:r>
      <w:r>
        <w:rPr>
          <w:rStyle w:val="Code"/>
        </w:rPr>
        <w:t>&lt;/supplied&gt;</w:t>
      </w:r>
      <w:r>
        <w:rPr>
          <w:rStyle w:val="Codetext"/>
        </w:rPr>
        <w:t>n the...</w:t>
      </w:r>
    </w:p>
    <w:p w14:paraId="48489861" w14:textId="77777777">
      <w:pPr>
        <w:pStyle w:val="Lista4"/>
      </w:pPr>
      <w:r>
        <w:t xml:space="preserve">the space at the beginning and end of the text content of the </w:t>
      </w:r>
      <w:r>
        <w:rPr>
          <w:rStyle w:val="Code"/>
        </w:rPr>
        <w:t>&lt;supplied&gt;</w:t>
      </w:r>
      <w:r>
        <w:t xml:space="preserve"> element is trimmed</w:t>
      </w:r>
    </w:p>
    <w:p w14:paraId="240A9217" w14:textId="77777777">
      <w:pPr>
        <w:pStyle w:val="Lista2"/>
      </w:pPr>
      <w:r>
        <w:t xml:space="preserve">however, each of the following alterations </w:t>
      </w:r>
      <w:r>
        <w:rPr>
          <w:b/>
          <w:bCs/>
        </w:rPr>
        <w:t>will</w:t>
      </w:r>
      <w:r>
        <w:t xml:space="preserve"> affect the output:</w:t>
      </w:r>
    </w:p>
    <w:p w14:paraId="44932F75" w14:textId="77777777">
      <w:pPr>
        <w:pStyle w:val="Lista3"/>
      </w:pPr>
      <w:r>
        <w:rPr>
          <w:rStyle w:val="Code"/>
        </w:rPr>
        <w:t xml:space="preserve">&lt;p&gt;&lt;lb </w:t>
      </w:r>
      <w:r>
        <w:rPr>
          <w:rStyle w:val="Codeattribute"/>
        </w:rPr>
        <w:t>n</w:t>
      </w:r>
      <w:r>
        <w:rPr>
          <w:rStyle w:val="Code"/>
        </w:rPr>
        <w:t>=</w:t>
      </w:r>
      <w:r>
        <w:rPr>
          <w:rStyle w:val="Codevalue"/>
        </w:rPr>
        <w:t>"1"</w:t>
      </w:r>
      <w:r>
        <w:rPr>
          <w:rStyle w:val="Code"/>
        </w:rPr>
        <w:t xml:space="preserve">/&gt; </w:t>
      </w:r>
      <w:r>
        <w:rPr>
          <w:rStyle w:val="Codetext"/>
        </w:rPr>
        <w:t>In a …</w:t>
      </w:r>
    </w:p>
    <w:p w14:paraId="5D9070B2" w14:textId="77777777">
      <w:pPr>
        <w:pStyle w:val="Lista4"/>
      </w:pPr>
      <w:r>
        <w:lastRenderedPageBreak/>
        <w:t xml:space="preserve">the space before “In” will not be trimmed as is not at the beginning of an element’s content (because </w:t>
      </w:r>
      <w:r>
        <w:rPr>
          <w:rStyle w:val="Code"/>
        </w:rPr>
        <w:t>&lt;lb/&gt;</w:t>
      </w:r>
      <w:r>
        <w:t xml:space="preserve"> is not a container, while the container </w:t>
      </w:r>
      <w:r>
        <w:rPr>
          <w:rStyle w:val="Code"/>
        </w:rPr>
        <w:t>&lt;p&gt;</w:t>
      </w:r>
      <w:r>
        <w:t xml:space="preserve">’s content begins with </w:t>
      </w:r>
      <w:r>
        <w:rPr>
          <w:rStyle w:val="Code"/>
        </w:rPr>
        <w:t>&lt;lb/&gt;</w:t>
      </w:r>
      <w:r>
        <w:t>, not with the space)</w:t>
      </w:r>
    </w:p>
    <w:p w14:paraId="09404AAA" w14:textId="77777777">
      <w:pPr>
        <w:pStyle w:val="Lista3"/>
      </w:pPr>
      <w:r>
        <w:rPr>
          <w:rStyle w:val="Code"/>
        </w:rPr>
        <w:t xml:space="preserve">&lt;p&gt;&lt;lb </w:t>
      </w:r>
      <w:r>
        <w:rPr>
          <w:rStyle w:val="Codeattribute"/>
        </w:rPr>
        <w:t>n</w:t>
      </w:r>
      <w:r>
        <w:rPr>
          <w:rStyle w:val="Code"/>
        </w:rPr>
        <w:t>=</w:t>
      </w:r>
      <w:r>
        <w:rPr>
          <w:rStyle w:val="Codevalue"/>
        </w:rPr>
        <w:t>"1"</w:t>
      </w:r>
      <w:r>
        <w:rPr>
          <w:rStyle w:val="Code"/>
        </w:rPr>
        <w:t>/&gt;</w:t>
      </w:r>
      <w:r>
        <w:rPr>
          <w:rStyle w:val="Codetext"/>
        </w:rPr>
        <w:t>In a</w:t>
      </w:r>
      <w:r>
        <w:rPr>
          <w:rStyle w:val="Code"/>
        </w:rPr>
        <w:t xml:space="preserve">&lt;unclear&gt; </w:t>
      </w:r>
      <w:r>
        <w:rPr>
          <w:rStyle w:val="Codetext"/>
        </w:rPr>
        <w:t>hole</w:t>
      </w:r>
      <w:r>
        <w:rPr>
          <w:rStyle w:val="Code"/>
        </w:rPr>
        <w:t>&lt;/unclear&gt;</w:t>
      </w:r>
    </w:p>
    <w:p w14:paraId="027D01C0" w14:textId="77777777">
      <w:pPr>
        <w:pStyle w:val="Lista4"/>
      </w:pPr>
      <w:r>
        <w:t xml:space="preserve">the space moved from a position after “a” to one before “hole” within </w:t>
      </w:r>
      <w:r>
        <w:rPr>
          <w:rStyle w:val="Code"/>
        </w:rPr>
        <w:t>&lt;unclear&gt;</w:t>
      </w:r>
      <w:r>
        <w:t xml:space="preserve"> will be trimmed, since it is now the first in that element</w:t>
      </w:r>
    </w:p>
    <w:p w14:paraId="10B8D9C0" w14:textId="77777777">
      <w:pPr>
        <w:pStyle w:val="Lista3"/>
      </w:pPr>
      <w:r>
        <w:rPr>
          <w:rStyle w:val="Code"/>
        </w:rPr>
        <w:t>...&lt;unclear&gt;</w:t>
      </w:r>
      <w:r>
        <w:rPr>
          <w:rStyle w:val="Codetext"/>
        </w:rPr>
        <w:t>hole</w:t>
      </w:r>
      <w:r>
        <w:rPr>
          <w:rStyle w:val="Code"/>
        </w:rPr>
        <w:t xml:space="preserve">&lt;/unclear&gt;&lt;supplied </w:t>
      </w:r>
      <w:r>
        <w:rPr>
          <w:rStyle w:val="Codeattribute"/>
        </w:rPr>
        <w:t>reason</w:t>
      </w:r>
      <w:r>
        <w:rPr>
          <w:rStyle w:val="Code"/>
        </w:rPr>
        <w:t>=</w:t>
      </w:r>
      <w:r>
        <w:rPr>
          <w:rStyle w:val="Codevalue"/>
        </w:rPr>
        <w:t>"omitted"</w:t>
      </w:r>
      <w:r>
        <w:rPr>
          <w:rStyle w:val="Code"/>
        </w:rPr>
        <w:t>&gt;</w:t>
      </w:r>
      <w:r>
        <w:rPr>
          <w:rStyle w:val="Codetext"/>
        </w:rPr>
        <w:t>i</w:t>
      </w:r>
      <w:r>
        <w:rPr>
          <w:rStyle w:val="Code"/>
        </w:rPr>
        <w:t>&lt;/supplied&gt;</w:t>
      </w:r>
      <w:r>
        <w:rPr>
          <w:rStyle w:val="Codetext"/>
        </w:rPr>
        <w:t>n the...</w:t>
      </w:r>
    </w:p>
    <w:p w14:paraId="1E865AAB" w14:textId="77777777">
      <w:pPr>
        <w:pStyle w:val="Lista4"/>
      </w:pPr>
      <w:r>
        <w:t xml:space="preserve">the deleted space between </w:t>
      </w:r>
      <w:r>
        <w:rPr>
          <w:rStyle w:val="Code"/>
        </w:rPr>
        <w:t>&lt;/unclear&gt;</w:t>
      </w:r>
      <w:r>
        <w:t xml:space="preserve"> and </w:t>
      </w:r>
      <w:r>
        <w:rPr>
          <w:rStyle w:val="Code"/>
        </w:rPr>
        <w:t>&lt;supplied&gt;</w:t>
      </w:r>
      <w:r>
        <w:t xml:space="preserve"> will not be automatically added in processing</w:t>
      </w:r>
    </w:p>
    <w:p w14:paraId="23511A47" w14:textId="77777777">
      <w:pPr>
        <w:pStyle w:val="Lista3"/>
      </w:pPr>
      <w:r>
        <w:rPr>
          <w:rStyle w:val="Codetext"/>
        </w:rPr>
        <w:t xml:space="preserve">... there lived a hobbit </w:t>
      </w:r>
      <w:r>
        <w:rPr>
          <w:rStyle w:val="Code"/>
        </w:rPr>
        <w:t xml:space="preserve">&lt;g </w:t>
      </w:r>
      <w:r>
        <w:rPr>
          <w:rStyle w:val="Codeattribute"/>
        </w:rPr>
        <w:t>ref</w:t>
      </w:r>
      <w:r>
        <w:rPr>
          <w:rStyle w:val="Code"/>
        </w:rPr>
        <w:t>=</w:t>
      </w:r>
      <w:r>
        <w:rPr>
          <w:rStyle w:val="Codevalue"/>
        </w:rPr>
        <w:t>"sym:floret"</w:t>
      </w:r>
      <w:r>
        <w:rPr>
          <w:rStyle w:val="Code"/>
        </w:rPr>
        <w:t>/&gt;</w:t>
      </w:r>
      <w:r>
        <w:rPr>
          <w:rStyle w:val="Codetext"/>
        </w:rPr>
        <w:t>*</w:t>
      </w:r>
      <w:r>
        <w:rPr>
          <w:rStyle w:val="Code"/>
        </w:rPr>
        <w:t>&lt;/g&gt;&lt;/p&gt;</w:t>
      </w:r>
    </w:p>
    <w:p w14:paraId="7969EC8F" w14:textId="77777777">
      <w:pPr>
        <w:pStyle w:val="Lista4"/>
      </w:pPr>
      <w:r>
        <w:t>the added space after “hobbit” is not the last in the content of any element, so it will not be trimmed</w:t>
      </w:r>
    </w:p>
    <w:p w14:paraId="6FA510D3" w14:textId="77777777">
      <w:pPr>
        <w:pStyle w:val="Cmsor2"/>
      </w:pPr>
      <w:bookmarkStart w:id="1092" w:name="_8hshbbqbehg5" w:colFirst="0" w:colLast="0"/>
      <w:bookmarkStart w:id="1093" w:name="_7ept2hrl5gak" w:colFirst="0" w:colLast="0"/>
      <w:bookmarkStart w:id="1094" w:name="_Ref43978660"/>
      <w:bookmarkStart w:id="1095" w:name="_Toc243900470"/>
      <w:bookmarkEnd w:id="1092"/>
      <w:bookmarkEnd w:id="1093"/>
      <w:r>
        <w:t>Top to bottom hierarchy</w:t>
      </w:r>
      <w:bookmarkEnd w:id="1094"/>
      <w:bookmarkEnd w:id="1095"/>
    </w:p>
    <w:p w14:paraId="2A8357A1" w14:textId="77777777">
      <w:pPr>
        <w:pStyle w:val="Lista"/>
      </w:pPr>
      <w:r>
        <w:t>while applying markup to encode various features, it is useful to keep in mind the rough hierarchy outlined below</w:t>
      </w:r>
    </w:p>
    <w:p w14:paraId="0BC58166" w14:textId="77777777">
      <w:pPr>
        <w:pStyle w:val="Lista2"/>
      </w:pPr>
      <w:r>
        <w:t>the tiers presented below comprise an arbitrary hierarchy practical for our purposes, which does not wholly coincide with the XML hierarchy of TEI documents in general</w:t>
      </w:r>
    </w:p>
    <w:p w14:paraId="3301EB97" w14:textId="77777777">
      <w:pPr>
        <w:pStyle w:val="Lista2"/>
      </w:pPr>
      <w:r>
        <w:t>any element of a particular tier may contain elements of a lower tier and in many cases also elements of the same tier, but may not contain elements of a higher tier</w:t>
      </w:r>
    </w:p>
    <w:p w14:paraId="6BB7C8E9" w14:textId="77777777">
      <w:pPr>
        <w:pStyle w:val="Lista2"/>
      </w:pPr>
      <w:r>
        <w:t xml:space="preserve">in case of overlap, elements lower in the hierarchy must give way to higher-tier elements, i.e. the lower-tier element must be split into two parts across the boundary of the higher-tier element </w:t>
      </w:r>
      <w:r>
        <w:rPr>
          <w:noProof/>
        </w:rPr>
        <w:t>(</w:t>
      </w:r>
      <w:r>
        <w:t>examples below)</w:t>
      </w:r>
    </w:p>
    <w:p w14:paraId="04A3704F" w14:textId="77777777">
      <w:pPr>
        <w:pStyle w:val="Cmsor3"/>
      </w:pPr>
      <w:bookmarkStart w:id="1096" w:name="_oo0c5sndse6h" w:colFirst="0" w:colLast="0"/>
      <w:bookmarkStart w:id="1097" w:name="_Ref43979443"/>
      <w:bookmarkStart w:id="1098" w:name="_Toc243900471"/>
      <w:bookmarkEnd w:id="1096"/>
      <w:r>
        <w:t>Tier 1, block-level elements representing XML structure and extrinsic structure</w:t>
      </w:r>
      <w:bookmarkEnd w:id="1097"/>
      <w:bookmarkEnd w:id="1098"/>
    </w:p>
    <w:p w14:paraId="0D183C47" w14:textId="77777777">
      <w:pPr>
        <w:pStyle w:val="Lista"/>
      </w:pPr>
      <w:r>
        <w:t xml:space="preserve">text divisions: the edition </w:t>
      </w:r>
      <w:r>
        <w:rPr>
          <w:rStyle w:val="Code"/>
        </w:rPr>
        <w:t>&lt;div&gt;</w:t>
      </w:r>
      <w:r>
        <w:t xml:space="preserve"> wraps everything within your edition</w:t>
      </w:r>
    </w:p>
    <w:p w14:paraId="75CD1E65" w14:textId="77777777">
      <w:pPr>
        <w:pStyle w:val="Lista"/>
      </w:pPr>
      <w:r>
        <w:t xml:space="preserve">if textpart divisions </w:t>
      </w:r>
      <w:r>
        <w:rPr>
          <w:noProof/>
        </w:rPr>
        <w:t>(</w:t>
      </w:r>
      <w:r>
        <w:t>§</w:t>
      </w:r>
      <w:r>
        <w:fldChar w:fldCharType="begin"/>
      </w:r>
      <w:r>
        <w:instrText xml:space="preserve"> REF _Ref225778181 \r \h </w:instrText>
      </w:r>
      <w:r>
        <w:fldChar w:fldCharType="separate"/>
      </w:r>
      <w:r>
        <w:t>4.2</w:t>
      </w:r>
      <w:r>
        <w:fldChar w:fldCharType="end"/>
      </w:r>
      <w:r>
        <w:t xml:space="preserve">) are present, then these are the direct children of the edition </w:t>
      </w:r>
      <w:r>
        <w:rPr>
          <w:rStyle w:val="Code"/>
        </w:rPr>
        <w:t>&lt;div&gt;</w:t>
      </w:r>
      <w:r>
        <w:t xml:space="preserve"> and wrap everything else</w:t>
      </w:r>
    </w:p>
    <w:p w14:paraId="59140825" w14:textId="77777777">
      <w:pPr>
        <w:pStyle w:val="Cmsor3"/>
      </w:pPr>
      <w:bookmarkStart w:id="1099" w:name="_avslxtgod3of" w:colFirst="0" w:colLast="0"/>
      <w:bookmarkStart w:id="1100" w:name="_Toc243900472"/>
      <w:bookmarkEnd w:id="1099"/>
      <w:r>
        <w:t>Tier 2, block-level elements representing intrinsic structure</w:t>
      </w:r>
      <w:bookmarkEnd w:id="1100"/>
    </w:p>
    <w:p w14:paraId="70894C3B" w14:textId="77777777">
      <w:pPr>
        <w:pStyle w:val="Lista"/>
      </w:pPr>
      <w:r>
        <w:t xml:space="preserve">all text in your edition must be contained in one of the block-level elements representing intrinsic structure: </w:t>
      </w:r>
      <w:r>
        <w:rPr>
          <w:rStyle w:val="Code"/>
        </w:rPr>
        <w:t>&lt;p&gt;</w:t>
      </w:r>
      <w:r>
        <w:t xml:space="preserve">, </w:t>
      </w:r>
      <w:r>
        <w:rPr>
          <w:rStyle w:val="Code"/>
        </w:rPr>
        <w:t>&lt;ab&gt;</w:t>
      </w:r>
      <w:r>
        <w:t xml:space="preserve">, or </w:t>
      </w:r>
      <w:r>
        <w:rPr>
          <w:rStyle w:val="Code"/>
        </w:rPr>
        <w:t>&lt;lg&gt;</w:t>
      </w:r>
      <w:r>
        <w:t xml:space="preserve"> and </w:t>
      </w:r>
      <w:r>
        <w:rPr>
          <w:rStyle w:val="Code"/>
        </w:rPr>
        <w:t>&lt;l&gt;</w:t>
      </w:r>
    </w:p>
    <w:p w14:paraId="5E3E56A3" w14:textId="77777777">
      <w:pPr>
        <w:pStyle w:val="Lista"/>
      </w:pPr>
      <w:r>
        <w:t>these elements must appear directly within the divisions, never outside them</w:t>
      </w:r>
    </w:p>
    <w:p w14:paraId="188E97F0" w14:textId="77777777">
      <w:pPr>
        <w:pStyle w:val="Lista"/>
      </w:pPr>
      <w:r>
        <w:t xml:space="preserve">these elements must never be nested inside another element of this tier, except that </w:t>
      </w:r>
      <w:r>
        <w:rPr>
          <w:rStyle w:val="Code"/>
        </w:rPr>
        <w:t>&lt;l&gt;</w:t>
      </w:r>
      <w:r>
        <w:t xml:space="preserve"> elements must always be nested in </w:t>
      </w:r>
      <w:r>
        <w:rPr>
          <w:rStyle w:val="Code"/>
        </w:rPr>
        <w:t>&lt;lg&gt;</w:t>
      </w:r>
      <w:r>
        <w:t xml:space="preserve"> elements</w:t>
      </w:r>
    </w:p>
    <w:p w14:paraId="31679B2B" w14:textId="77777777">
      <w:pPr>
        <w:pStyle w:val="Lista"/>
      </w:pPr>
      <w:r>
        <w:t xml:space="preserve">as a special block-level container, </w:t>
      </w:r>
      <w:r>
        <w:rPr>
          <w:rStyle w:val="Code"/>
        </w:rPr>
        <w:t>&lt;fw&gt;</w:t>
      </w:r>
      <w:r>
        <w:t xml:space="preserve"> will normally be nested within one of the above regular block-level containers, but may in some unlikely cases be outside them </w:t>
      </w:r>
      <w:r>
        <w:rPr>
          <w:noProof/>
        </w:rPr>
        <w:t>(</w:t>
      </w:r>
      <w:r>
        <w:t>§</w:t>
      </w:r>
      <w:r>
        <w:fldChar w:fldCharType="begin"/>
      </w:r>
      <w:r>
        <w:instrText xml:space="preserve"> REF _Ref43984607 \w \h  \* MERGEFORMAT </w:instrText>
      </w:r>
      <w:r>
        <w:fldChar w:fldCharType="separate"/>
      </w:r>
      <w:r>
        <w:t>4.7.2</w:t>
      </w:r>
      <w:r>
        <w:fldChar w:fldCharType="end"/>
      </w:r>
      <w:r>
        <w:t>)</w:t>
      </w:r>
    </w:p>
    <w:p w14:paraId="6EB89750" w14:textId="77777777">
      <w:pPr>
        <w:pStyle w:val="Lista"/>
        <w:rPr>
          <w:rStyle w:val="Code"/>
          <w:rFonts w:ascii="Gentium" w:hAnsi="Gentium" w:cs="Tiro Devanagari Sanskrit"/>
          <w:noProof w:val="0"/>
          <w:color w:val="auto"/>
          <w:shd w:val="clear" w:color="auto" w:fill="auto"/>
        </w:rPr>
      </w:pPr>
      <w:r>
        <w:t xml:space="preserve">as a special block-level container, </w:t>
      </w:r>
      <w:r>
        <w:rPr>
          <w:rStyle w:val="Code"/>
        </w:rPr>
        <w:t>&lt;list&gt;</w:t>
      </w:r>
      <w:r>
        <w:t xml:space="preserve"> will always be nested within </w:t>
      </w:r>
      <w:r>
        <w:rPr>
          <w:rStyle w:val="Code"/>
        </w:rPr>
        <w:t>&lt;p&gt;</w:t>
      </w:r>
    </w:p>
    <w:p w14:paraId="3A91B7F9" w14:textId="77777777">
      <w:pPr>
        <w:pStyle w:val="Cmsor3"/>
      </w:pPr>
      <w:bookmarkStart w:id="1101" w:name="_Toc243900473"/>
      <w:r>
        <w:t>Tier 2A, phrase-level elements representing semantic information</w:t>
      </w:r>
      <w:bookmarkEnd w:id="1101"/>
    </w:p>
    <w:p w14:paraId="034B921E" w14:textId="77777777">
      <w:pPr>
        <w:pStyle w:val="Lista"/>
      </w:pPr>
      <w:r>
        <w:t>elements belonging to this tier include those used in encoding</w:t>
      </w:r>
    </w:p>
    <w:p w14:paraId="05314764" w14:textId="77777777">
      <w:pPr>
        <w:pStyle w:val="Lista2"/>
      </w:pPr>
      <w:r>
        <w:t>language (§</w:t>
      </w:r>
      <w:r>
        <w:fldChar w:fldCharType="begin"/>
      </w:r>
      <w:r>
        <w:instrText xml:space="preserve"> REF _Ref232070683 \r \h </w:instrText>
      </w:r>
      <w:r>
        <w:fldChar w:fldCharType="separate"/>
      </w:r>
      <w:r>
        <w:t>8.1</w:t>
      </w:r>
      <w:r>
        <w:fldChar w:fldCharType="end"/>
      </w:r>
      <w:r>
        <w:t xml:space="preserve">) and script </w:t>
      </w:r>
      <w:r>
        <w:rPr>
          <w:noProof/>
        </w:rPr>
        <w:t>(</w:t>
      </w:r>
      <w:r>
        <w:t>§</w:t>
      </w:r>
      <w:r>
        <w:fldChar w:fldCharType="begin"/>
      </w:r>
      <w:r>
        <w:instrText xml:space="preserve"> REF _Ref231979678 \r \h </w:instrText>
      </w:r>
      <w:r>
        <w:fldChar w:fldCharType="separate"/>
      </w:r>
      <w:r>
        <w:t>8.2</w:t>
      </w:r>
      <w:r>
        <w:fldChar w:fldCharType="end"/>
      </w:r>
      <w:r>
        <w:t>)</w:t>
      </w:r>
    </w:p>
    <w:p w14:paraId="4E8C8D8A" w14:textId="77777777">
      <w:pPr>
        <w:pStyle w:val="Lista2"/>
      </w:pPr>
      <w:r>
        <w:t xml:space="preserve">interpretive markup, e.g. for numbers </w:t>
      </w:r>
      <w:r>
        <w:rPr>
          <w:noProof/>
        </w:rPr>
        <w:t>(</w:t>
      </w:r>
      <w:r>
        <w:t>§</w:t>
      </w:r>
      <w:r>
        <w:fldChar w:fldCharType="begin"/>
      </w:r>
      <w:r>
        <w:instrText xml:space="preserve"> REF _Ref43980607 \r \h  \* MERGEFORMAT </w:instrText>
      </w:r>
      <w:r>
        <w:fldChar w:fldCharType="separate"/>
      </w:r>
      <w:r>
        <w:t>9.1</w:t>
      </w:r>
      <w:r>
        <w:fldChar w:fldCharType="end"/>
      </w:r>
      <w:r>
        <w:t xml:space="preserve">) and abbreviations </w:t>
      </w:r>
      <w:r>
        <w:rPr>
          <w:noProof/>
        </w:rPr>
        <w:t>(</w:t>
      </w:r>
      <w:r>
        <w:t>§</w:t>
      </w:r>
      <w:r>
        <w:fldChar w:fldCharType="begin"/>
      </w:r>
      <w:r>
        <w:instrText xml:space="preserve"> REF _Ref232002201 \r \h </w:instrText>
      </w:r>
      <w:r>
        <w:fldChar w:fldCharType="separate"/>
      </w:r>
      <w:r>
        <w:t>9.2</w:t>
      </w:r>
      <w:r>
        <w:fldChar w:fldCharType="end"/>
      </w:r>
      <w:r>
        <w:t>)</w:t>
      </w:r>
    </w:p>
    <w:p w14:paraId="011EB92D" w14:textId="77777777">
      <w:pPr>
        <w:pStyle w:val="Lista"/>
      </w:pPr>
      <w:r>
        <w:t>such phrase-level markup encoding semantic or descriptive information about specific characters must</w:t>
      </w:r>
    </w:p>
    <w:p w14:paraId="12B29392" w14:textId="77777777">
      <w:pPr>
        <w:pStyle w:val="Lista2"/>
      </w:pPr>
      <w:r>
        <w:t>always be contained within tier-2 elements</w:t>
      </w:r>
    </w:p>
    <w:p w14:paraId="67D3FF8F" w14:textId="77777777">
      <w:pPr>
        <w:pStyle w:val="Lista2"/>
      </w:pPr>
      <w:r>
        <w:t>split into parts when they overlap a boundary between tier-2 elements</w:t>
      </w:r>
    </w:p>
    <w:p w14:paraId="4B000D24" w14:textId="77777777">
      <w:pPr>
        <w:pStyle w:val="Lista"/>
      </w:pPr>
      <w:r>
        <w:t>there is no technical reason preventing such elements from containing any lower-tier element, but since the semantic properties encoded by these elements do not in fact pertain to tier-3 elements, it is good practice to split these elements into parts around tier-3 elements when feasible</w:t>
      </w:r>
    </w:p>
    <w:p w14:paraId="5C050DB8" w14:textId="77777777">
      <w:pPr>
        <w:pStyle w:val="Cmsor3"/>
      </w:pPr>
      <w:bookmarkStart w:id="1102" w:name="_b4084bcsknv2" w:colFirst="0" w:colLast="0"/>
      <w:bookmarkStart w:id="1103" w:name="_Ref43979552"/>
      <w:bookmarkStart w:id="1104" w:name="_Toc243900474"/>
      <w:bookmarkEnd w:id="1102"/>
      <w:r>
        <w:lastRenderedPageBreak/>
        <w:t>Tier 3, empty elements representing extrinsic structure</w:t>
      </w:r>
      <w:bookmarkEnd w:id="1103"/>
      <w:bookmarkEnd w:id="1104"/>
    </w:p>
    <w:p w14:paraId="48EC3E69" w14:textId="77777777">
      <w:pPr>
        <w:pStyle w:val="Lista"/>
      </w:pPr>
      <w:r>
        <w:t xml:space="preserve">elements marking transition points, namely line beginnings </w:t>
      </w:r>
      <w:r>
        <w:rPr>
          <w:noProof/>
        </w:rPr>
        <w:t>(</w:t>
      </w:r>
      <w:r>
        <w:t>§</w:t>
      </w:r>
      <w:r>
        <w:fldChar w:fldCharType="begin"/>
      </w:r>
      <w:r>
        <w:instrText xml:space="preserve"> REF _Ref43980100 \r \h  \* MERGEFORMAT </w:instrText>
      </w:r>
      <w:r>
        <w:fldChar w:fldCharType="separate"/>
      </w:r>
      <w:r>
        <w:t>4.5.1</w:t>
      </w:r>
      <w:r>
        <w:fldChar w:fldCharType="end"/>
      </w:r>
      <w:r>
        <w:t xml:space="preserve">), page beginnings </w:t>
      </w:r>
      <w:r>
        <w:rPr>
          <w:noProof/>
        </w:rPr>
        <w:t>(</w:t>
      </w:r>
      <w:r>
        <w:t>§</w:t>
      </w:r>
      <w:r>
        <w:fldChar w:fldCharType="begin"/>
      </w:r>
      <w:r>
        <w:instrText xml:space="preserve"> REF _Ref183083980 \r \h </w:instrText>
      </w:r>
      <w:r>
        <w:fldChar w:fldCharType="separate"/>
      </w:r>
      <w:r>
        <w:t>4.4.2</w:t>
      </w:r>
      <w:r>
        <w:fldChar w:fldCharType="end"/>
      </w:r>
      <w:r>
        <w:t xml:space="preserve">) and pagelike milestones </w:t>
      </w:r>
      <w:r>
        <w:rPr>
          <w:noProof/>
        </w:rPr>
        <w:t>(</w:t>
      </w:r>
      <w:r>
        <w:t>§</w:t>
      </w:r>
      <w:r>
        <w:fldChar w:fldCharType="begin"/>
      </w:r>
      <w:r>
        <w:instrText xml:space="preserve"> REF _Ref43986679 \w \h  \* MERGEFORMAT </w:instrText>
      </w:r>
      <w:r>
        <w:fldChar w:fldCharType="separate"/>
      </w:r>
      <w:r>
        <w:t>4.4.2.1</w:t>
      </w:r>
      <w:r>
        <w:fldChar w:fldCharType="end"/>
      </w:r>
      <w:r>
        <w:t>), must normally be placed within tier-2 elements</w:t>
      </w:r>
      <w:r>
        <w:rPr>
          <w:rStyle w:val="Lbjegyzet-hivatkozs"/>
        </w:rPr>
        <w:footnoteReference w:id="44"/>
      </w:r>
    </w:p>
    <w:p w14:paraId="2A231192" w14:textId="77777777">
      <w:pPr>
        <w:pStyle w:val="Lista2"/>
      </w:pPr>
      <w:r>
        <w:rPr>
          <w:rStyle w:val="Foreign"/>
        </w:rPr>
        <w:t>except</w:t>
      </w:r>
      <w:r>
        <w:t xml:space="preserve"> special cases where such transition points cannot be integrated into the text following them, namely</w:t>
      </w:r>
    </w:p>
    <w:p w14:paraId="1E65D633" w14:textId="77777777">
      <w:pPr>
        <w:pStyle w:val="Lista3"/>
      </w:pPr>
      <w:r>
        <w:t xml:space="preserve">page beginnings for the first and last blank pages of a set of copper plates </w:t>
      </w:r>
      <w:r>
        <w:rPr>
          <w:noProof/>
        </w:rPr>
        <w:t>(</w:t>
      </w:r>
      <w:r>
        <w:t>§</w:t>
      </w:r>
      <w:r>
        <w:fldChar w:fldCharType="begin"/>
      </w:r>
      <w:r>
        <w:instrText xml:space="preserve"> REF _Ref182318940 \r \h </w:instrText>
      </w:r>
      <w:r>
        <w:fldChar w:fldCharType="separate"/>
      </w:r>
      <w:r>
        <w:t>4.4.2.2</w:t>
      </w:r>
      <w:r>
        <w:fldChar w:fldCharType="end"/>
      </w:r>
      <w:r>
        <w:t>), which have no associated text</w:t>
      </w:r>
    </w:p>
    <w:p w14:paraId="43D712EE" w14:textId="77777777">
      <w:pPr>
        <w:pStyle w:val="Lista3"/>
      </w:pPr>
      <w:r>
        <w:t xml:space="preserve">reconstructed transition points </w:t>
      </w:r>
      <w:r>
        <w:rPr>
          <w:noProof/>
        </w:rPr>
        <w:t>(</w:t>
      </w:r>
      <w:r>
        <w:t xml:space="preserve">of any kind) in massive initial or medial lacunae </w:t>
      </w:r>
      <w:r>
        <w:rPr>
          <w:noProof/>
        </w:rPr>
        <w:t>(</w:t>
      </w:r>
      <w:r>
        <w:t>§</w:t>
      </w:r>
      <w:r>
        <w:fldChar w:fldCharType="begin"/>
      </w:r>
      <w:r>
        <w:instrText xml:space="preserve"> REF _Ref43981711 \w \h  \* MERGEFORMAT </w:instrText>
      </w:r>
      <w:r>
        <w:fldChar w:fldCharType="separate"/>
      </w:r>
      <w:r>
        <w:t>6.5.4</w:t>
      </w:r>
      <w:r>
        <w:fldChar w:fldCharType="end"/>
      </w:r>
      <w:r>
        <w:t>)</w:t>
      </w:r>
    </w:p>
    <w:p w14:paraId="2CFE1B57" w14:textId="77777777">
      <w:pPr>
        <w:pStyle w:val="Cmsor3"/>
      </w:pPr>
      <w:bookmarkStart w:id="1105" w:name="_6kukm0ycu92" w:colFirst="0" w:colLast="0"/>
      <w:bookmarkStart w:id="1106" w:name="_Ref43979566"/>
      <w:bookmarkStart w:id="1107" w:name="_Toc243900475"/>
      <w:bookmarkEnd w:id="1105"/>
      <w:r>
        <w:t>Tier 4, empty elements representing local features</w:t>
      </w:r>
      <w:bookmarkEnd w:id="1106"/>
      <w:bookmarkEnd w:id="1107"/>
    </w:p>
    <w:p w14:paraId="2B6B9B25" w14:textId="77777777">
      <w:pPr>
        <w:pStyle w:val="Lista"/>
      </w:pPr>
      <w:r>
        <w:t xml:space="preserve">elements belonging to this tier are spaces </w:t>
      </w:r>
      <w:r>
        <w:rPr>
          <w:noProof/>
        </w:rPr>
        <w:t>(</w:t>
      </w:r>
      <w:r>
        <w:t>§</w:t>
      </w:r>
      <w:r>
        <w:fldChar w:fldCharType="begin"/>
      </w:r>
      <w:r>
        <w:instrText xml:space="preserve"> REF _Ref43989284 \w \h  \* MERGEFORMAT </w:instrText>
      </w:r>
      <w:r>
        <w:fldChar w:fldCharType="separate"/>
      </w:r>
      <w:r>
        <w:t>5.3.5</w:t>
      </w:r>
      <w:r>
        <w:fldChar w:fldCharType="end"/>
      </w:r>
      <w:r>
        <w:t xml:space="preserve">) and unrestored lacunae </w:t>
      </w:r>
      <w:r>
        <w:rPr>
          <w:noProof/>
        </w:rPr>
        <w:t>(</w:t>
      </w:r>
      <w:r>
        <w:t>§</w:t>
      </w:r>
      <w:r>
        <w:fldChar w:fldCharType="begin"/>
      </w:r>
      <w:r>
        <w:instrText xml:space="preserve"> REF _Ref228460110 \r \h </w:instrText>
      </w:r>
      <w:r>
        <w:fldChar w:fldCharType="separate"/>
      </w:r>
      <w:r>
        <w:t>6.5</w:t>
      </w:r>
      <w:r>
        <w:fldChar w:fldCharType="end"/>
      </w:r>
      <w:r>
        <w:t xml:space="preserve">) including lacunae with known metre </w:t>
      </w:r>
      <w:r>
        <w:rPr>
          <w:noProof/>
        </w:rPr>
        <w:t>(</w:t>
      </w:r>
      <w:r>
        <w:t>§</w:t>
      </w:r>
      <w:r>
        <w:fldChar w:fldCharType="begin"/>
      </w:r>
      <w:r>
        <w:instrText xml:space="preserve"> REF _Ref228275301 \r \h </w:instrText>
      </w:r>
      <w:r>
        <w:fldChar w:fldCharType="separate"/>
      </w:r>
      <w:r>
        <w:t>6.5.2.3</w:t>
      </w:r>
      <w:r>
        <w:fldChar w:fldCharType="end"/>
      </w:r>
      <w:r>
        <w:t>)</w:t>
      </w:r>
    </w:p>
    <w:p w14:paraId="5A2B994E" w14:textId="77777777">
      <w:pPr>
        <w:pStyle w:val="Lista"/>
      </w:pPr>
      <w:r>
        <w:t>these empty elements with a spatial extent must by default be contained within tier-2 elements and must not be placed before the first tier-3 element of a document</w:t>
      </w:r>
    </w:p>
    <w:p w14:paraId="55A52E62" w14:textId="77777777">
      <w:pPr>
        <w:pStyle w:val="Lista2"/>
      </w:pPr>
      <w:r>
        <w:rPr>
          <w:rStyle w:val="Foreign"/>
        </w:rPr>
        <w:t>except</w:t>
      </w:r>
      <w:r>
        <w:t xml:space="preserve"> that when necessary, lacuna markup may appear outside an element of intrinsic structure and before the first tier-3 element  </w:t>
      </w:r>
      <w:r>
        <w:rPr>
          <w:noProof/>
        </w:rPr>
        <w:t>(</w:t>
      </w:r>
      <w:r>
        <w:t>§</w:t>
      </w:r>
      <w:r>
        <w:fldChar w:fldCharType="begin"/>
      </w:r>
      <w:r>
        <w:instrText xml:space="preserve"> REF _Ref43981711 \w \h  \* MERGEFORMAT </w:instrText>
      </w:r>
      <w:r>
        <w:fldChar w:fldCharType="separate"/>
      </w:r>
      <w:r>
        <w:t>6.5.4</w:t>
      </w:r>
      <w:r>
        <w:fldChar w:fldCharType="end"/>
      </w:r>
      <w:r>
        <w:t>)</w:t>
      </w:r>
    </w:p>
    <w:p w14:paraId="3CF158C4" w14:textId="77777777">
      <w:pPr>
        <w:pStyle w:val="Lista"/>
      </w:pPr>
      <w:r>
        <w:t>these empty elements with a spatial extent must give way to elements of tier 3 and above in case of conflict</w:t>
      </w:r>
    </w:p>
    <w:p w14:paraId="11E73803" w14:textId="77777777">
      <w:pPr>
        <w:pStyle w:val="Lista2"/>
      </w:pPr>
      <w:r>
        <w:t xml:space="preserve">thus, a space or lacuna interrupted by the start-tag or end-tag of any element of intrinsic structure </w:t>
      </w:r>
      <w:r>
        <w:rPr>
          <w:noProof/>
        </w:rPr>
        <w:t>(</w:t>
      </w:r>
      <w:r>
        <w:t xml:space="preserve">e.g. a verse line) or by an element of extrinsic structure </w:t>
      </w:r>
      <w:r>
        <w:rPr>
          <w:noProof/>
        </w:rPr>
        <w:t>(</w:t>
      </w:r>
      <w:r>
        <w:t xml:space="preserve">e.g. a line break) must be encoded as two separate instances, as in </w:t>
      </w:r>
      <w:r>
        <w:fldChar w:fldCharType="begin"/>
      </w:r>
      <w:r>
        <w:instrText xml:space="preserve"> REF _Ref232070261 \h </w:instrText>
      </w:r>
      <w:r>
        <w:fldChar w:fldCharType="separate"/>
      </w:r>
      <w:r>
        <w:t xml:space="preserve">Exhibit </w:t>
      </w:r>
      <w:r>
        <w:rPr>
          <w:noProof/>
        </w:rPr>
        <w:t>16.2</w:t>
      </w:r>
      <w:r>
        <w:t>.</w:t>
      </w:r>
      <w:r>
        <w:rPr>
          <w:noProof/>
        </w:rPr>
        <w:t>A</w:t>
      </w:r>
      <w:r>
        <w:fldChar w:fldCharType="end"/>
      </w:r>
    </w:p>
    <w:tbl>
      <w:tblPr>
        <w:tblStyle w:val="CodeSampleTable"/>
        <w:tblW w:w="5000" w:type="pct"/>
        <w:tblLook w:val="04A0" w:firstRow="1" w:lastRow="0" w:firstColumn="1" w:lastColumn="0" w:noHBand="0" w:noVBand="1"/>
      </w:tblPr>
      <w:tblGrid>
        <w:gridCol w:w="9628"/>
      </w:tblGrid>
      <w:tr w14:paraId="7158A55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6E5C98A3" w14:textId="77777777">
            <w:pPr>
              <w:pStyle w:val="Kpalrs"/>
            </w:pPr>
            <w:bookmarkStart w:id="1108" w:name="_Ref232070261"/>
            <w:r>
              <w:t xml:space="preserve">Exhibit </w:t>
            </w:r>
            <w:fldSimple w:instr=" STYLEREF 2 \s ">
              <w:r>
                <w:rPr>
                  <w:noProof/>
                </w:rPr>
                <w:t>16.2</w:t>
              </w:r>
            </w:fldSimple>
            <w:r>
              <w:t>.</w:t>
            </w:r>
            <w:fldSimple w:instr=" SEQ Exhibit \* ALPHABETIC \s 2 ">
              <w:r>
                <w:rPr>
                  <w:noProof/>
                </w:rPr>
                <w:t>A</w:t>
              </w:r>
            </w:fldSimple>
            <w:bookmarkEnd w:id="1108"/>
            <w:r>
              <w:t>: lacuna split across line break</w:t>
            </w:r>
          </w:p>
        </w:tc>
      </w:tr>
      <w:tr w14:paraId="5A22C2CF" w14:textId="77777777">
        <w:tc>
          <w:tcPr>
            <w:tcW w:w="5000" w:type="pct"/>
          </w:tcPr>
          <w:p w14:paraId="70CBEBD2" w14:textId="77777777">
            <w:pPr>
              <w:pStyle w:val="CodeParagraph"/>
              <w:keepNext/>
            </w:pPr>
            <w:r>
              <w:rPr>
                <w:rStyle w:val="Code"/>
              </w:rPr>
              <w:t xml:space="preserve">&lt;lb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text"/>
              </w:rPr>
              <w:t>devyām utpanna</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 xml:space="preserve">/&gt;&lt;lb </w:t>
            </w:r>
            <w:r>
              <w:rPr>
                <w:rStyle w:val="Codeattribute"/>
              </w:rPr>
              <w:t>n</w:t>
            </w:r>
            <w:r>
              <w:rPr>
                <w:rStyle w:val="Code"/>
              </w:rPr>
              <w:t>=</w:t>
            </w:r>
            <w:r>
              <w:rPr>
                <w:rStyle w:val="Codevalue"/>
              </w:rPr>
              <w:t>"2"</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extent</w:t>
            </w:r>
            <w:r>
              <w:rPr>
                <w:rStyle w:val="Code"/>
              </w:rPr>
              <w:t>=</w:t>
            </w:r>
            <w:r>
              <w:rPr>
                <w:rStyle w:val="Codevalue"/>
              </w:rPr>
              <w:t>"unknown"</w:t>
            </w:r>
            <w:r>
              <w:rPr>
                <w:rStyle w:val="Code"/>
              </w:rPr>
              <w:t>/&gt;</w:t>
            </w:r>
            <w:r>
              <w:rPr>
                <w:rStyle w:val="Codetext"/>
              </w:rPr>
              <w:t>ṭṭārikā-devyām utpannaḥ śrī-mahārājeśvaravarmmā...</w:t>
            </w:r>
          </w:p>
        </w:tc>
      </w:tr>
      <w:tr w14:paraId="2D627ADA" w14:textId="77777777">
        <w:tc>
          <w:tcPr>
            <w:tcW w:w="5000" w:type="pct"/>
          </w:tcPr>
          <w:p w14:paraId="02987238" w14:textId="77777777">
            <w:pPr>
              <w:pStyle w:val="TableNote"/>
              <w:rPr>
                <w:rStyle w:val="Code"/>
              </w:rPr>
            </w:pPr>
            <w:r>
              <w:t xml:space="preserve">here, the lacuna between </w:t>
            </w:r>
            <w:r>
              <w:rPr>
                <w:rStyle w:val="Foreign"/>
              </w:rPr>
              <w:t>utpanna</w:t>
            </w:r>
            <w:r>
              <w:t xml:space="preserve"> and </w:t>
            </w:r>
            <w:r>
              <w:rPr>
                <w:rStyle w:val="Foreign"/>
              </w:rPr>
              <w:t>ṭṭārikā</w:t>
            </w:r>
            <w:r>
              <w:t xml:space="preserve"> is encoded as two separate lacunae, one at the end of line 1, and another at the beginning of line 2; the line beginning element stands between these two</w:t>
            </w:r>
          </w:p>
        </w:tc>
      </w:tr>
    </w:tbl>
    <w:p w14:paraId="360FD2FE" w14:textId="77777777">
      <w:pPr>
        <w:pStyle w:val="Cmsor3"/>
      </w:pPr>
      <w:bookmarkStart w:id="1109" w:name="_jr9td4xsvig6" w:colFirst="0" w:colLast="0"/>
      <w:bookmarkStart w:id="1110" w:name="_Ref43987901"/>
      <w:bookmarkStart w:id="1111" w:name="_Toc243900476"/>
      <w:bookmarkEnd w:id="1109"/>
      <w:r>
        <w:t>Tier 5, phrase-level elements</w:t>
      </w:r>
      <w:bookmarkEnd w:id="1110"/>
      <w:r>
        <w:t xml:space="preserve"> representing changes to the text</w:t>
      </w:r>
      <w:bookmarkEnd w:id="1111"/>
    </w:p>
    <w:p w14:paraId="181E23EE" w14:textId="77777777">
      <w:pPr>
        <w:pStyle w:val="Lista"/>
      </w:pPr>
      <w:r>
        <w:t>elements belonging to this tier include those used in encoding</w:t>
      </w:r>
    </w:p>
    <w:p w14:paraId="57552A24" w14:textId="77777777">
      <w:pPr>
        <w:pStyle w:val="Lista2"/>
      </w:pPr>
      <w:r>
        <w:t>scribal intervention (§</w:t>
      </w:r>
      <w:r>
        <w:fldChar w:fldCharType="begin"/>
      </w:r>
      <w:r>
        <w:instrText xml:space="preserve"> REF _Ref228799393 \r \h </w:instrText>
      </w:r>
      <w:r>
        <w:fldChar w:fldCharType="separate"/>
      </w:r>
      <w:r>
        <w:t>5.5</w:t>
      </w:r>
      <w:r>
        <w:fldChar w:fldCharType="end"/>
      </w:r>
      <w:r>
        <w:t>)</w:t>
      </w:r>
    </w:p>
    <w:p w14:paraId="793E8842" w14:textId="77777777">
      <w:pPr>
        <w:pStyle w:val="Lista2"/>
      </w:pPr>
      <w:r>
        <w:t>editorial intervention (§</w:t>
      </w:r>
      <w:r>
        <w:fldChar w:fldCharType="begin"/>
      </w:r>
      <w:r>
        <w:instrText xml:space="preserve"> REF _Ref229054270 \r \h </w:instrText>
      </w:r>
      <w:r>
        <w:fldChar w:fldCharType="separate"/>
      </w:r>
      <w:r>
        <w:t>7.2</w:t>
      </w:r>
      <w:r>
        <w:fldChar w:fldCharType="end"/>
      </w:r>
      <w:r>
        <w:t xml:space="preserve">) and restoration </w:t>
      </w:r>
      <w:r>
        <w:rPr>
          <w:noProof/>
        </w:rPr>
        <w:t>(</w:t>
      </w:r>
      <w:r>
        <w:t>§</w:t>
      </w:r>
      <w:r>
        <w:fldChar w:fldCharType="begin"/>
      </w:r>
      <w:r>
        <w:instrText xml:space="preserve"> REF _Ref228459751 \r \h </w:instrText>
      </w:r>
      <w:r>
        <w:fldChar w:fldCharType="separate"/>
      </w:r>
      <w:r>
        <w:t>6.4</w:t>
      </w:r>
      <w:r>
        <w:fldChar w:fldCharType="end"/>
      </w:r>
      <w:r>
        <w:t xml:space="preserve">) </w:t>
      </w:r>
    </w:p>
    <w:p w14:paraId="6EFE3C5E" w14:textId="77777777">
      <w:pPr>
        <w:pStyle w:val="Lista"/>
      </w:pPr>
      <w:r>
        <w:t>such phrase-level markup must</w:t>
      </w:r>
    </w:p>
    <w:p w14:paraId="2A5ECDAC" w14:textId="77777777">
      <w:pPr>
        <w:pStyle w:val="Lista2"/>
      </w:pPr>
      <w:r>
        <w:t>always be contained within tier-2 elements</w:t>
      </w:r>
    </w:p>
    <w:p w14:paraId="12050C24" w14:textId="77777777">
      <w:pPr>
        <w:pStyle w:val="Lista2"/>
      </w:pPr>
      <w:r>
        <w:t>in case of conflict give way to elements of tier 4 and above</w:t>
      </w:r>
    </w:p>
    <w:p w14:paraId="66AF6D95" w14:textId="77777777">
      <w:pPr>
        <w:pStyle w:val="Lista"/>
      </w:pPr>
      <w:r>
        <w:t xml:space="preserve">thus, such a phrase-level element interrupted by the start-tag or end-tag of any element of intrinsic structure or by an element of extrinsic structure must be encoded as two separate instances as in </w:t>
      </w:r>
      <w:r>
        <w:fldChar w:fldCharType="begin"/>
      </w:r>
      <w:r>
        <w:instrText xml:space="preserve"> REF _Ref232071972 \h </w:instrText>
      </w:r>
      <w:r>
        <w:fldChar w:fldCharType="separate"/>
      </w:r>
      <w:r>
        <w:t xml:space="preserve">Exhibit </w:t>
      </w:r>
      <w:r>
        <w:rPr>
          <w:noProof/>
        </w:rPr>
        <w:t>16.2</w:t>
      </w:r>
      <w:r>
        <w:t>.</w:t>
      </w:r>
      <w:r>
        <w:rPr>
          <w:noProof/>
        </w:rPr>
        <w:t>B</w:t>
      </w:r>
      <w:r>
        <w:fldChar w:fldCharType="end"/>
      </w:r>
    </w:p>
    <w:p w14:paraId="2B016E89" w14:textId="30E67C48">
      <w:pPr>
        <w:pStyle w:val="Lista"/>
      </w:pPr>
      <w:r>
        <w:t>these phrase-level elements may be nested inside other tier-5 elements when doing so is essential, so long as overlaps are avoided</w:t>
      </w:r>
    </w:p>
    <w:tbl>
      <w:tblPr>
        <w:tblStyle w:val="CodeSampleTable"/>
        <w:tblW w:w="5000" w:type="pct"/>
        <w:tblLook w:val="04A0" w:firstRow="1" w:lastRow="0" w:firstColumn="1" w:lastColumn="0" w:noHBand="0" w:noVBand="1"/>
      </w:tblPr>
      <w:tblGrid>
        <w:gridCol w:w="9628"/>
      </w:tblGrid>
      <w:tr w14:paraId="4DC95B4F"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0FA4F83" w14:textId="77777777">
            <w:pPr>
              <w:pStyle w:val="Kpalrs"/>
            </w:pPr>
            <w:bookmarkStart w:id="1112" w:name="_Ref232071972"/>
            <w:r>
              <w:lastRenderedPageBreak/>
              <w:t xml:space="preserve">Exhibit </w:t>
            </w:r>
            <w:fldSimple w:instr=" STYLEREF 2 \s ">
              <w:r>
                <w:rPr>
                  <w:noProof/>
                </w:rPr>
                <w:t>16.2</w:t>
              </w:r>
            </w:fldSimple>
            <w:r>
              <w:t>.</w:t>
            </w:r>
            <w:fldSimple w:instr=" SEQ Exhibit \* ALPHABETIC \s 2 ">
              <w:r>
                <w:rPr>
                  <w:noProof/>
                </w:rPr>
                <w:t>B</w:t>
              </w:r>
            </w:fldSimple>
            <w:bookmarkEnd w:id="1112"/>
            <w:r>
              <w:t>: editorial restoration split across verse lines</w:t>
            </w:r>
          </w:p>
        </w:tc>
      </w:tr>
      <w:tr w14:paraId="40EABB7D" w14:textId="77777777">
        <w:tc>
          <w:tcPr>
            <w:tcW w:w="5000" w:type="pct"/>
          </w:tcPr>
          <w:p w14:paraId="40C0D651" w14:textId="77777777">
            <w:pPr>
              <w:pStyle w:val="CodeParagraph"/>
              <w:keepNext/>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"anuṣṭubh"</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&gt;</w:t>
            </w:r>
            <w:r>
              <w:rPr>
                <w:rStyle w:val="Codetext"/>
              </w:rPr>
              <w:t>svadattām para-dattām vā</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&gt;</w:t>
            </w:r>
            <w:r>
              <w:rPr>
                <w:rStyle w:val="Codetext"/>
              </w:rPr>
              <w:t>yo hareta va</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sundharām</w:t>
            </w:r>
            <w:r>
              <w:rPr>
                <w:rStyle w:val="Code"/>
              </w:rPr>
              <w:t>&lt;/supplied&gt;&lt;/l&gt;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sa viṣṭhāyāṁ kr̥mir bhūtvā</w:t>
            </w:r>
            <w:r>
              <w:rPr>
                <w:rStyle w:val="Code"/>
              </w:rPr>
              <w:t>&lt;/supplied&gt;&lt;/l&gt;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&gt;&lt;supplied </w:t>
            </w:r>
            <w:r>
              <w:rPr>
                <w:rStyle w:val="Codeattribute"/>
              </w:rPr>
              <w:t>reason</w:t>
            </w:r>
            <w:r>
              <w:rPr>
                <w:rStyle w:val="Code"/>
              </w:rPr>
              <w:t>=</w:t>
            </w:r>
            <w:r>
              <w:rPr>
                <w:rStyle w:val="Codevalue"/>
              </w:rPr>
              <w:t>"lost"</w:t>
            </w:r>
            <w:r>
              <w:rPr>
                <w:rStyle w:val="Code"/>
              </w:rPr>
              <w:t>&gt;</w:t>
            </w:r>
            <w:r>
              <w:rPr>
                <w:rStyle w:val="Codetext"/>
              </w:rPr>
              <w:t>pitr̥</w:t>
            </w:r>
            <w:r>
              <w:rPr>
                <w:rStyle w:val="Code"/>
              </w:rPr>
              <w:t>&lt;/supplied&gt;</w:t>
            </w:r>
            <w:r>
              <w:rPr>
                <w:rStyle w:val="Codetext"/>
              </w:rPr>
              <w:t>bhiḥ saha pacyate</w:t>
            </w:r>
            <w:r>
              <w:rPr>
                <w:rStyle w:val="Code"/>
              </w:rPr>
              <w:t>&lt;/l&gt;</w:t>
            </w:r>
            <w:r>
              <w:rPr>
                <w:rStyle w:val="Codetext"/>
              </w:rPr>
              <w:br/>
            </w:r>
            <w:r>
              <w:rPr>
                <w:rStyle w:val="Code"/>
              </w:rPr>
              <w:t>&lt;/lg&gt;</w:t>
            </w:r>
          </w:p>
        </w:tc>
      </w:tr>
      <w:tr w14:paraId="70F206EF" w14:textId="77777777">
        <w:tc>
          <w:tcPr>
            <w:tcW w:w="5000" w:type="pct"/>
          </w:tcPr>
          <w:p w14:paraId="082790FE" w14:textId="77777777">
            <w:pPr>
              <w:pStyle w:val="TableNote"/>
              <w:rPr>
                <w:rStyle w:val="Code"/>
              </w:rPr>
            </w:pPr>
            <w:r>
              <w:t xml:space="preserve">the lost and supplied text in the middle of the stanza is encoded as three separate instances of supplied text: the end of </w:t>
            </w:r>
            <w:r>
              <w:rPr>
                <w:rStyle w:val="Foreign"/>
              </w:rPr>
              <w:t>pāda</w:t>
            </w:r>
            <w:r>
              <w:t xml:space="preserve">s </w:t>
            </w:r>
            <w:r>
              <w:rPr>
                <w:rStyle w:val="Foreign"/>
              </w:rPr>
              <w:t>b</w:t>
            </w:r>
            <w:r>
              <w:t xml:space="preserve">, all of </w:t>
            </w:r>
            <w:r>
              <w:rPr>
                <w:rStyle w:val="Foreign"/>
              </w:rPr>
              <w:t>pāda</w:t>
            </w:r>
            <w:r>
              <w:t xml:space="preserve"> </w:t>
            </w:r>
            <w:r>
              <w:rPr>
                <w:rStyle w:val="Foreign"/>
              </w:rPr>
              <w:t>c</w:t>
            </w:r>
            <w:r>
              <w:t xml:space="preserve">, and the beginning of </w:t>
            </w:r>
            <w:r>
              <w:rPr>
                <w:rStyle w:val="Foreign"/>
              </w:rPr>
              <w:t>pāda</w:t>
            </w:r>
            <w:r>
              <w:t xml:space="preserve"> d</w:t>
            </w:r>
          </w:p>
        </w:tc>
      </w:tr>
    </w:tbl>
    <w:p w14:paraId="1000F48A" w14:textId="77777777">
      <w:pPr>
        <w:pStyle w:val="Cmsor3"/>
      </w:pPr>
      <w:bookmarkStart w:id="1113" w:name="_Ref232072486"/>
      <w:bookmarkStart w:id="1114" w:name="_Toc243900477"/>
      <w:r>
        <w:t>Tier 6, unclear</w:t>
      </w:r>
      <w:bookmarkEnd w:id="1113"/>
      <w:bookmarkEnd w:id="1114"/>
    </w:p>
    <w:p w14:paraId="0FB21366" w14:textId="77777777">
      <w:pPr>
        <w:pStyle w:val="Lista"/>
      </w:pPr>
      <w:r>
        <w:t xml:space="preserve">the element </w:t>
      </w:r>
      <w:r>
        <w:rPr>
          <w:rStyle w:val="Code"/>
        </w:rPr>
        <w:t>&lt;unclear&gt;</w:t>
      </w:r>
      <w:r>
        <w:t xml:space="preserve"> must, by EpiDoc rules, contain only text and may never contain any markup elements except </w:t>
      </w:r>
      <w:r>
        <w:rPr>
          <w:rStyle w:val="Code"/>
        </w:rPr>
        <w:t>&lt;g&gt;</w:t>
      </w:r>
      <w:r>
        <w:t>; thus,</w:t>
      </w:r>
    </w:p>
    <w:p w14:paraId="3D9EEB8C" w14:textId="77777777">
      <w:pPr>
        <w:pStyle w:val="Lista2"/>
      </w:pPr>
      <w:r>
        <w:t xml:space="preserve">when unclarity overlaps with another encoded feature, it is always </w:t>
      </w:r>
      <w:r>
        <w:rPr>
          <w:rStyle w:val="Code"/>
        </w:rPr>
        <w:t>&lt;unclear&gt;</w:t>
      </w:r>
      <w:r>
        <w:t xml:space="preserve"> that must be split into separate parts inside and outside the other element, as in </w:t>
      </w:r>
      <w:r>
        <w:fldChar w:fldCharType="begin"/>
      </w:r>
      <w:r>
        <w:instrText xml:space="preserve"> REF _Ref44072089 \h  \* MERGEFORMAT </w:instrText>
      </w:r>
      <w:r>
        <w:fldChar w:fldCharType="separate"/>
      </w:r>
      <w:r>
        <w:t xml:space="preserve">Exhibit </w:t>
      </w:r>
      <w:r>
        <w:rPr>
          <w:noProof/>
        </w:rPr>
        <w:t>16.2.C</w:t>
      </w:r>
      <w:r>
        <w:fldChar w:fldCharType="end"/>
      </w:r>
    </w:p>
    <w:p w14:paraId="0776DCF6" w14:textId="1F08CF0C">
      <w:pPr>
        <w:pStyle w:val="Lista2"/>
      </w:pPr>
      <w:r>
        <w:t xml:space="preserve">when an unclear stretch contains another encoded feature </w:t>
      </w:r>
      <w:r>
        <w:rPr>
          <w:noProof/>
        </w:rPr>
        <w:t>(</w:t>
      </w:r>
      <w:r>
        <w:t xml:space="preserve">other than </w:t>
      </w:r>
      <w:r>
        <w:rPr>
          <w:rStyle w:val="Code"/>
        </w:rPr>
        <w:t>&lt;g&gt;</w:t>
      </w:r>
      <w:r>
        <w:t xml:space="preserve">), then </w:t>
      </w:r>
      <w:r>
        <w:rPr>
          <w:rStyle w:val="Code"/>
        </w:rPr>
        <w:t>&lt;unclear&gt;</w:t>
      </w:r>
      <w:r>
        <w:t xml:space="preserve"> must be split into separate parts as in </w:t>
      </w:r>
      <w:r>
        <w:fldChar w:fldCharType="begin"/>
      </w:r>
      <w:r>
        <w:instrText xml:space="preserve"> REF _Ref44072159 \h  \* MERGEFORMAT </w:instrText>
      </w:r>
      <w:r>
        <w:fldChar w:fldCharType="separate"/>
      </w:r>
      <w:r>
        <w:t xml:space="preserve">Exhibit </w:t>
      </w:r>
      <w:r>
        <w:rPr>
          <w:noProof/>
        </w:rPr>
        <w:t>16.2.D</w:t>
      </w:r>
      <w:r>
        <w:fldChar w:fldCharType="end"/>
      </w:r>
      <w:r>
        <w:t xml:space="preserve">, to allow the nesting of </w:t>
      </w:r>
      <w:r>
        <w:rPr>
          <w:rStyle w:val="Code"/>
        </w:rPr>
        <w:t>&lt;unclear&gt;</w:t>
      </w:r>
      <w:r>
        <w:t xml:space="preserve"> within the other element instead of the other way round</w:t>
      </w:r>
    </w:p>
    <w:tbl>
      <w:tblPr>
        <w:tblStyle w:val="CodeSampleTable"/>
        <w:tblW w:w="5000" w:type="pct"/>
        <w:tblLook w:val="04A0" w:firstRow="1" w:lastRow="0" w:firstColumn="1" w:lastColumn="0" w:noHBand="0" w:noVBand="1"/>
      </w:tblPr>
      <w:tblGrid>
        <w:gridCol w:w="9628"/>
      </w:tblGrid>
      <w:tr w14:paraId="16D1CD37"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760772F3" w14:textId="77777777">
            <w:pPr>
              <w:pStyle w:val="Kpalrs"/>
            </w:pPr>
            <w:bookmarkStart w:id="1115" w:name="_Ref44072089"/>
            <w:r>
              <w:t xml:space="preserve">Exhibit </w:t>
            </w:r>
            <w:fldSimple w:instr=" STYLEREF 2 \s ">
              <w:r>
                <w:rPr>
                  <w:noProof/>
                </w:rPr>
                <w:t>16.2</w:t>
              </w:r>
            </w:fldSimple>
            <w:r>
              <w:t>.</w:t>
            </w:r>
            <w:fldSimple w:instr=" SEQ Exhibit \* ALPHABETIC \s 2 ">
              <w:r>
                <w:rPr>
                  <w:noProof/>
                </w:rPr>
                <w:t>C</w:t>
              </w:r>
            </w:fldSimple>
            <w:bookmarkEnd w:id="1115"/>
            <w:r>
              <w:t>: unclear with an overlapping element</w:t>
            </w:r>
          </w:p>
        </w:tc>
      </w:tr>
      <w:tr w14:paraId="508FD0CB" w14:textId="77777777">
        <w:tc>
          <w:tcPr>
            <w:tcW w:w="5000" w:type="pct"/>
          </w:tcPr>
          <w:p w14:paraId="09BA710E" w14:textId="77777777">
            <w:pPr>
              <w:keepNext/>
              <w:jc w:val="center"/>
              <w:rPr>
                <w:rStyle w:val="Codetext"/>
              </w:rPr>
            </w:pPr>
            <w:r>
              <w:rPr>
                <w:rStyle w:val="Foreign"/>
              </w:rPr>
              <w:t>uktañ ca bhagavatā ve</w:t>
            </w:r>
            <w:r>
              <w:rPr>
                <w:rStyle w:val="Foreign"/>
                <w:dstrike/>
              </w:rPr>
              <w:t>da-vyāsena vyāsena vyā</w:t>
            </w:r>
            <w:r>
              <w:rPr>
                <w:rStyle w:val="Foreign"/>
              </w:rPr>
              <w:t>sena</w:t>
            </w:r>
          </w:p>
        </w:tc>
      </w:tr>
      <w:tr w14:paraId="5AC453B0" w14:textId="77777777">
        <w:tc>
          <w:tcPr>
            <w:tcW w:w="5000" w:type="pct"/>
          </w:tcPr>
          <w:p w14:paraId="3849EA1E" w14:textId="77777777">
            <w:pPr>
              <w:pStyle w:val="TableNote"/>
              <w:keepNext/>
              <w:ind w:left="0" w:firstLine="0"/>
              <w:contextualSpacing w:val="0"/>
            </w:pPr>
            <w:r>
              <w:t>the stretch struck out in the text above represents unclear text in the original</w:t>
            </w:r>
          </w:p>
          <w:p w14:paraId="06A749BC" w14:textId="77777777">
            <w:pPr>
              <w:pStyle w:val="TableNote"/>
              <w:keepNext/>
              <w:ind w:left="0" w:firstLine="0"/>
              <w:contextualSpacing w:val="0"/>
            </w:pPr>
            <w:r>
              <w:t xml:space="preserve">the last iteration of </w:t>
            </w:r>
            <w:r>
              <w:rPr>
                <w:rStyle w:val="Foreign"/>
              </w:rPr>
              <w:t>vyāsena</w:t>
            </w:r>
            <w:r>
              <w:t xml:space="preserve"> is scribal dittography, which you as editor suppress</w:t>
            </w:r>
          </w:p>
        </w:tc>
      </w:tr>
      <w:tr w14:paraId="6F718B43" w14:textId="77777777">
        <w:tc>
          <w:tcPr>
            <w:tcW w:w="5000" w:type="pct"/>
          </w:tcPr>
          <w:p w14:paraId="38CB6F17" w14:textId="77777777">
            <w:pPr>
              <w:pStyle w:val="CodeParagraph"/>
              <w:keepNext/>
            </w:pPr>
            <w:r>
              <w:rPr>
                <w:rStyle w:val="Codetext"/>
              </w:rPr>
              <w:t>uktañ ca bhagavatā ve</w:t>
            </w:r>
            <w:r>
              <w:rPr>
                <w:rStyle w:val="Code"/>
              </w:rPr>
              <w:t>&lt;unclear&gt;</w:t>
            </w:r>
            <w:r>
              <w:rPr>
                <w:rStyle w:val="Codetext"/>
              </w:rPr>
              <w:t>da-vyāsena vyāsena</w:t>
            </w:r>
            <w:r>
              <w:rPr>
                <w:rStyle w:val="Code"/>
              </w:rPr>
              <w:t>&lt;/unclear&gt;</w:t>
            </w:r>
            <w:r>
              <w:rPr>
                <w:rStyle w:val="Codetext"/>
              </w:rPr>
              <w:t xml:space="preserve"> </w:t>
            </w:r>
            <w:r>
              <w:rPr>
                <w:rStyle w:val="Code"/>
              </w:rPr>
              <w:t>&lt;surplus&gt;&lt;unclear&gt;</w:t>
            </w:r>
            <w:r>
              <w:rPr>
                <w:rStyle w:val="Codetext"/>
              </w:rPr>
              <w:t>vyā</w:t>
            </w:r>
            <w:r>
              <w:rPr>
                <w:rStyle w:val="Code"/>
              </w:rPr>
              <w:t>&lt;/unclear&gt;</w:t>
            </w:r>
            <w:r>
              <w:rPr>
                <w:rStyle w:val="Codetext"/>
              </w:rPr>
              <w:t>sena</w:t>
            </w:r>
            <w:r>
              <w:rPr>
                <w:rStyle w:val="Code"/>
              </w:rPr>
              <w:t>&lt;/surplus&gt;</w:t>
            </w:r>
          </w:p>
        </w:tc>
      </w:tr>
      <w:tr w14:paraId="63B66E37" w14:textId="77777777">
        <w:tc>
          <w:tcPr>
            <w:tcW w:w="5000" w:type="pct"/>
          </w:tcPr>
          <w:p w14:paraId="71F8753C" w14:textId="77777777">
            <w:pPr>
              <w:pStyle w:val="TableNote"/>
              <w:rPr>
                <w:rStyle w:val="Code"/>
              </w:rPr>
            </w:pPr>
            <w:r>
              <w:t xml:space="preserve">the </w:t>
            </w:r>
            <w:r>
              <w:rPr>
                <w:rStyle w:val="Code"/>
              </w:rPr>
              <w:t>&lt;unclear&gt;</w:t>
            </w:r>
            <w:r>
              <w:t xml:space="preserve"> element is split into two parts, one in the retained text and one in the suppressed segment</w:t>
            </w:r>
          </w:p>
        </w:tc>
      </w:tr>
    </w:tbl>
    <w:p w14:paraId="68AF11B7" w14:textId="77777777"/>
    <w:tbl>
      <w:tblPr>
        <w:tblStyle w:val="CodeSampleTable"/>
        <w:tblW w:w="5000" w:type="pct"/>
        <w:tblLook w:val="04A0" w:firstRow="1" w:lastRow="0" w:firstColumn="1" w:lastColumn="0" w:noHBand="0" w:noVBand="1"/>
      </w:tblPr>
      <w:tblGrid>
        <w:gridCol w:w="9628"/>
      </w:tblGrid>
      <w:tr w14:paraId="1475F313" w14:textId="77777777">
        <w:trPr>
          <w:cnfStyle w:val="100000000000" w:firstRow="1" w:lastRow="0" w:firstColumn="0" w:lastColumn="0" w:oddVBand="0" w:evenVBand="0" w:oddHBand="0" w:evenHBand="0" w:firstRowFirstColumn="0" w:firstRowLastColumn="0" w:lastRowFirstColumn="0" w:lastRowLastColumn="0"/>
        </w:trPr>
        <w:tc>
          <w:tcPr>
            <w:tcW w:w="5000" w:type="pct"/>
          </w:tcPr>
          <w:p w14:paraId="1F477C3D" w14:textId="77777777">
            <w:pPr>
              <w:pStyle w:val="Kpalrs"/>
            </w:pPr>
            <w:bookmarkStart w:id="1116" w:name="_Ref44072159"/>
            <w:r>
              <w:t xml:space="preserve">Exhibit </w:t>
            </w:r>
            <w:fldSimple w:instr=" STYLEREF 2 \s ">
              <w:r>
                <w:rPr>
                  <w:noProof/>
                </w:rPr>
                <w:t>16.2</w:t>
              </w:r>
            </w:fldSimple>
            <w:r>
              <w:t>.</w:t>
            </w:r>
            <w:fldSimple w:instr=" SEQ Exhibit \* ALPHABETIC \s 2 ">
              <w:r>
                <w:rPr>
                  <w:noProof/>
                </w:rPr>
                <w:t>D</w:t>
              </w:r>
            </w:fldSimple>
            <w:bookmarkEnd w:id="1116"/>
            <w:r>
              <w:t>: unclear with a nested element</w:t>
            </w:r>
          </w:p>
        </w:tc>
      </w:tr>
      <w:tr w14:paraId="31B9D455" w14:textId="77777777">
        <w:tc>
          <w:tcPr>
            <w:tcW w:w="5000" w:type="pct"/>
          </w:tcPr>
          <w:p w14:paraId="0BFADB40" w14:textId="77777777">
            <w:pPr>
              <w:keepNext/>
              <w:jc w:val="center"/>
              <w:rPr>
                <w:rStyle w:val="Codetext"/>
              </w:rPr>
            </w:pPr>
            <w:r>
              <w:rPr>
                <w:rStyle w:val="Foreign"/>
              </w:rPr>
              <w:t>puṇyābhi</w:t>
            </w:r>
            <w:r>
              <w:rPr>
                <w:rStyle w:val="Foreign"/>
                <w:dstrike/>
              </w:rPr>
              <w:t>vriddhaye</w:t>
            </w:r>
          </w:p>
        </w:tc>
      </w:tr>
      <w:tr w14:paraId="3FBF3DA2" w14:textId="77777777">
        <w:tc>
          <w:tcPr>
            <w:tcW w:w="5000" w:type="pct"/>
          </w:tcPr>
          <w:p w14:paraId="41138F8E" w14:textId="77777777">
            <w:pPr>
              <w:pStyle w:val="TableNote"/>
              <w:keepNext/>
              <w:ind w:left="0" w:firstLine="0"/>
              <w:contextualSpacing w:val="0"/>
            </w:pPr>
            <w:r>
              <w:t>the stretch struck out in the text above represents unclear text in the original</w:t>
            </w:r>
          </w:p>
          <w:p w14:paraId="267709C9" w14:textId="77777777">
            <w:pPr>
              <w:pStyle w:val="TableNote"/>
              <w:keepNext/>
              <w:ind w:left="0" w:firstLine="0"/>
              <w:contextualSpacing w:val="0"/>
            </w:pPr>
            <w:r>
              <w:t xml:space="preserve">the spelling </w:t>
            </w:r>
            <w:r>
              <w:rPr>
                <w:rStyle w:val="Foreign"/>
              </w:rPr>
              <w:t>ri</w:t>
            </w:r>
            <w:r>
              <w:t xml:space="preserve"> is non-standard and you, as editor, flag it as such</w:t>
            </w:r>
          </w:p>
        </w:tc>
      </w:tr>
      <w:tr w14:paraId="3BF84CF0" w14:textId="77777777">
        <w:tc>
          <w:tcPr>
            <w:tcW w:w="5000" w:type="pct"/>
          </w:tcPr>
          <w:p w14:paraId="26AC52FC" w14:textId="77777777">
            <w:pPr>
              <w:pStyle w:val="CodeParagraph"/>
              <w:keepNext/>
            </w:pPr>
            <w:r>
              <w:rPr>
                <w:rStyle w:val="Codetext"/>
              </w:rPr>
              <w:t>puṇyābhi</w:t>
            </w:r>
            <w:r>
              <w:rPr>
                <w:rStyle w:val="Code"/>
              </w:rPr>
              <w:t>&lt;unclear&gt;</w:t>
            </w:r>
            <w:r>
              <w:rPr>
                <w:rStyle w:val="Codetext"/>
              </w:rPr>
              <w:t>v</w:t>
            </w:r>
            <w:r>
              <w:rPr>
                <w:rStyle w:val="Code"/>
              </w:rPr>
              <w:t>&lt;/unclear&gt;&lt;orig&gt;&lt;unclear&gt;</w:t>
            </w:r>
            <w:r>
              <w:rPr>
                <w:rStyle w:val="Codetext"/>
              </w:rPr>
              <w:t>ri</w:t>
            </w:r>
            <w:r>
              <w:rPr>
                <w:rStyle w:val="Code"/>
              </w:rPr>
              <w:t>&lt;/unclear&gt;&lt;/orig&gt;&lt;unclear&gt;</w:t>
            </w:r>
            <w:r>
              <w:rPr>
                <w:rStyle w:val="Codetext"/>
              </w:rPr>
              <w:t>ddhaye</w:t>
            </w:r>
            <w:r>
              <w:rPr>
                <w:rStyle w:val="Code"/>
              </w:rPr>
              <w:t>&lt;/unclear&gt;</w:t>
            </w:r>
          </w:p>
        </w:tc>
      </w:tr>
      <w:tr w14:paraId="52F6CD33" w14:textId="77777777">
        <w:tc>
          <w:tcPr>
            <w:tcW w:w="5000" w:type="pct"/>
          </w:tcPr>
          <w:p w14:paraId="3FAC604A" w14:textId="77777777">
            <w:pPr>
              <w:pStyle w:val="TableNote"/>
              <w:rPr>
                <w:rStyle w:val="Codetext"/>
                <w:i/>
              </w:rPr>
            </w:pPr>
            <w:r>
              <w:t xml:space="preserve">the </w:t>
            </w:r>
            <w:r>
              <w:rPr>
                <w:rStyle w:val="Code"/>
              </w:rPr>
              <w:t>&lt;unclear&gt;</w:t>
            </w:r>
            <w:r>
              <w:t xml:space="preserve"> element is split into three parts, one before the flag, one for the flagged segment within the </w:t>
            </w:r>
            <w:r>
              <w:rPr>
                <w:rStyle w:val="Code"/>
              </w:rPr>
              <w:t>&lt;orig&gt;</w:t>
            </w:r>
            <w:r>
              <w:t xml:space="preserve"> tag, and one after it</w:t>
            </w:r>
          </w:p>
        </w:tc>
      </w:tr>
    </w:tbl>
    <w:p w14:paraId="612B00F5" w14:textId="77777777">
      <w:pPr>
        <w:pStyle w:val="Cmsor2"/>
      </w:pPr>
      <w:bookmarkStart w:id="1117" w:name="_k7hidbku03us" w:colFirst="0" w:colLast="0"/>
      <w:bookmarkStart w:id="1118" w:name="_Ref227844670"/>
      <w:bookmarkStart w:id="1119" w:name="_Toc243900478"/>
      <w:bookmarkStart w:id="1120" w:name="_Ref43990429"/>
      <w:bookmarkEnd w:id="1117"/>
      <w:r>
        <w:t>Graphemes and the granularity of encoding</w:t>
      </w:r>
      <w:bookmarkEnd w:id="1118"/>
      <w:bookmarkEnd w:id="1119"/>
    </w:p>
    <w:p w14:paraId="49D09244" w14:textId="77777777">
      <w:r>
        <w:t xml:space="preserve">As discussed in §2 of the TG (expanding on the quick definitions of the grapholinguistic terminology in TG §1.6), our original inscriptions are written in a complex script where most characters </w:t>
      </w:r>
      <w:r>
        <w:rPr>
          <w:noProof/>
        </w:rPr>
        <w:t>(</w:t>
      </w:r>
      <w:r>
        <w:rPr>
          <w:rStyle w:val="Foreign"/>
        </w:rPr>
        <w:t>akṣara</w:t>
      </w:r>
      <w:r>
        <w:rPr>
          <w:rStyle w:val="Foreign"/>
          <w:i w:val="0"/>
          <w:iCs w:val="0"/>
        </w:rPr>
        <w:t>s</w:t>
      </w:r>
      <w:r>
        <w:t xml:space="preserve">) are comprised of more than one grapheme, while our editions are in Romanised transliteration where characters coincide with a single grapheme but some source graphemes are represented by two target graphemes (digraphs like &lt;au&gt; and </w:t>
      </w:r>
      <w:r>
        <w:rPr>
          <w:noProof/>
        </w:rPr>
        <w:t>&lt;kh&gt;</w:t>
      </w:r>
      <w:r>
        <w:t>). This situation has the potential to create confusion in our encoding, whose minimal units are always source graphemes. This section addresses that confusion in order to pre-empt it.</w:t>
      </w:r>
    </w:p>
    <w:p w14:paraId="61881DAF" w14:textId="77777777">
      <w:pPr>
        <w:pStyle w:val="Cmsor3"/>
      </w:pPr>
      <w:bookmarkStart w:id="1121" w:name="_Ref232085052"/>
      <w:bookmarkStart w:id="1122" w:name="_Toc243900479"/>
      <w:r>
        <w:t>Grapholinguistic recap</w:t>
      </w:r>
      <w:bookmarkEnd w:id="1121"/>
      <w:bookmarkEnd w:id="1122"/>
    </w:p>
    <w:p w14:paraId="3DE79A64" w14:textId="77777777">
      <w:pPr>
        <w:pStyle w:val="Lista"/>
      </w:pPr>
      <w:r>
        <w:t>recall from TG §2.3.1 that graphemes are signifiers of minimal units of abstract linguistic information pertaining to a given domain of analytic interest</w:t>
      </w:r>
    </w:p>
    <w:p w14:paraId="791AC3AB" w14:textId="77777777">
      <w:pPr>
        <w:pStyle w:val="Lista2"/>
      </w:pPr>
      <w:r>
        <w:t>phonographic graphemes, which comprise most of our texts, are signifiers of information pertaining to abstract archetypal phonemes, whose mapping to the actual phonemes of spoken language depends on varyingly complex rules in the Indic writing systems of various languages</w:t>
      </w:r>
    </w:p>
    <w:p w14:paraId="12D1730E" w14:textId="77777777">
      <w:pPr>
        <w:pStyle w:val="Lista2"/>
      </w:pPr>
      <w:r>
        <w:t>for reasons discussed in the TG, among the phonographic graphemes of Indic writing systems we recognise not only the straightforward “letters” such as &lt;u&gt; and &lt;k&gt;, but also</w:t>
      </w:r>
    </w:p>
    <w:p w14:paraId="0837A459" w14:textId="77777777">
      <w:pPr>
        <w:pStyle w:val="Lista3"/>
      </w:pPr>
      <w:r>
        <w:lastRenderedPageBreak/>
        <w:t>the inherent vowel &lt;a&gt; (TG §2.3.2.1), even though it does not correspond to an isolable graphic sign</w:t>
      </w:r>
    </w:p>
    <w:p w14:paraId="59A8B004" w14:textId="77777777">
      <w:pPr>
        <w:pStyle w:val="Lista3"/>
      </w:pPr>
      <w:r>
        <w:t xml:space="preserve">the vowel killer </w:t>
      </w:r>
      <w:r>
        <w:rPr>
          <w:rStyle w:val="Foreign"/>
        </w:rPr>
        <w:t>virāma</w:t>
      </w:r>
      <w:r>
        <w:t xml:space="preserve"> &lt;·&gt; (TG §2.6.3)</w:t>
      </w:r>
    </w:p>
    <w:p w14:paraId="37756072" w14:textId="77777777">
      <w:pPr>
        <w:pStyle w:val="Lista"/>
      </w:pPr>
      <w:r>
        <w:t>recall from TG §2.3.1 that a grapheme is an emic (i.e. abstract) entity, not an actual graphic sign</w:t>
      </w:r>
    </w:p>
    <w:p w14:paraId="2D01CAD5" w14:textId="77777777">
      <w:pPr>
        <w:pStyle w:val="Lista2"/>
      </w:pPr>
      <w:r>
        <w:t>the etic (concrete) graphic signs corresponding to graphemes are called graphs</w:t>
      </w:r>
    </w:p>
    <w:p w14:paraId="38CF29EB" w14:textId="77777777">
      <w:pPr>
        <w:pStyle w:val="Lista"/>
      </w:pPr>
      <w:r>
        <w:t>recall from TG §2.4.1 that the autonomous graphic segments of writing are what we call characters</w:t>
      </w:r>
    </w:p>
    <w:p w14:paraId="7E87DC5B" w14:textId="77777777">
      <w:pPr>
        <w:pStyle w:val="Lista2"/>
      </w:pPr>
      <w:r>
        <w:t>characters are not the same as graphemes: the two normally coincide in the Latin writing system but tend not to coincide in the Indic writing system</w:t>
      </w:r>
    </w:p>
    <w:p w14:paraId="3D1D93E8" w14:textId="77777777">
      <w:pPr>
        <w:pStyle w:val="Lista2"/>
      </w:pPr>
      <w:r>
        <w:t xml:space="preserve">the characters of the Indic writing system, called </w:t>
      </w:r>
      <w:r>
        <w:rPr>
          <w:rStyle w:val="Foreign"/>
        </w:rPr>
        <w:t>akṣara</w:t>
      </w:r>
      <w:r>
        <w:rPr>
          <w:rStyle w:val="Foreign"/>
          <w:i w:val="0"/>
          <w:iCs w:val="0"/>
        </w:rPr>
        <w:t>s</w:t>
      </w:r>
      <w:r>
        <w:t xml:space="preserve"> in Sanskrit, are thus </w:t>
      </w:r>
      <w:r>
        <w:rPr>
          <w:i/>
          <w:iCs/>
        </w:rPr>
        <w:t>not</w:t>
      </w:r>
      <w:r>
        <w:t xml:space="preserve"> graphemes (TG §2.3.1.1)</w:t>
      </w:r>
    </w:p>
    <w:p w14:paraId="32C00712" w14:textId="77777777">
      <w:pPr>
        <w:pStyle w:val="Lista3"/>
      </w:pPr>
      <w:r>
        <w:t xml:space="preserve">typical </w:t>
      </w:r>
      <w:r>
        <w:rPr>
          <w:rStyle w:val="Foreign"/>
        </w:rPr>
        <w:t>akṣara</w:t>
      </w:r>
      <w:r>
        <w:rPr>
          <w:rStyle w:val="Foreign"/>
          <w:i w:val="0"/>
          <w:iCs w:val="0"/>
        </w:rPr>
        <w:t>s</w:t>
      </w:r>
      <w:r>
        <w:t xml:space="preserve"> such as &lt;ka&gt; and </w:t>
      </w:r>
      <w:r>
        <w:rPr>
          <w:noProof/>
        </w:rPr>
        <w:t>&lt;rddhe&gt;</w:t>
      </w:r>
      <w:r>
        <w:t xml:space="preserve"> are comprised of two or more graphemes</w:t>
      </w:r>
    </w:p>
    <w:p w14:paraId="0BDC0493" w14:textId="77777777">
      <w:pPr>
        <w:pStyle w:val="Lista3"/>
      </w:pPr>
      <w:r>
        <w:t xml:space="preserve">although some </w:t>
      </w:r>
      <w:r>
        <w:rPr>
          <w:rStyle w:val="Foreign"/>
        </w:rPr>
        <w:t>akṣara</w:t>
      </w:r>
      <w:r>
        <w:rPr>
          <w:noProof/>
        </w:rPr>
        <w:t>s</w:t>
      </w:r>
      <w:r>
        <w:t>, such as &lt;A&gt; and &lt;K&gt; are comprised of a single grapheme</w:t>
      </w:r>
    </w:p>
    <w:p w14:paraId="12A83660" w14:textId="77777777">
      <w:pPr>
        <w:pStyle w:val="Lista"/>
      </w:pPr>
      <w:r>
        <w:t xml:space="preserve">digraphs, such as </w:t>
      </w:r>
      <w:r>
        <w:rPr>
          <w:rStyle w:val="Foreign"/>
        </w:rPr>
        <w:t>au</w:t>
      </w:r>
      <w:r>
        <w:t xml:space="preserve"> and </w:t>
      </w:r>
      <w:r>
        <w:rPr>
          <w:rStyle w:val="Foreign"/>
        </w:rPr>
        <w:t>kh</w:t>
      </w:r>
      <w:r>
        <w:t xml:space="preserve"> in our transliteration scheme or </w:t>
      </w:r>
      <w:r>
        <w:rPr>
          <w:rStyle w:val="Foreign"/>
        </w:rPr>
        <w:t>sh</w:t>
      </w:r>
      <w:r>
        <w:t xml:space="preserve"> and </w:t>
      </w:r>
      <w:r>
        <w:rPr>
          <w:rStyle w:val="Foreign"/>
        </w:rPr>
        <w:t>th</w:t>
      </w:r>
      <w:r>
        <w:t xml:space="preserve"> in the English writing system, are neither graphemes nor characters</w:t>
      </w:r>
    </w:p>
    <w:p w14:paraId="5A3AB27A" w14:textId="77777777">
      <w:pPr>
        <w:pStyle w:val="Lista2"/>
      </w:pPr>
      <w:r>
        <w:t>instead, they are simply clusters of graphemes (and, in the Latin writing system, of characters) which, when occurring together, are mapped to a particular spoken phoneme</w:t>
      </w:r>
    </w:p>
    <w:p w14:paraId="18DDD59A" w14:textId="77777777">
      <w:pPr>
        <w:pStyle w:val="Lista2"/>
      </w:pPr>
      <w:r>
        <w:t xml:space="preserve">however, the digraphs of our transliteration </w:t>
      </w:r>
      <w:r>
        <w:rPr>
          <w:i/>
          <w:iCs/>
        </w:rPr>
        <w:t>represent</w:t>
      </w:r>
      <w:r>
        <w:t xml:space="preserve"> single source graphemes, such as the graphemes &lt;au&gt; and </w:t>
      </w:r>
      <w:r>
        <w:rPr>
          <w:noProof/>
        </w:rPr>
        <w:t>&lt;kh&gt;</w:t>
      </w:r>
      <w:r>
        <w:t xml:space="preserve"> of the Indic writing system</w:t>
      </w:r>
    </w:p>
    <w:p w14:paraId="11584246" w14:textId="77777777">
      <w:pPr>
        <w:pStyle w:val="Lista"/>
      </w:pPr>
      <w:r>
        <w:t>like graphemes, characters are emic units</w:t>
      </w:r>
    </w:p>
    <w:p w14:paraId="01F33C4B" w14:textId="77777777">
      <w:pPr>
        <w:pStyle w:val="Lista2"/>
      </w:pPr>
      <w:r>
        <w:t>their etic counterparts, i.e. their concrete written manifestations, are called glyphs</w:t>
      </w:r>
    </w:p>
    <w:p w14:paraId="6B5CB9F2" w14:textId="77777777">
      <w:pPr>
        <w:pStyle w:val="Lista2"/>
      </w:pPr>
      <w:r>
        <w:t xml:space="preserve">the term </w:t>
      </w:r>
      <w:r>
        <w:rPr>
          <w:rStyle w:val="Foreign"/>
        </w:rPr>
        <w:t>akṣara</w:t>
      </w:r>
      <w:r>
        <w:t xml:space="preserve"> may refer either to a character or a glyph of the Indic writing system</w:t>
      </w:r>
    </w:p>
    <w:p w14:paraId="5F567BAA" w14:textId="77777777">
      <w:pPr>
        <w:pStyle w:val="Lista"/>
      </w:pPr>
      <w:r>
        <w:t>as discussed in TG §2.4.3, the Indic writing system’s characters and glyphs can both be complex, and the former (graphemic complexity) and the latter (graphetic complexity) do not always coincide, although they usually do so</w:t>
      </w:r>
    </w:p>
    <w:p w14:paraId="13D3182E" w14:textId="77777777">
      <w:pPr>
        <w:pStyle w:val="Lista"/>
      </w:pPr>
      <w:r>
        <w:t>the constituent graphs of complex glyphs can themselves consist of several parts, which we call graphic elements or simply elements</w:t>
      </w:r>
    </w:p>
    <w:p w14:paraId="24535403" w14:textId="77777777">
      <w:pPr>
        <w:pStyle w:val="Lista2"/>
      </w:pPr>
      <w:r>
        <w:t>graphic elements are not graphs because they do not manifest graphemes, i.e. they do not signify linguistic information in a given domain of analytic interest</w:t>
      </w:r>
    </w:p>
    <w:p w14:paraId="2BCAAC84" w14:textId="77777777">
      <w:pPr>
        <w:pStyle w:val="Lista2"/>
      </w:pPr>
      <w:r>
        <w:t>some graphic elements can, however, look identical to certain graphs because of the phenomenon called dual patterning (TG §2.4.4.1)</w:t>
      </w:r>
    </w:p>
    <w:p w14:paraId="19490AFD" w14:textId="77777777">
      <w:pPr>
        <w:pStyle w:val="Lista3"/>
      </w:pPr>
      <w:r>
        <w:t xml:space="preserve">for example, Devanagari </w:t>
      </w:r>
      <w:r>
        <w:rPr>
          <w:rFonts w:cs="Latha"/>
          <w:lang w:bidi="ta-IN"/>
        </w:rPr>
        <w:t>|</w:t>
      </w:r>
      <w:r>
        <w:rPr>
          <w:rStyle w:val="ForeignDevanagariScript0"/>
          <w:rFonts w:hint="cs"/>
          <w:cs/>
        </w:rPr>
        <w:t>ा</w:t>
      </w:r>
      <w:r>
        <w:rPr>
          <w:rFonts w:cs="Latha"/>
          <w:lang w:bidi="ta-IN"/>
        </w:rPr>
        <w:t>|</w:t>
      </w:r>
      <w:r>
        <w:t xml:space="preserve"> is a graph</w:t>
      </w:r>
      <w:r>
        <w:rPr>
          <w:rFonts w:hint="cs"/>
          <w:cs/>
        </w:rPr>
        <w:t xml:space="preserve"> </w:t>
      </w:r>
      <w:r>
        <w:t xml:space="preserve">(corresponding to the grapheme &lt;ā&gt;) in the glyph </w:t>
      </w:r>
      <w:r>
        <w:rPr>
          <w:rFonts w:cs="Latha"/>
          <w:lang w:bidi="ta-IN"/>
        </w:rPr>
        <w:t>|</w:t>
      </w:r>
      <w:r>
        <w:rPr>
          <w:rStyle w:val="ForeignDevanagariScript0"/>
          <w:rFonts w:hint="cs"/>
          <w:cs/>
        </w:rPr>
        <w:t>का</w:t>
      </w:r>
      <w:r>
        <w:rPr>
          <w:rFonts w:cs="Latha"/>
          <w:lang w:bidi="ta-IN"/>
        </w:rPr>
        <w:t>|</w:t>
      </w:r>
      <w:r>
        <w:t xml:space="preserve"> (corresponding to the character </w:t>
      </w:r>
      <w:r>
        <w:rPr>
          <w:noProof/>
        </w:rPr>
        <w:t>&lt;kā&gt;</w:t>
      </w:r>
      <w:r>
        <w:t>)</w:t>
      </w:r>
    </w:p>
    <w:p w14:paraId="223746E2" w14:textId="77777777">
      <w:pPr>
        <w:pStyle w:val="Lista3"/>
      </w:pPr>
      <w:r>
        <w:t xml:space="preserve">but in the glyph </w:t>
      </w:r>
      <w:r>
        <w:rPr>
          <w:rFonts w:cs="Latha"/>
          <w:lang w:bidi="ta-IN"/>
        </w:rPr>
        <w:t>|</w:t>
      </w:r>
      <w:r>
        <w:rPr>
          <w:rStyle w:val="ForeignDevanagariScript0"/>
          <w:rFonts w:hint="cs"/>
          <w:cs/>
        </w:rPr>
        <w:t>को</w:t>
      </w:r>
      <w:r>
        <w:rPr>
          <w:rFonts w:cs="Latha"/>
          <w:lang w:bidi="ta-IN"/>
        </w:rPr>
        <w:t xml:space="preserve">| (&lt;ko&gt;), </w:t>
      </w:r>
      <w:r>
        <w:t xml:space="preserve">the same shape </w:t>
      </w:r>
      <w:r>
        <w:rPr>
          <w:rFonts w:cs="Latha"/>
          <w:lang w:bidi="ta-IN"/>
        </w:rPr>
        <w:t>|</w:t>
      </w:r>
      <w:r>
        <w:rPr>
          <w:rStyle w:val="ForeignDevanagariScript0"/>
          <w:rFonts w:hint="cs"/>
          <w:cs/>
        </w:rPr>
        <w:t>ा</w:t>
      </w:r>
      <w:r>
        <w:rPr>
          <w:rFonts w:cs="Latha"/>
          <w:lang w:bidi="ta-IN"/>
        </w:rPr>
        <w:t>|</w:t>
      </w:r>
      <w:r>
        <w:t xml:space="preserve"> is merely an element (of the graph </w:t>
      </w:r>
      <w:r>
        <w:rPr>
          <w:rFonts w:cs="Latha"/>
          <w:lang w:bidi="ta-IN"/>
        </w:rPr>
        <w:t>|</w:t>
      </w:r>
      <w:r>
        <w:rPr>
          <w:rStyle w:val="ForeignDevanagariScript0"/>
          <w:rFonts w:hint="cs"/>
          <w:cs/>
        </w:rPr>
        <w:t>ो</w:t>
      </w:r>
      <w:r>
        <w:rPr>
          <w:rFonts w:cs="Latha"/>
          <w:lang w:bidi="ta-IN"/>
        </w:rPr>
        <w:t>| corresponding to the grapheme &lt;o&gt;)</w:t>
      </w:r>
    </w:p>
    <w:p w14:paraId="3DA6FDB4" w14:textId="77777777">
      <w:pPr>
        <w:pStyle w:val="Lista3"/>
      </w:pPr>
      <w:r>
        <w:rPr>
          <w:rFonts w:cs="Latha"/>
          <w:lang w:bidi="ta-IN"/>
        </w:rPr>
        <w:t>analogously, Latin |l| in itself is a graph (corresponding to the grapheme &lt;l&gt;), but in the graph |k| the same shape |l|</w:t>
      </w:r>
      <w:r>
        <w:t xml:space="preserve"> is merely an element</w:t>
      </w:r>
    </w:p>
    <w:p w14:paraId="4A5FC5AC" w14:textId="77777777">
      <w:pPr>
        <w:pStyle w:val="Cmsor3"/>
      </w:pPr>
      <w:bookmarkStart w:id="1123" w:name="_Toc243900480"/>
      <w:r>
        <w:t>Encoding Indic documents in Romanised transliteration</w:t>
      </w:r>
      <w:bookmarkEnd w:id="1123"/>
    </w:p>
    <w:p w14:paraId="572F24CF" w14:textId="77777777">
      <w:r>
        <w:t>The minimal units of our encoding are always source graphemes, meaning that encoding can never apply to anything that is smaller than a source grapheme, and alterations to the text below the level of source graphemes must be represented as alterations at the level of source graphemes. In the light of the grapholinguistic concepts summarised in §</w:t>
      </w:r>
      <w:r>
        <w:fldChar w:fldCharType="begin"/>
      </w:r>
      <w:r>
        <w:instrText xml:space="preserve"> REF _Ref232085052 \r \h </w:instrText>
      </w:r>
      <w:r>
        <w:fldChar w:fldCharType="separate"/>
      </w:r>
      <w:r>
        <w:t>16.3.1</w:t>
      </w:r>
      <w:r>
        <w:fldChar w:fldCharType="end"/>
      </w:r>
      <w:r>
        <w:t xml:space="preserve"> above, this has the following implications. Because encoding a change in the text is most prone to confusion over graphemic units, the potential problems are also discussed separately and explicitly for the encoding of scribal intervention (§</w:t>
      </w:r>
      <w:r>
        <w:fldChar w:fldCharType="begin"/>
      </w:r>
      <w:r>
        <w:instrText xml:space="preserve"> REF _Ref228890328 \r \h </w:instrText>
      </w:r>
      <w:r>
        <w:fldChar w:fldCharType="separate"/>
      </w:r>
      <w:r>
        <w:t>5.5.4</w:t>
      </w:r>
      <w:r>
        <w:fldChar w:fldCharType="end"/>
      </w:r>
      <w:r>
        <w:t>) and editorial intervention (§</w:t>
      </w:r>
      <w:r>
        <w:fldChar w:fldCharType="begin"/>
      </w:r>
      <w:r>
        <w:instrText xml:space="preserve"> REF _Ref228952859 \r \h </w:instrText>
      </w:r>
      <w:r>
        <w:fldChar w:fldCharType="separate"/>
      </w:r>
      <w:r>
        <w:t>7.7.1</w:t>
      </w:r>
      <w:r>
        <w:fldChar w:fldCharType="end"/>
      </w:r>
      <w:r>
        <w:t>).</w:t>
      </w:r>
    </w:p>
    <w:p w14:paraId="46A4046C" w14:textId="77777777">
      <w:pPr>
        <w:pStyle w:val="Lista"/>
      </w:pPr>
      <w:r>
        <w:t xml:space="preserve">encoding </w:t>
      </w:r>
      <w:r>
        <w:rPr>
          <w:i/>
          <w:iCs/>
        </w:rPr>
        <w:t xml:space="preserve">cannot </w:t>
      </w:r>
      <w:r>
        <w:t xml:space="preserve">apply to individual target graphemes which are members of a digraph in our transliteration system, such as </w:t>
      </w:r>
      <w:r>
        <w:rPr>
          <w:rStyle w:val="Foreign"/>
        </w:rPr>
        <w:t>au</w:t>
      </w:r>
      <w:r>
        <w:t xml:space="preserve"> and </w:t>
      </w:r>
      <w:r>
        <w:rPr>
          <w:rStyle w:val="Foreign"/>
        </w:rPr>
        <w:t>kh</w:t>
      </w:r>
    </w:p>
    <w:p w14:paraId="1D4A7A4E" w14:textId="77777777">
      <w:pPr>
        <w:pStyle w:val="Lista2"/>
      </w:pPr>
      <w:r>
        <w:t>digraphs are for our purposes atomic units, as their members do not, in themselves, represent a source grapheme</w:t>
      </w:r>
    </w:p>
    <w:p w14:paraId="4D42B85C" w14:textId="77777777">
      <w:pPr>
        <w:pStyle w:val="Lista2"/>
      </w:pPr>
      <w:r>
        <w:t xml:space="preserve">for example, the glyphs for &lt;pa&gt; and </w:t>
      </w:r>
      <w:r>
        <w:rPr>
          <w:noProof/>
        </w:rPr>
        <w:t>&lt;pha&gt;</w:t>
      </w:r>
      <w:r>
        <w:t xml:space="preserve"> look rather similar in many Indic scripts, but in a hypothetical situation where the editor is uncertain which of these was inscribed, encoding </w:t>
      </w:r>
      <w:r>
        <w:rPr>
          <w:rStyle w:val="Codetext"/>
        </w:rPr>
        <w:t>p</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h</w:t>
      </w:r>
      <w:r>
        <w:rPr>
          <w:rStyle w:val="Code"/>
        </w:rPr>
        <w:t>&lt;/unclear&gt;</w:t>
      </w:r>
      <w:r>
        <w:rPr>
          <w:rStyle w:val="Codetext"/>
        </w:rPr>
        <w:t>a</w:t>
      </w:r>
      <w:r>
        <w:t xml:space="preserve"> is </w:t>
      </w:r>
      <w:r>
        <w:rPr>
          <w:i/>
          <w:iCs/>
        </w:rPr>
        <w:t>not</w:t>
      </w:r>
      <w:r>
        <w:t xml:space="preserve"> an option</w:t>
      </w:r>
    </w:p>
    <w:p w14:paraId="13A779D7" w14:textId="77777777">
      <w:pPr>
        <w:pStyle w:val="Lista3"/>
      </w:pPr>
      <w:r>
        <w:t>(instead, encode the more likely reading as unclear or both as an ambivalent choice)</w:t>
      </w:r>
    </w:p>
    <w:p w14:paraId="1AF9ED79" w14:textId="77777777">
      <w:pPr>
        <w:pStyle w:val="Lista"/>
      </w:pPr>
      <w:r>
        <w:lastRenderedPageBreak/>
        <w:t xml:space="preserve">encoding </w:t>
      </w:r>
      <w:r>
        <w:rPr>
          <w:i/>
          <w:iCs/>
        </w:rPr>
        <w:t xml:space="preserve">can </w:t>
      </w:r>
      <w:r>
        <w:t>apply to source graphemes which are components of a complex character in the source, even if it would be impossible to single them out in the original script</w:t>
      </w:r>
    </w:p>
    <w:p w14:paraId="0117EF90" w14:textId="77777777">
      <w:pPr>
        <w:pStyle w:val="Lista2"/>
      </w:pPr>
      <w:r>
        <w:t xml:space="preserve">while a printed edition in an Indic script such as Devanagari often applies editorial markup (such as brackets) to entire </w:t>
      </w:r>
      <w:r>
        <w:rPr>
          <w:rStyle w:val="Foreign"/>
        </w:rPr>
        <w:t>akṣara</w:t>
      </w:r>
      <w:r>
        <w:rPr>
          <w:rStyle w:val="Foreign"/>
          <w:i w:val="0"/>
          <w:iCs w:val="0"/>
        </w:rPr>
        <w:t>s</w:t>
      </w:r>
      <w:r>
        <w:t xml:space="preserve">, this need not and should not be done in a digital edition of a transliterated text unless of course the markup in question is applicable to all the graphemes of an </w:t>
      </w:r>
      <w:r>
        <w:rPr>
          <w:rStyle w:val="Foreign"/>
        </w:rPr>
        <w:t>akṣara</w:t>
      </w:r>
    </w:p>
    <w:p w14:paraId="0E4E080F" w14:textId="77777777">
      <w:pPr>
        <w:pStyle w:val="Lista2"/>
        <w:rPr>
          <w:rStyle w:val="Codetext"/>
          <w:rFonts w:ascii="Gentium" w:hAnsi="Gentium" w:cs="Tiro Devanagari Sanskrit"/>
          <w:noProof w:val="0"/>
          <w:color w:val="auto"/>
          <w:shd w:val="clear" w:color="auto" w:fill="auto"/>
        </w:rPr>
      </w:pPr>
      <w:r>
        <w:t xml:space="preserve">for example, if the subscript part of the glyph |dvi| is unclear while the rest of it is clear, the correct encoding is </w:t>
      </w:r>
      <w:r>
        <w:rPr>
          <w:rStyle w:val="Codetext"/>
        </w:rPr>
        <w:t>d</w:t>
      </w:r>
      <w:r>
        <w:rPr>
          <w:rStyle w:val="Code"/>
        </w:rPr>
        <w:t>&lt;unclear&gt;</w:t>
      </w:r>
      <w:r>
        <w:rPr>
          <w:rStyle w:val="Codetext"/>
        </w:rPr>
        <w:t>v</w:t>
      </w:r>
      <w:r>
        <w:rPr>
          <w:rStyle w:val="Code"/>
        </w:rPr>
        <w:t>&lt;/unclear&gt;</w:t>
      </w:r>
      <w:r>
        <w:rPr>
          <w:rStyle w:val="Codetext"/>
        </w:rPr>
        <w:t>i</w:t>
      </w:r>
      <w:r>
        <w:t xml:space="preserve">, and </w:t>
      </w:r>
      <w:r>
        <w:rPr>
          <w:i/>
          <w:iCs/>
        </w:rPr>
        <w:t>not</w:t>
      </w:r>
      <w:r>
        <w:t xml:space="preserve"> </w:t>
      </w:r>
      <w:r>
        <w:rPr>
          <w:rStyle w:val="Code"/>
        </w:rPr>
        <w:t>&lt;unclear&gt;</w:t>
      </w:r>
      <w:r>
        <w:rPr>
          <w:rStyle w:val="Codetext"/>
        </w:rPr>
        <w:t>dvi</w:t>
      </w:r>
      <w:r>
        <w:rPr>
          <w:rStyle w:val="Code"/>
        </w:rPr>
        <w:t>&lt;/unclear&gt;</w:t>
      </w:r>
    </w:p>
    <w:p w14:paraId="6297E963" w14:textId="77777777">
      <w:pPr>
        <w:pStyle w:val="Lista"/>
      </w:pPr>
      <w:r>
        <w:t xml:space="preserve">when encoding scribal and editorial intervention, modifications that involve the addition or deletion of a source graph (such as a vowel marker or a </w:t>
      </w:r>
      <w:r>
        <w:rPr>
          <w:rStyle w:val="Foreign"/>
        </w:rPr>
        <w:t>virāma</w:t>
      </w:r>
      <w:r>
        <w:t>) cannot be encoded as addition or deletion because on the graphemic level it results in the swapping of one grapheme for another</w:t>
      </w:r>
    </w:p>
    <w:p w14:paraId="78E15A4F" w14:textId="77777777">
      <w:pPr>
        <w:pStyle w:val="Lista2"/>
      </w:pPr>
      <w:r>
        <w:t xml:space="preserve">instead, they must be encoded as a substitution (of the inherent vowel with another vowel or the </w:t>
      </w:r>
      <w:r>
        <w:rPr>
          <w:rStyle w:val="Foreign"/>
        </w:rPr>
        <w:t>virāma</w:t>
      </w:r>
      <w:r>
        <w:t>, or vice versa), as discussed in more detail with examples in §</w:t>
      </w:r>
      <w:r>
        <w:fldChar w:fldCharType="begin"/>
      </w:r>
      <w:r>
        <w:instrText xml:space="preserve"> REF _Ref228890328 \r \h </w:instrText>
      </w:r>
      <w:r>
        <w:fldChar w:fldCharType="separate"/>
      </w:r>
      <w:r>
        <w:t>5.5.4</w:t>
      </w:r>
      <w:r>
        <w:fldChar w:fldCharType="end"/>
      </w:r>
      <w:r>
        <w:t xml:space="preserve"> and §</w:t>
      </w:r>
      <w:r>
        <w:fldChar w:fldCharType="begin"/>
      </w:r>
      <w:r>
        <w:instrText xml:space="preserve"> REF _Ref228952859 \r \h </w:instrText>
      </w:r>
      <w:r>
        <w:fldChar w:fldCharType="separate"/>
      </w:r>
      <w:r>
        <w:t>7.7.1</w:t>
      </w:r>
      <w:r>
        <w:fldChar w:fldCharType="end"/>
      </w:r>
    </w:p>
    <w:p w14:paraId="78527B09" w14:textId="77777777">
      <w:pPr>
        <w:pStyle w:val="Lista"/>
      </w:pPr>
      <w:r>
        <w:t xml:space="preserve">because our transliteration treats the independent forms of vowels and consonants as graphemes distinct from their </w:t>
      </w:r>
      <w:r>
        <w:rPr>
          <w:noProof/>
        </w:rPr>
        <w:t>in-</w:t>
      </w:r>
      <w:r>
        <w:rPr>
          <w:rStyle w:val="Foreign"/>
        </w:rPr>
        <w:t>akṣara</w:t>
      </w:r>
      <w:r>
        <w:t xml:space="preserve"> forms, when encoding editorial intervention, modifications that involve the addition or deletion of a grapheme may require an adjacent grapheme to be changed from its </w:t>
      </w:r>
      <w:r>
        <w:rPr>
          <w:noProof/>
        </w:rPr>
        <w:t>in-</w:t>
      </w:r>
      <w:r>
        <w:rPr>
          <w:rStyle w:val="Foreign"/>
        </w:rPr>
        <w:t>akṣara</w:t>
      </w:r>
      <w:r>
        <w:t xml:space="preserve"> form to its independent form or vice versa</w:t>
      </w:r>
    </w:p>
    <w:p w14:paraId="0F470FAB" w14:textId="77777777">
      <w:pPr>
        <w:pStyle w:val="Lista2"/>
      </w:pPr>
      <w:r>
        <w:t>this is discussed in more detail with examples in §</w:t>
      </w:r>
      <w:r>
        <w:fldChar w:fldCharType="begin"/>
      </w:r>
      <w:r>
        <w:instrText xml:space="preserve"> REF _Ref228952859 \r \h </w:instrText>
      </w:r>
      <w:r>
        <w:fldChar w:fldCharType="separate"/>
      </w:r>
      <w:r>
        <w:t>7.7.1</w:t>
      </w:r>
      <w:r>
        <w:fldChar w:fldCharType="end"/>
      </w:r>
    </w:p>
    <w:bookmarkEnd w:id="1120"/>
    <w:p w14:paraId="4F8D1E40" w14:textId="2FFBD2D5">
      <w:pPr>
        <w:pStyle w:val="Cm"/>
      </w:pPr>
      <w:r>
        <w:lastRenderedPageBreak/>
        <w:t>Appendices</w:t>
      </w:r>
      <w:bookmarkStart w:id="1124" w:name="_qidxc825gutk" w:colFirst="0" w:colLast="0"/>
      <w:bookmarkEnd w:id="1124"/>
    </w:p>
    <w:p w14:paraId="73CE6B51" w14:textId="77777777">
      <w:pPr>
        <w:pStyle w:val="Cmsor1"/>
        <w:numPr>
          <w:ilvl w:val="0"/>
          <w:numId w:val="7"/>
        </w:numPr>
      </w:pPr>
      <w:bookmarkStart w:id="1125" w:name="_9d8e21ca9gia" w:colFirst="0" w:colLast="0"/>
      <w:bookmarkStart w:id="1126" w:name="_Ref43985466"/>
      <w:bookmarkStart w:id="1127" w:name="_Toc243900481"/>
      <w:bookmarkEnd w:id="1125"/>
      <w:r>
        <w:lastRenderedPageBreak/>
        <w:t>Case Studies in encoding complex layout</w:t>
      </w:r>
      <w:bookmarkEnd w:id="1126"/>
      <w:bookmarkEnd w:id="1127"/>
    </w:p>
    <w:p w14:paraId="50F7FC1C" w14:textId="77777777">
      <w:pPr>
        <w:pStyle w:val="Cmsor2"/>
        <w:numPr>
          <w:ilvl w:val="1"/>
          <w:numId w:val="7"/>
        </w:numPr>
      </w:pPr>
      <w:bookmarkStart w:id="1128" w:name="_fxhw8prafv6z" w:colFirst="0" w:colLast="0"/>
      <w:bookmarkStart w:id="1129" w:name="_Ref239844299"/>
      <w:bookmarkStart w:id="1130" w:name="_Toc243900482"/>
      <w:bookmarkEnd w:id="1128"/>
      <w:r>
        <w:t>Slab in two non-contiguous fragments</w:t>
      </w:r>
      <w:bookmarkEnd w:id="1129"/>
      <w:bookmarkEnd w:id="1130"/>
    </w:p>
    <w:p w14:paraId="548F9769" w14:textId="77777777">
      <w:pPr>
        <w:pStyle w:val="Image"/>
      </w:pPr>
      <w:r>
        <w:drawing>
          <wp:inline distT="0" distB="0" distL="0" distR="0" wp14:anchorId="3737A8AA" wp14:editId="2023F330">
            <wp:extent cx="4497070" cy="3056890"/>
            <wp:effectExtent l="0" t="0" r="0" b="0"/>
            <wp:docPr id="277679417"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97070" cy="3056890"/>
                    </a:xfrm>
                    <a:prstGeom prst="rect">
                      <a:avLst/>
                    </a:prstGeom>
                    <a:noFill/>
                    <a:ln>
                      <a:noFill/>
                    </a:ln>
                  </pic:spPr>
                </pic:pic>
              </a:graphicData>
            </a:graphic>
          </wp:inline>
        </w:drawing>
      </w:r>
    </w:p>
    <w:p w14:paraId="23B07DCC" w14:textId="77777777">
      <w:pPr>
        <w:pStyle w:val="Lista"/>
      </w:pPr>
      <w:r>
        <w:t>here we have two fragments of a slab, which are clearly from the top and bottom of a single inscription, but there is no way to know how much text is lost between the two</w:t>
      </w:r>
    </w:p>
    <w:p w14:paraId="44D6CF1B" w14:textId="77777777">
      <w:pPr>
        <w:pStyle w:val="Lista"/>
      </w:pPr>
      <w:r>
        <w:t>therefore the fragments have been encoded as textpart divisions as per §</w:t>
      </w:r>
      <w:r>
        <w:fldChar w:fldCharType="begin"/>
      </w:r>
      <w:r>
        <w:instrText xml:space="preserve"> REF _Ref225346692 \r \h </w:instrText>
      </w:r>
      <w:r>
        <w:fldChar w:fldCharType="separate"/>
      </w:r>
      <w:r>
        <w:t>4.7.3.2</w:t>
      </w:r>
      <w:r>
        <w:fldChar w:fldCharType="end"/>
      </w:r>
    </w:p>
    <w:p w14:paraId="7FD40A08" w14:textId="77777777">
      <w:pPr>
        <w:pStyle w:val="Lista"/>
      </w:pPr>
      <w:r>
        <w:t>the lost text in between is not encoded, as per §</w:t>
      </w:r>
      <w:r>
        <w:fldChar w:fldCharType="begin"/>
      </w:r>
      <w:r>
        <w:instrText xml:space="preserve"> REF _Ref43981711 \w \h  \* MERGEFORMAT </w:instrText>
      </w:r>
      <w:r>
        <w:fldChar w:fldCharType="separate"/>
      </w:r>
      <w:r>
        <w:t>6.5.4</w:t>
      </w:r>
      <w:r>
        <w:fldChar w:fldCharType="end"/>
      </w:r>
    </w:p>
    <w:p w14:paraId="0491E333" w14:textId="77777777">
      <w:pPr>
        <w:pStyle w:val="Lista"/>
      </w:pPr>
      <w:r>
        <w:t>the incomplete semantic paragraphs are encoded as per §</w:t>
      </w:r>
      <w:r>
        <w:fldChar w:fldCharType="begin"/>
      </w:r>
      <w:r>
        <w:instrText xml:space="preserve"> REF _Ref228980509 \r \h </w:instrText>
      </w:r>
      <w:r>
        <w:fldChar w:fldCharType="separate"/>
      </w:r>
      <w:r>
        <w:t>3.2.3.1</w:t>
      </w:r>
      <w:r>
        <w:fldChar w:fldCharType="end"/>
      </w:r>
      <w:r>
        <w:t xml:space="preserve"> </w:t>
      </w:r>
    </w:p>
    <w:p w14:paraId="6BC5CC9A" w14:textId="77777777">
      <w:pPr>
        <w:pStyle w:val="CodeParagraph"/>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"A"</w:t>
      </w:r>
      <w:r>
        <w:rPr>
          <w:rStyle w:val="Code"/>
        </w:rPr>
        <w:t>&gt;</w:t>
      </w:r>
      <w:r>
        <w:rPr>
          <w:rStyle w:val="Codetext"/>
        </w:rPr>
        <w:br/>
        <w:t xml:space="preserve">  </w:t>
      </w:r>
      <w:r>
        <w:rPr>
          <w:rStyle w:val="Code"/>
        </w:rPr>
        <w:t xml:space="preserve">&lt;p </w:t>
      </w:r>
      <w:r>
        <w:rPr>
          <w:rStyle w:val="Codeattribute"/>
        </w:rPr>
        <w:t>part</w:t>
      </w:r>
      <w:r>
        <w:rPr>
          <w:rStyle w:val="Code"/>
        </w:rPr>
        <w:t>=</w:t>
      </w:r>
      <w:r>
        <w:rPr>
          <w:rStyle w:val="Codevalue"/>
        </w:rPr>
        <w:t>"I"</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 a</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nasty, dirty, wet hole, filled with the ends of worms</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w:t>
      </w:r>
      <w:r>
        <w:rPr>
          <w:rStyle w:val="Code"/>
        </w:rPr>
        <w:t>&lt;unclear&gt;</w:t>
      </w:r>
      <w:r>
        <w:rPr>
          <w:rStyle w:val="Codetext"/>
        </w:rPr>
        <w:t>ol</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 xml:space="preserve">with nothing in it to </w:t>
      </w:r>
      <w:r>
        <w:rPr>
          <w:rStyle w:val="Code"/>
        </w:rPr>
        <w:t xml:space="preserve">&lt;unclear </w:t>
      </w:r>
      <w:r>
        <w:rPr>
          <w:rStyle w:val="Codeattribute"/>
        </w:rPr>
        <w:t>cert</w:t>
      </w:r>
      <w:r>
        <w:rPr>
          <w:rStyle w:val="Code"/>
        </w:rPr>
        <w:t>=</w:t>
      </w:r>
      <w:r>
        <w:rPr>
          <w:rStyle w:val="Codevalue"/>
        </w:rPr>
        <w:t>"low"</w:t>
      </w:r>
      <w:r>
        <w:rPr>
          <w:rStyle w:val="Code"/>
        </w:rPr>
        <w:t>&gt;</w:t>
      </w:r>
      <w:r>
        <w:rPr>
          <w:rStyle w:val="Codetext"/>
        </w:rPr>
        <w:t>sit</w:t>
      </w:r>
      <w:r>
        <w:rPr>
          <w:rStyle w:val="Code"/>
        </w:rPr>
        <w:t>&lt;/unclear&gt;</w:t>
      </w:r>
      <w:r>
        <w:rPr>
          <w:rStyle w:val="Codetext"/>
        </w:rPr>
        <w:t xml:space="preserve"> down on or to eat: it </w:t>
      </w:r>
      <w:r>
        <w:rPr>
          <w:rStyle w:val="Code"/>
        </w:rPr>
        <w:t>&lt;unclear&gt;</w:t>
      </w:r>
      <w:r>
        <w:rPr>
          <w:rStyle w:val="Codetext"/>
        </w:rPr>
        <w:t>w</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as a</w:t>
      </w:r>
      <w:r>
        <w:rPr>
          <w:rStyle w:val="Code"/>
        </w:rPr>
        <w:t>&lt;/supplied&gt;</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/&gt;</w:t>
      </w:r>
      <w:r>
        <w:rPr>
          <w:rStyle w:val="Codetext"/>
        </w:rPr>
        <w:t>hobbit-h</w:t>
      </w:r>
      <w:r>
        <w:rPr>
          <w:rStyle w:val="Code"/>
        </w:rPr>
        <w:t>&lt;unclear&gt;</w:t>
      </w:r>
      <w:r>
        <w:rPr>
          <w:rStyle w:val="Codetext"/>
        </w:rPr>
        <w:t>ol</w:t>
      </w:r>
      <w:r>
        <w:rPr>
          <w:rStyle w:val="Code"/>
        </w:rPr>
        <w:t xml:space="preserve">&lt;/unclear&gt;&lt;supplied </w:t>
      </w:r>
      <w:r>
        <w:rPr>
          <w:rStyle w:val="Codeattribute"/>
        </w:rPr>
        <w:t>reason</w:t>
      </w:r>
      <w:r>
        <w:rPr>
          <w:rStyle w:val="Code"/>
        </w:rPr>
        <w:t>=</w:t>
      </w:r>
      <w:r>
        <w:rPr>
          <w:rStyle w:val="Codevalue"/>
        </w:rPr>
        <w:t>"lost"</w:t>
      </w:r>
      <w:r>
        <w:rPr>
          <w:rStyle w:val="Code"/>
        </w:rPr>
        <w:t>&gt;</w:t>
      </w:r>
      <w:r>
        <w:rPr>
          <w:rStyle w:val="Codetext"/>
        </w:rPr>
        <w:t>e</w:t>
      </w:r>
      <w:r>
        <w:rPr>
          <w:rStyle w:val="Code"/>
        </w:rPr>
        <w:t>&lt;/supplied&gt;</w:t>
      </w:r>
      <w:r>
        <w:rPr>
          <w:rStyle w:val="Codetext"/>
        </w:rPr>
        <w:t xml:space="preserve"> </w:t>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"18"</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f</w:t>
      </w:r>
      <w:r>
        <w:rPr>
          <w:rStyle w:val="Code"/>
        </w:rPr>
        <w:t xml:space="preserve">&lt;/unclear&gt;&lt;gap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w:t>
      </w:r>
      <w:r>
        <w:rPr>
          <w:rStyle w:val="Codetext"/>
        </w:rPr>
        <w:br/>
        <w:t xml:space="preserve">  </w:t>
      </w:r>
      <w:r>
        <w:rPr>
          <w:rStyle w:val="Code"/>
        </w:rPr>
        <w:t>&lt;/p&gt;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subtype</w:t>
      </w:r>
      <w:r>
        <w:rPr>
          <w:rStyle w:val="Code"/>
        </w:rPr>
        <w:t>=</w:t>
      </w:r>
      <w:r>
        <w:rPr>
          <w:rStyle w:val="Codevalue"/>
        </w:rPr>
        <w:t>"fragment"</w:t>
      </w:r>
      <w:r>
        <w:rPr>
          <w:rStyle w:val="Code"/>
        </w:rPr>
        <w:t xml:space="preserve"> </w:t>
      </w:r>
      <w:r>
        <w:rPr>
          <w:rStyle w:val="Codeattribute"/>
        </w:rPr>
        <w:t>n</w:t>
      </w:r>
      <w:r>
        <w:rPr>
          <w:rStyle w:val="Code"/>
        </w:rPr>
        <w:t>=</w:t>
      </w:r>
      <w:r>
        <w:rPr>
          <w:rStyle w:val="Codevalue"/>
        </w:rPr>
        <w:t>"B"</w:t>
      </w:r>
      <w:r>
        <w:rPr>
          <w:rStyle w:val="Code"/>
        </w:rPr>
        <w:t>&gt;</w:t>
      </w:r>
      <w:r>
        <w:rPr>
          <w:rStyle w:val="Codetext"/>
        </w:rPr>
        <w:br/>
        <w:t xml:space="preserve">  </w:t>
      </w:r>
      <w:r>
        <w:rPr>
          <w:rStyle w:val="Code"/>
        </w:rPr>
        <w:t xml:space="preserve">&lt;p </w:t>
      </w:r>
      <w:r>
        <w:rPr>
          <w:rStyle w:val="Codeattribute"/>
        </w:rPr>
        <w:t>part</w:t>
      </w:r>
      <w:r>
        <w:rPr>
          <w:rStyle w:val="Code"/>
        </w:rPr>
        <w:t>=</w:t>
      </w:r>
      <w:r>
        <w:rPr>
          <w:rStyle w:val="Codevalue"/>
        </w:rPr>
        <w:t>"F"</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"12"</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w</w:t>
      </w:r>
      <w:r>
        <w:rPr>
          <w:rStyle w:val="Code"/>
        </w:rPr>
        <w:t>&lt;/unclear&gt;</w:t>
      </w:r>
      <w:r>
        <w:rPr>
          <w:rStyle w:val="Codetext"/>
        </w:rPr>
        <w:t>as a very well-to-do hobbit, and his</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 xml:space="preserve">/&gt;&lt;gap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"5"</w:t>
      </w:r>
      <w:r>
        <w:rPr>
          <w:rStyle w:val="Code"/>
        </w:rPr>
        <w:t xml:space="preserve"> </w:t>
      </w:r>
      <w:r>
        <w:rPr>
          <w:rStyle w:val="Codeattribute"/>
        </w:rPr>
        <w:t>unit</w:t>
      </w:r>
      <w:r>
        <w:rPr>
          <w:rStyle w:val="Code"/>
        </w:rPr>
        <w:t>=</w:t>
      </w:r>
      <w:r>
        <w:rPr>
          <w:rStyle w:val="Codevalue"/>
        </w:rPr>
        <w:t>"character"</w:t>
      </w:r>
      <w:r>
        <w:rPr>
          <w:rStyle w:val="Code"/>
        </w:rPr>
        <w:t xml:space="preserve"> </w:t>
      </w:r>
      <w:r>
        <w:rPr>
          <w:rStyle w:val="Codeattribute"/>
        </w:rPr>
        <w:t>precision</w:t>
      </w:r>
      <w:r>
        <w:rPr>
          <w:rStyle w:val="Code"/>
        </w:rPr>
        <w:t>=</w:t>
      </w:r>
      <w:r>
        <w:rPr>
          <w:rStyle w:val="Codevalue"/>
        </w:rPr>
        <w:t>"low"</w:t>
      </w:r>
      <w:r>
        <w:rPr>
          <w:rStyle w:val="Code"/>
        </w:rPr>
        <w:t>/&gt;&lt;unclear&gt;</w:t>
      </w:r>
      <w:r>
        <w:rPr>
          <w:rStyle w:val="Codetext"/>
        </w:rPr>
        <w:t>w</w:t>
      </w:r>
      <w:r>
        <w:rPr>
          <w:rStyle w:val="Code"/>
        </w:rPr>
        <w:t>&lt;/unclear&gt;</w:t>
      </w:r>
      <w:r>
        <w:rPr>
          <w:rStyle w:val="Codetext"/>
        </w:rPr>
        <w:t>as Baggins. The Bagginses had lived in the</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/&gt;&lt;unclear&gt;</w:t>
      </w:r>
      <w:r>
        <w:rPr>
          <w:rStyle w:val="Codetext"/>
        </w:rPr>
        <w:t>n</w:t>
      </w:r>
      <w:r>
        <w:rPr>
          <w:rStyle w:val="Code"/>
        </w:rPr>
        <w:t>&lt;/unclear&gt;e</w:t>
      </w:r>
      <w:r>
        <w:rPr>
          <w:rStyle w:val="Codetext"/>
        </w:rPr>
        <w:t>ighbourhood of The Hill for time out of mind, and</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people considered them very respectable</w:t>
      </w:r>
      <w:r>
        <w:rPr>
          <w:rStyle w:val="Codetext"/>
        </w:rPr>
        <w:br/>
        <w:t xml:space="preserve">  </w:t>
      </w:r>
      <w:r>
        <w:rPr>
          <w:rStyle w:val="Code"/>
        </w:rPr>
        <w:t>&lt;/p&gt;</w:t>
      </w:r>
      <w:r>
        <w:rPr>
          <w:rStyle w:val="Codetext"/>
        </w:rPr>
        <w:br/>
      </w:r>
      <w:r>
        <w:rPr>
          <w:rStyle w:val="Code"/>
        </w:rPr>
        <w:t>&lt;/div&gt;</w:t>
      </w:r>
    </w:p>
    <w:p w14:paraId="2BE9954F" w14:textId="77777777">
      <w:pPr>
        <w:pStyle w:val="Cmsor2"/>
        <w:numPr>
          <w:ilvl w:val="1"/>
          <w:numId w:val="7"/>
        </w:numPr>
      </w:pPr>
      <w:bookmarkStart w:id="1131" w:name="_mqsd94x1tblc" w:colFirst="0" w:colLast="0"/>
      <w:bookmarkStart w:id="1132" w:name="_Ref239844102"/>
      <w:bookmarkStart w:id="1133" w:name="_Ref239844124"/>
      <w:bookmarkStart w:id="1134" w:name="_Ref239844181"/>
      <w:bookmarkStart w:id="1135" w:name="_Ref239844274"/>
      <w:bookmarkStart w:id="1136" w:name="_Ref239844290"/>
      <w:bookmarkStart w:id="1137" w:name="_Toc243900483"/>
      <w:bookmarkEnd w:id="1131"/>
      <w:r>
        <w:lastRenderedPageBreak/>
        <w:t>Copperplate charter with seal and other goodies</w:t>
      </w:r>
      <w:bookmarkEnd w:id="1132"/>
      <w:bookmarkEnd w:id="1133"/>
      <w:bookmarkEnd w:id="1134"/>
      <w:bookmarkEnd w:id="1135"/>
      <w:bookmarkEnd w:id="1136"/>
      <w:bookmarkEnd w:id="1137"/>
    </w:p>
    <w:p w14:paraId="3B11C7E0" w14:textId="77777777">
      <w:pPr>
        <w:pStyle w:val="Image"/>
      </w:pPr>
      <w:r>
        <w:drawing>
          <wp:inline distT="0" distB="0" distL="0" distR="0" wp14:anchorId="6F2E9001" wp14:editId="6857779D">
            <wp:extent cx="5400000" cy="5400000"/>
            <wp:effectExtent l="0" t="0" r="0" b="0"/>
            <wp:docPr id="15704250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00" cy="5400000"/>
                    </a:xfrm>
                    <a:prstGeom prst="rect">
                      <a:avLst/>
                    </a:prstGeom>
                    <a:noFill/>
                    <a:ln>
                      <a:noFill/>
                    </a:ln>
                  </pic:spPr>
                </pic:pic>
              </a:graphicData>
            </a:graphic>
          </wp:inline>
        </w:drawing>
      </w:r>
    </w:p>
    <w:p w14:paraId="342D9D7D" w14:textId="77777777">
      <w:pPr>
        <w:pStyle w:val="Lista"/>
      </w:pPr>
      <w:r>
        <w:t>this imaginary set of copper plates consists of</w:t>
      </w:r>
    </w:p>
    <w:p w14:paraId="54FF9854" w14:textId="77777777">
      <w:pPr>
        <w:pStyle w:val="Lista2"/>
      </w:pPr>
      <w:r>
        <w:t>an inscribed seal</w:t>
      </w:r>
    </w:p>
    <w:p w14:paraId="6C83B923" w14:textId="77777777">
      <w:pPr>
        <w:pStyle w:val="Lista2"/>
      </w:pPr>
      <w:r>
        <w:t>three plates, the first and the last inscribed only on their inner faces</w:t>
      </w:r>
    </w:p>
    <w:p w14:paraId="14625FC4" w14:textId="77777777">
      <w:pPr>
        <w:pStyle w:val="Lista3"/>
      </w:pPr>
      <w:r>
        <w:t>with foliation marks on the recto faces of the second and third plate</w:t>
      </w:r>
    </w:p>
    <w:p w14:paraId="1D0092FC" w14:textId="77777777">
      <w:pPr>
        <w:pStyle w:val="Lista3"/>
      </w:pPr>
      <w:r>
        <w:t>with an inset initial text on the first page</w:t>
      </w:r>
    </w:p>
    <w:p w14:paraId="3A138A8A" w14:textId="77777777">
      <w:pPr>
        <w:pStyle w:val="Lista3"/>
      </w:pPr>
      <w:r>
        <w:t>with a visually separated colophon on the last page</w:t>
      </w:r>
    </w:p>
    <w:p w14:paraId="1AB6A46E" w14:textId="77777777">
      <w:pPr>
        <w:pStyle w:val="Lista"/>
      </w:pPr>
      <w:r>
        <w:t xml:space="preserve">the seal and the plates comprise a boxlike partition that must be encoded as two textpart divisions </w:t>
      </w:r>
      <w:r>
        <w:rPr>
          <w:noProof/>
        </w:rPr>
        <w:t>(</w:t>
      </w:r>
      <w:r>
        <w:t>§</w:t>
      </w:r>
      <w:r>
        <w:fldChar w:fldCharType="begin"/>
      </w:r>
      <w:r>
        <w:instrText xml:space="preserve"> REF _Ref225778181 \r \h </w:instrText>
      </w:r>
      <w:r>
        <w:fldChar w:fldCharType="separate"/>
      </w:r>
      <w:r>
        <w:t>4.2</w:t>
      </w:r>
      <w:r>
        <w:fldChar w:fldCharType="end"/>
      </w:r>
      <w:r>
        <w:t>)</w:t>
      </w:r>
    </w:p>
    <w:p w14:paraId="6BCED0B2" w14:textId="77777777">
      <w:pPr>
        <w:pStyle w:val="Lista"/>
      </w:pPr>
      <w:r>
        <w:t xml:space="preserve">the second division is a virtual zone subdivided into pagelike partitions </w:t>
      </w:r>
      <w:r>
        <w:rPr>
          <w:noProof/>
        </w:rPr>
        <w:t>(</w:t>
      </w:r>
      <w:r>
        <w:t>§</w:t>
      </w:r>
      <w:r>
        <w:fldChar w:fldCharType="begin"/>
      </w:r>
      <w:r>
        <w:instrText xml:space="preserve"> REF _Ref233982406 \r \h </w:instrText>
      </w:r>
      <w:r>
        <w:fldChar w:fldCharType="separate"/>
      </w:r>
      <w:r>
        <w:t>4.4</w:t>
      </w:r>
      <w:r>
        <w:fldChar w:fldCharType="end"/>
      </w:r>
      <w:r>
        <w:t xml:space="preserve">), which are actual pages and must thus be encoded as </w:t>
      </w:r>
      <w:r>
        <w:rPr>
          <w:rStyle w:val="Code"/>
        </w:rPr>
        <w:t>&lt;pb/&gt;</w:t>
      </w:r>
      <w:r>
        <w:t xml:space="preserve"> elements (§</w:t>
      </w:r>
      <w:r>
        <w:fldChar w:fldCharType="begin"/>
      </w:r>
      <w:r>
        <w:instrText xml:space="preserve"> REF _Ref183083979 \r \h </w:instrText>
      </w:r>
      <w:r>
        <w:fldChar w:fldCharType="separate"/>
      </w:r>
      <w:r>
        <w:t>4.4.2</w:t>
      </w:r>
      <w:r>
        <w:fldChar w:fldCharType="end"/>
      </w:r>
      <w:r>
        <w:t>)</w:t>
      </w:r>
    </w:p>
    <w:p w14:paraId="78293A77" w14:textId="77777777">
      <w:pPr>
        <w:pStyle w:val="Lista2"/>
      </w:pPr>
      <w:r>
        <w:t xml:space="preserve">the blank outer pages must also be encoded </w:t>
      </w:r>
      <w:r>
        <w:rPr>
          <w:noProof/>
        </w:rPr>
        <w:t>(</w:t>
      </w:r>
      <w:r>
        <w:t>§</w:t>
      </w:r>
      <w:r>
        <w:fldChar w:fldCharType="begin"/>
      </w:r>
      <w:r>
        <w:instrText xml:space="preserve"> REF _Ref182318940 \r \h </w:instrText>
      </w:r>
      <w:r>
        <w:fldChar w:fldCharType="separate"/>
      </w:r>
      <w:r>
        <w:t>4.4.2.2</w:t>
      </w:r>
      <w:r>
        <w:fldChar w:fldCharType="end"/>
      </w:r>
      <w:r>
        <w:t>)</w:t>
      </w:r>
    </w:p>
    <w:p w14:paraId="60B4E688" w14:textId="77777777">
      <w:pPr>
        <w:pStyle w:val="Lista"/>
      </w:pPr>
      <w:r>
        <w:t>within the second division,</w:t>
      </w:r>
    </w:p>
    <w:p w14:paraId="16FCE0A0" w14:textId="77777777">
      <w:pPr>
        <w:pStyle w:val="Lista2"/>
      </w:pPr>
      <w:r>
        <w:t xml:space="preserve">text begins with a floating incipit, which must be marked up as a special line </w:t>
      </w:r>
      <w:r>
        <w:rPr>
          <w:noProof/>
        </w:rPr>
        <w:t>(</w:t>
      </w:r>
      <w:r>
        <w:t>§</w:t>
      </w:r>
      <w:r>
        <w:fldChar w:fldCharType="begin"/>
      </w:r>
      <w:r>
        <w:instrText xml:space="preserve"> REF _Ref43978135 \r \h  \* MERGEFORMAT </w:instrText>
      </w:r>
      <w:r>
        <w:fldChar w:fldCharType="separate"/>
      </w:r>
      <w:r>
        <w:t>4.7.1.1</w:t>
      </w:r>
      <w:r>
        <w:fldChar w:fldCharType="end"/>
      </w:r>
      <w:r>
        <w:t>)</w:t>
      </w:r>
    </w:p>
    <w:p w14:paraId="7E421F35" w14:textId="77777777">
      <w:pPr>
        <w:pStyle w:val="Lista2"/>
      </w:pPr>
      <w:r>
        <w:t xml:space="preserve">the foliation numbers comprise forme work </w:t>
      </w:r>
      <w:r>
        <w:rPr>
          <w:noProof/>
        </w:rPr>
        <w:t>(</w:t>
      </w:r>
      <w:r>
        <w:t>§</w:t>
      </w:r>
      <w:r>
        <w:fldChar w:fldCharType="begin"/>
      </w:r>
      <w:r>
        <w:instrText xml:space="preserve"> REF _Ref43984607 \w \h  \* MERGEFORMAT </w:instrText>
      </w:r>
      <w:r>
        <w:fldChar w:fldCharType="separate"/>
      </w:r>
      <w:r>
        <w:t>4.7.2</w:t>
      </w:r>
      <w:r>
        <w:fldChar w:fldCharType="end"/>
      </w:r>
      <w:r>
        <w:t>), each attached to the relevant page</w:t>
      </w:r>
    </w:p>
    <w:p w14:paraId="49B4203A" w14:textId="77777777">
      <w:pPr>
        <w:pStyle w:val="Lista2"/>
      </w:pPr>
      <w:r>
        <w:t xml:space="preserve">the special alignment of the colophon may optionally be encoded </w:t>
      </w:r>
      <w:r>
        <w:rPr>
          <w:noProof/>
        </w:rPr>
        <w:t>(</w:t>
      </w:r>
      <w:r>
        <w:t>§</w:t>
      </w:r>
      <w:r>
        <w:fldChar w:fldCharType="begin"/>
      </w:r>
      <w:r>
        <w:instrText xml:space="preserve"> REF _Ref43987598 \r \h  \* MERGEFORMAT </w:instrText>
      </w:r>
      <w:r>
        <w:fldChar w:fldCharType="separate"/>
      </w:r>
      <w:r>
        <w:t>8.5.1</w:t>
      </w:r>
      <w:r>
        <w:fldChar w:fldCharType="end"/>
      </w:r>
      <w:r>
        <w:t>)</w:t>
      </w:r>
    </w:p>
    <w:p w14:paraId="1E45212C" w14:textId="77777777"/>
    <w:p w14:paraId="5D164F21" w14:textId="77777777">
      <w:pPr>
        <w:pStyle w:val="CodeParagraph"/>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comment"/>
        </w:rPr>
        <w:t>&lt;!--Seal as a division. Since the two divisions are different in nature, @subtype is not used; instead, a &lt;head&gt; is added for identification, §</w:t>
      </w:r>
      <w:r>
        <w:rPr>
          <w:rStyle w:val="Codecomment"/>
        </w:rPr>
        <w:fldChar w:fldCharType="begin"/>
      </w:r>
      <w:r>
        <w:rPr>
          <w:rStyle w:val="Codecomment"/>
        </w:rPr>
        <w:instrText xml:space="preserve"> REF _Ref225177909 \r \h </w:instrText>
      </w:r>
      <w:r>
        <w:rPr>
          <w:rStyle w:val="Codecomment"/>
        </w:rPr>
      </w:r>
      <w:r>
        <w:rPr>
          <w:rStyle w:val="Codecomment"/>
        </w:rPr>
        <w:fldChar w:fldCharType="separate"/>
      </w:r>
      <w:r>
        <w:rPr>
          <w:rStyle w:val="Codecomment"/>
        </w:rPr>
        <w:t>4.2.1.3</w:t>
      </w:r>
      <w:r>
        <w:rPr>
          <w:rStyle w:val="Codecomment"/>
        </w:rPr>
        <w:fldChar w:fldCharType="end"/>
      </w:r>
      <w:r>
        <w:rPr>
          <w:rStyle w:val="Codecomment"/>
        </w:rPr>
        <w:t>.--&gt;&lt;!--By project convention, the seal is encoded before the text of the plates.--&gt;</w:t>
      </w:r>
      <w:r>
        <w:rPr>
          <w:rStyle w:val="Codetext"/>
        </w:rPr>
        <w:br/>
      </w:r>
      <w:r>
        <w:rPr>
          <w:rStyle w:val="Codetext"/>
        </w:rPr>
        <w:lastRenderedPageBreak/>
        <w:t xml:space="preserve">  </w:t>
      </w:r>
      <w:r>
        <w:rPr>
          <w:rStyle w:val="Code"/>
        </w:rPr>
        <w:t>&lt;ab&gt;</w:t>
      </w:r>
      <w:r>
        <w:rPr>
          <w:rStyle w:val="Codecomment"/>
        </w:rPr>
        <w:t>&lt;!--Seal text wrapped in a block-level element, in this case &lt;ab&gt; because it does not qualify as a paragraph, §</w:t>
      </w:r>
      <w:r>
        <w:rPr>
          <w:rStyle w:val="Codecomment"/>
          <w:rFonts w:eastAsia="Arial Unicode MS"/>
        </w:rPr>
        <w:fldChar w:fldCharType="begin"/>
      </w:r>
      <w:r>
        <w:rPr>
          <w:rStyle w:val="Codecomment"/>
          <w:rFonts w:eastAsia="Arial Unicode MS"/>
        </w:rPr>
        <w:instrText xml:space="preserve"> REF _Ref43981028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3.2.1.2</w:t>
      </w:r>
      <w:r>
        <w:rPr>
          <w:rStyle w:val="Codecomment"/>
          <w:rFonts w:eastAsia="Arial Unicode MS"/>
        </w:rPr>
        <w:fldChar w:fldCharType="end"/>
      </w:r>
      <w:r>
        <w:rPr>
          <w:rStyle w:val="Codecomment"/>
        </w:rPr>
        <w: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J R R</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Tolkien</w:t>
      </w:r>
      <w:r>
        <w:rPr>
          <w:rStyle w:val="Codetext"/>
        </w:rPr>
        <w:br/>
        <w:t xml:space="preserve">  </w:t>
      </w:r>
      <w:r>
        <w:rPr>
          <w:rStyle w:val="Code"/>
        </w:rPr>
        <w:t>&lt;/ab&gt;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Plates</w:t>
      </w:r>
      <w:r>
        <w:rPr>
          <w:rStyle w:val="Code"/>
        </w:rPr>
        <w:t>&lt;/head&gt;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r>
        <w:rPr>
          <w:rStyle w:val="Codecomment"/>
        </w:rPr>
        <w:t>&lt;!--Blank outer page; the page beginning is not inside a block-level element, §</w:t>
      </w:r>
      <w:r>
        <w:rPr>
          <w:rStyle w:val="Codecomment"/>
        </w:rPr>
        <w:fldChar w:fldCharType="begin"/>
      </w:r>
      <w:r>
        <w:rPr>
          <w:rStyle w:val="Codecomment"/>
        </w:rPr>
        <w:instrText xml:space="preserve"> REF _Ref182318940 \r \h </w:instrText>
      </w:r>
      <w:r>
        <w:rPr>
          <w:rStyle w:val="Codecomment"/>
        </w:rPr>
      </w:r>
      <w:r>
        <w:rPr>
          <w:rStyle w:val="Codecomment"/>
        </w:rPr>
        <w:fldChar w:fldCharType="separate"/>
      </w:r>
      <w:r>
        <w:rPr>
          <w:rStyle w:val="Codecomment"/>
        </w:rPr>
        <w:t>4.4.2.2</w:t>
      </w:r>
      <w:r>
        <w:rPr>
          <w:rStyle w:val="Codecomment"/>
        </w:rPr>
        <w:fldChar w:fldCharType="end"/>
      </w:r>
      <w:r>
        <w:rPr>
          <w:rStyle w:val="Codecomment"/>
        </w:rPr>
        <w:t>.--&gt;</w:t>
      </w:r>
      <w:r>
        <w:rPr>
          <w:rStyle w:val="Codetext"/>
        </w:rPr>
        <w:br/>
        <w:t xml:space="preserve">  </w:t>
      </w:r>
      <w:r>
        <w:rPr>
          <w:rStyle w:val="Code"/>
        </w:rPr>
        <w:t>&lt;ab&gt;</w:t>
      </w:r>
    </w:p>
    <w:p w14:paraId="3BE67D08" w14:textId="77777777">
      <w:pPr>
        <w:pStyle w:val="CodeParagraph"/>
        <w:rPr>
          <w:rStyle w:val="Codetext"/>
        </w:rPr>
      </w:pPr>
      <w:r>
        <w:rPr>
          <w:rStyle w:val="Codetext"/>
        </w:rP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comment"/>
        </w:rPr>
        <w:t>&lt;!--This page beginning is inside the first block-level container of the text, which happens to be the &lt;ab&gt; wrapper for the incipit. This does not imply that the page break is part of that &lt;ab&gt;.--&gt;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w:t>
      </w:r>
      <w:r>
        <w:rPr>
          <w:rStyle w:val="Codetext"/>
        </w:rPr>
        <w:t>The Hobbit</w:t>
      </w:r>
      <w:r>
        <w:rPr>
          <w:rStyle w:val="Codecomment"/>
        </w:rPr>
        <w:t>&lt;!--Line numbers are restarted in the second textpart, §</w:t>
      </w:r>
      <w:r>
        <w:rPr>
          <w:rStyle w:val="Codecomment"/>
          <w:rFonts w:eastAsia="Arial Unicode MS"/>
        </w:rPr>
        <w:fldChar w:fldCharType="begin"/>
      </w:r>
      <w:r>
        <w:rPr>
          <w:rStyle w:val="Codecomment"/>
          <w:rFonts w:eastAsia="Arial Unicode MS"/>
        </w:rPr>
        <w:instrText xml:space="preserve"> REF _Ref43986747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4.2.1.4</w:t>
      </w:r>
      <w:r>
        <w:rPr>
          <w:rStyle w:val="Codecomment"/>
          <w:rFonts w:eastAsia="Arial Unicode MS"/>
        </w:rPr>
        <w:fldChar w:fldCharType="end"/>
      </w:r>
      <w:r>
        <w:rPr>
          <w:rStyle w:val="Codecomment"/>
        </w:rPr>
        <w:t>. The specially positioned incipit has the line number 01, §</w:t>
      </w:r>
      <w:r>
        <w:rPr>
          <w:rStyle w:val="Codecomment"/>
          <w:rFonts w:eastAsia="Arial Unicode MS"/>
        </w:rPr>
        <w:fldChar w:fldCharType="begin"/>
      </w:r>
      <w:r>
        <w:rPr>
          <w:rStyle w:val="Codecomment"/>
          <w:rFonts w:eastAsia="Arial Unicode MS"/>
        </w:rPr>
        <w:instrText xml:space="preserve"> REF _Ref43978135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4.7.1.1</w:t>
      </w:r>
      <w:r>
        <w:rPr>
          <w:rStyle w:val="Codecomment"/>
          <w:rFonts w:eastAsia="Arial Unicode MS"/>
        </w:rPr>
        <w:fldChar w:fldCharType="end"/>
      </w:r>
      <w:r>
        <w:rPr>
          <w:rStyle w:val="Codecomment"/>
        </w:rPr>
        <w:t>.--&gt;</w:t>
      </w:r>
      <w:r>
        <w:rPr>
          <w:rStyle w:val="Codetext"/>
        </w:rPr>
        <w:br/>
        <w:t xml:space="preserve">  </w:t>
      </w:r>
      <w:r>
        <w:rPr>
          <w:rStyle w:val="Code"/>
        </w:rPr>
        <w:t>&lt;/ab&gt;</w:t>
      </w:r>
      <w:r>
        <w:rPr>
          <w:rStyle w:val="Codetext"/>
        </w:rPr>
        <w:br/>
        <w:t xml:space="preserve">  </w:t>
      </w:r>
      <w:r>
        <w:rPr>
          <w:rStyle w:val="Code"/>
        </w:rPr>
        <w:t>&lt;p&gt;</w:t>
      </w:r>
      <w:r>
        <w:rPr>
          <w:rStyle w:val="Codecomment"/>
        </w:rPr>
        <w:t>&lt;!--First semantic paragraph of the text.--&gt;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hole with</w:t>
      </w:r>
      <w:r>
        <w:rPr>
          <w:rStyle w:val="Codetext"/>
        </w:rPr>
        <w:br/>
        <w:t xml:space="preserve">  </w:t>
      </w:r>
      <w:r>
        <w:rPr>
          <w:rStyle w:val="Code"/>
        </w:rPr>
        <w:t xml:space="preserve">&lt;pb </w:t>
      </w:r>
      <w:r>
        <w:rPr>
          <w:rStyle w:val="Codeattribute"/>
        </w:rPr>
        <w:t>n</w:t>
      </w:r>
      <w:r>
        <w:rPr>
          <w:rStyle w:val="Code"/>
        </w:rPr>
        <w:t>=</w:t>
      </w:r>
      <w:r>
        <w:rPr>
          <w:rStyle w:val="Codevalue"/>
        </w:rPr>
        <w:t>"2r"</w:t>
      </w:r>
      <w:r>
        <w:rPr>
          <w:rStyle w:val="Code"/>
        </w:rPr>
        <w:t>/&gt;</w:t>
      </w:r>
      <w:r>
        <w:rPr>
          <w:rStyle w:val="Codetext"/>
        </w:rPr>
        <w:br/>
        <w:t xml:space="preserve">  </w:t>
      </w:r>
      <w:r>
        <w:rPr>
          <w:rStyle w:val="Codecomment"/>
        </w:rPr>
        <w:t>&lt;!--Within a textpart, line numbers are continued on subsequent pages as recommended under §</w:t>
      </w:r>
      <w:r>
        <w:rPr>
          <w:rStyle w:val="Codecomment"/>
        </w:rPr>
        <w:fldChar w:fldCharType="begin"/>
      </w:r>
      <w:r>
        <w:rPr>
          <w:rStyle w:val="Codecomment"/>
        </w:rPr>
        <w:instrText xml:space="preserve"> REF _Ref225429069 \r \h </w:instrText>
      </w:r>
      <w:r>
        <w:rPr>
          <w:rStyle w:val="Codecomment"/>
        </w:rPr>
      </w:r>
      <w:r>
        <w:rPr>
          <w:rStyle w:val="Codecomment"/>
        </w:rPr>
        <w:fldChar w:fldCharType="separate"/>
      </w:r>
      <w:r>
        <w:rPr>
          <w:rStyle w:val="Codecomment"/>
        </w:rPr>
        <w:t>4.5.2.1</w:t>
      </w:r>
      <w:r>
        <w:rPr>
          <w:rStyle w:val="Codecomment"/>
        </w:rPr>
        <w:fldChar w:fldCharType="end"/>
      </w:r>
      <w:r>
        <w:rPr>
          <w:rStyle w:val="Codecomment"/>
        </w:rPr>
        <w:t xml:space="preserve">. Alternatively, they could be reset to 1 on each page, provided that the number of the current page is incorporated into each line number to maintain uniqueness,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.--&gt;</w:t>
      </w:r>
    </w:p>
    <w:p w14:paraId="14575FCB" w14:textId="77777777">
      <w:pPr>
        <w:pStyle w:val="CodeParagraph"/>
        <w:rPr>
          <w:rStyle w:val="Code"/>
        </w:rPr>
      </w:pPr>
      <w:r>
        <w:rPr>
          <w:rStyle w:val="Codetext"/>
        </w:rP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"2r"</w:t>
      </w:r>
      <w:r>
        <w:rPr>
          <w:rStyle w:val="Code"/>
        </w:rPr>
        <w:t>&gt;</w:t>
      </w:r>
    </w:p>
    <w:p w14:paraId="7702B7F3" w14:textId="77777777">
      <w:pPr>
        <w:pStyle w:val="CodeParagraph"/>
      </w:pPr>
      <w:r>
        <w:rPr>
          <w:rStyle w:val="Codecomment"/>
        </w:rPr>
        <w:t xml:space="preserve">    &lt;!--Foliation encoded right after the page beginning, §</w:t>
      </w:r>
      <w:r>
        <w:rPr>
          <w:rStyle w:val="Codecomment"/>
          <w:rFonts w:eastAsia="Arial Unicode MS"/>
        </w:rPr>
        <w:fldChar w:fldCharType="begin"/>
      </w:r>
      <w:r>
        <w:rPr>
          <w:rStyle w:val="Codecomment"/>
          <w:rFonts w:eastAsia="Arial Unicode MS"/>
        </w:rPr>
        <w:instrText xml:space="preserve"> REF _Ref43984607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4.7.2</w:t>
      </w:r>
      <w:r>
        <w:rPr>
          <w:rStyle w:val="Codecomment"/>
          <w:rFonts w:eastAsia="Arial Unicode MS"/>
        </w:rPr>
        <w:fldChar w:fldCharType="end"/>
      </w:r>
      <w:r>
        <w:rPr>
          <w:rStyle w:val="Codecomment"/>
        </w:rPr>
        <w:t>.--&gt;</w:t>
      </w:r>
      <w:r>
        <w:rPr>
          <w:rStyle w:val="Codetext"/>
        </w:rPr>
        <w:br/>
        <w:t xml:space="preserve">    </w:t>
      </w:r>
      <w:r>
        <w:rPr>
          <w:rStyle w:val="Code"/>
        </w:rPr>
        <w:t xml:space="preserve">&lt;num </w:t>
      </w:r>
      <w:r>
        <w:rPr>
          <w:rStyle w:val="Codeattribute"/>
        </w:rPr>
        <w:t>value</w:t>
      </w:r>
      <w:r>
        <w:rPr>
          <w:rStyle w:val="Code"/>
        </w:rPr>
        <w:t>=</w:t>
      </w:r>
      <w:r>
        <w:rPr>
          <w:rStyle w:val="Codevalue"/>
        </w:rPr>
        <w:t>"2"</w:t>
      </w:r>
      <w:r>
        <w:rPr>
          <w:rStyle w:val="Code"/>
        </w:rPr>
        <w:t>&gt;</w:t>
      </w:r>
      <w:r>
        <w:rPr>
          <w:rStyle w:val="Codetext"/>
        </w:rPr>
        <w:t>2</w:t>
      </w:r>
      <w:r>
        <w:rPr>
          <w:rStyle w:val="Code"/>
        </w:rPr>
        <w:t>&lt;/num&gt;</w:t>
      </w:r>
      <w:r>
        <w:rPr>
          <w:rStyle w:val="Codetext"/>
        </w:rPr>
        <w:br/>
        <w:t xml:space="preserve">  </w:t>
      </w:r>
      <w:r>
        <w:rPr>
          <w:rStyle w:val="Code"/>
        </w:rPr>
        <w:t>&lt;/fw&gt;</w:t>
      </w:r>
      <w:r>
        <w:rPr>
          <w:rStyle w:val="Codetext"/>
        </w:rPr>
        <w:t xml:space="preserve">  </w:t>
      </w:r>
      <w:r>
        <w:rPr>
          <w:rStyle w:val="Codetext"/>
        </w:rPr>
        <w:br/>
        <w:t xml:space="preserve">  </w:t>
      </w:r>
      <w:r>
        <w:rPr>
          <w:rStyle w:val="Code"/>
        </w:rPr>
        <w:t xml:space="preserve">&lt;lb </w:t>
      </w:r>
      <w:r>
        <w:rPr>
          <w:rStyle w:val="Codeattribute"/>
        </w:rPr>
        <w:t>n</w:t>
      </w:r>
      <w:r>
        <w:rPr>
          <w:rStyle w:val="Code"/>
        </w:rPr>
        <w:t>=</w:t>
      </w:r>
      <w:r>
        <w:rPr>
          <w:rStyle w:val="Codevalue"/>
        </w:rPr>
        <w:t>"4"</w:t>
      </w:r>
      <w:r>
        <w:rPr>
          <w:rStyle w:val="Code"/>
        </w:rPr>
        <w:t>/&gt;</w:t>
      </w:r>
      <w:r>
        <w:rPr>
          <w:rStyle w:val="Codetext"/>
        </w:rPr>
        <w:t>nothing in it to sit down on or to eat: it was a</w:t>
      </w:r>
      <w:r>
        <w:rPr>
          <w:rStyle w:val="Codetext"/>
        </w:rPr>
        <w:br/>
        <w:t xml:space="preserve">  </w:t>
      </w:r>
      <w:r>
        <w:rPr>
          <w:rStyle w:val="Code"/>
        </w:rPr>
        <w:t xml:space="preserve">&lt;lb </w:t>
      </w:r>
      <w:r>
        <w:rPr>
          <w:rStyle w:val="Codeattribute"/>
        </w:rPr>
        <w:t>n</w:t>
      </w:r>
      <w:r>
        <w:rPr>
          <w:rStyle w:val="Code"/>
        </w:rPr>
        <w:t>=</w:t>
      </w:r>
      <w:r>
        <w:rPr>
          <w:rStyle w:val="Codevalue"/>
        </w:rPr>
        <w:t>"5"</w:t>
      </w:r>
      <w:r>
        <w:rPr>
          <w:rStyle w:val="Code"/>
        </w:rPr>
        <w:t>/&gt;</w:t>
      </w:r>
      <w:r>
        <w:rPr>
          <w:rStyle w:val="Codetext"/>
        </w:rPr>
        <w:t>hobbit-hole, and that means comfort.</w:t>
      </w:r>
      <w:r>
        <w:rPr>
          <w:rStyle w:val="Codetext"/>
        </w:rPr>
        <w:br/>
        <w:t xml:space="preserve">  </w:t>
      </w:r>
      <w:r>
        <w:rPr>
          <w:rStyle w:val="Code"/>
        </w:rPr>
        <w:t>&lt;/p&gt;</w:t>
      </w:r>
      <w:r>
        <w:rPr>
          <w:rStyle w:val="Codecomment"/>
        </w:rPr>
        <w:t>&lt;!--Ending a semantic paragraph here and starting a new one.--&gt;</w:t>
      </w:r>
      <w:r>
        <w:rPr>
          <w:rStyle w:val="Codetext"/>
        </w:rPr>
        <w:br/>
        <w:t xml:space="preserve">  </w:t>
      </w:r>
      <w:r>
        <w:rPr>
          <w:rStyle w:val="Code"/>
        </w:rPr>
        <w:t>&lt;p&gt;</w:t>
      </w:r>
      <w:r>
        <w:rPr>
          <w:rStyle w:val="Codetext"/>
        </w:rPr>
        <w:t>It had a perfectly</w:t>
      </w:r>
      <w:r>
        <w:rPr>
          <w:rStyle w:val="Codetext"/>
        </w:rPr>
        <w:br/>
        <w:t xml:space="preserve">  </w:t>
      </w:r>
      <w:r>
        <w:rPr>
          <w:rStyle w:val="Code"/>
        </w:rPr>
        <w:t xml:space="preserve">&lt;lb </w:t>
      </w:r>
      <w:r>
        <w:rPr>
          <w:rStyle w:val="Codeattribute"/>
        </w:rPr>
        <w:t>n</w:t>
      </w:r>
      <w:r>
        <w:rPr>
          <w:rStyle w:val="Code"/>
        </w:rPr>
        <w:t>=</w:t>
      </w:r>
      <w:r>
        <w:rPr>
          <w:rStyle w:val="Codevalue"/>
        </w:rPr>
        <w:t>"6"</w:t>
      </w:r>
      <w:r>
        <w:rPr>
          <w:rStyle w:val="Code"/>
        </w:rPr>
        <w:t>/&gt;</w:t>
      </w:r>
      <w:r>
        <w:rPr>
          <w:rStyle w:val="Codetext"/>
        </w:rPr>
        <w:t>round door like a porthole, painted green, with a shiny</w:t>
      </w:r>
      <w:r>
        <w:rPr>
          <w:rStyle w:val="Codetext"/>
        </w:rPr>
        <w:br/>
        <w:t xml:space="preserve">  </w:t>
      </w:r>
      <w:r>
        <w:rPr>
          <w:rStyle w:val="Code"/>
        </w:rPr>
        <w:t xml:space="preserve">&lt;pb </w:t>
      </w:r>
      <w:r>
        <w:rPr>
          <w:rStyle w:val="Codeattribute"/>
        </w:rPr>
        <w:t>n</w:t>
      </w:r>
      <w:r>
        <w:rPr>
          <w:rStyle w:val="Code"/>
        </w:rPr>
        <w:t>=</w:t>
      </w:r>
      <w:r>
        <w:rPr>
          <w:rStyle w:val="Codevalue"/>
        </w:rPr>
        <w:t>"2v"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"7"</w:t>
      </w:r>
      <w:r>
        <w:rPr>
          <w:rStyle w:val="Code"/>
        </w:rPr>
        <w:t>/&gt;</w:t>
      </w:r>
      <w:r>
        <w:rPr>
          <w:rStyle w:val="Codetext"/>
        </w:rPr>
        <w:t>yellow brass knob in the exact middle. The door opened</w:t>
      </w:r>
      <w:r>
        <w:rPr>
          <w:rStyle w:val="Codetext"/>
        </w:rPr>
        <w:br/>
        <w:t xml:space="preserve">  </w:t>
      </w:r>
      <w:r>
        <w:rPr>
          <w:rStyle w:val="Code"/>
        </w:rPr>
        <w:t xml:space="preserve">&lt;lb </w:t>
      </w:r>
      <w:r>
        <w:rPr>
          <w:rStyle w:val="Codeattribute"/>
        </w:rPr>
        <w:t>n</w:t>
      </w:r>
      <w:r>
        <w:rPr>
          <w:rStyle w:val="Code"/>
        </w:rPr>
        <w:t>=</w:t>
      </w:r>
      <w:r>
        <w:rPr>
          <w:rStyle w:val="Codevalue"/>
        </w:rPr>
        <w:t>"8"</w:t>
      </w:r>
      <w:r>
        <w:rPr>
          <w:rStyle w:val="Code"/>
        </w:rPr>
        <w:t>/&gt;</w:t>
      </w:r>
      <w:r>
        <w:rPr>
          <w:rStyle w:val="Codetext"/>
        </w:rPr>
        <w:t>on to a tube-shaped hall like a tunnel: a very</w:t>
      </w:r>
      <w:r>
        <w:rPr>
          <w:rStyle w:val="Codetext"/>
        </w:rPr>
        <w:br/>
        <w:t xml:space="preserve">  </w:t>
      </w:r>
      <w:r>
        <w:rPr>
          <w:rStyle w:val="Code"/>
        </w:rPr>
        <w:t xml:space="preserve">&lt;lb </w:t>
      </w:r>
      <w:r>
        <w:rPr>
          <w:rStyle w:val="Codeattribute"/>
        </w:rPr>
        <w:t>n</w:t>
      </w:r>
      <w:r>
        <w:rPr>
          <w:rStyle w:val="Code"/>
        </w:rPr>
        <w:t>=</w:t>
      </w:r>
      <w:r>
        <w:rPr>
          <w:rStyle w:val="Codevalue"/>
        </w:rPr>
        <w:t>"9"</w:t>
      </w:r>
      <w:r>
        <w:rPr>
          <w:rStyle w:val="Code"/>
        </w:rPr>
        <w:t>/&gt;</w:t>
      </w:r>
      <w:r>
        <w:rPr>
          <w:rStyle w:val="Codetext"/>
        </w:rPr>
        <w:t>comfortable tunnel without smoke, with panelled walls,</w:t>
      </w:r>
      <w:r>
        <w:rPr>
          <w:rStyle w:val="Codetext"/>
        </w:rPr>
        <w:br/>
        <w:t xml:space="preserve">  </w:t>
      </w:r>
      <w:r>
        <w:rPr>
          <w:rStyle w:val="Code"/>
        </w:rPr>
        <w:t xml:space="preserve">&lt;pb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"3r"</w:t>
      </w:r>
      <w:r>
        <w:rPr>
          <w:rStyle w:val="Code"/>
        </w:rPr>
        <w:t>&gt;</w:t>
      </w:r>
      <w:r>
        <w:rPr>
          <w:rStyle w:val="Codetext"/>
        </w:rPr>
        <w:br/>
        <w:t xml:space="preserve">    </w:t>
      </w:r>
      <w:r>
        <w:rPr>
          <w:rStyle w:val="Codecomment"/>
        </w:rPr>
        <w:t>&lt;!--Foliation right after the page beginning.--&gt;</w:t>
      </w:r>
      <w:r>
        <w:rPr>
          <w:rStyle w:val="Codetext"/>
        </w:rPr>
        <w:br/>
        <w:t xml:space="preserve">    </w:t>
      </w: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r>
        <w:rPr>
          <w:rStyle w:val="Codetext"/>
        </w:rPr>
        <w:br/>
        <w:t xml:space="preserve">  </w:t>
      </w:r>
      <w:r>
        <w:rPr>
          <w:rStyle w:val="Code"/>
        </w:rPr>
        <w:t>&lt;/fw&gt;</w:t>
      </w:r>
      <w:r>
        <w:rPr>
          <w:rStyle w:val="Codetext"/>
        </w:rPr>
        <w:br/>
        <w:t xml:space="preserve">  </w:t>
      </w:r>
      <w:r>
        <w:rPr>
          <w:rStyle w:val="Code"/>
        </w:rPr>
        <w:t xml:space="preserve">&lt;lb </w:t>
      </w:r>
      <w:r>
        <w:rPr>
          <w:rStyle w:val="Codeattribute"/>
        </w:rPr>
        <w:t>n</w:t>
      </w:r>
      <w:r>
        <w:rPr>
          <w:rStyle w:val="Code"/>
        </w:rPr>
        <w:t>=</w:t>
      </w:r>
      <w:r>
        <w:rPr>
          <w:rStyle w:val="Codevalue"/>
        </w:rPr>
        <w:t>"10"</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"11"</w:t>
      </w:r>
      <w:r>
        <w:rPr>
          <w:rStyle w:val="Code"/>
        </w:rPr>
        <w:t>/&gt;</w:t>
      </w:r>
      <w:r>
        <w:rPr>
          <w:rStyle w:val="Codetext"/>
        </w:rPr>
        <w:t>chairs, and lots and lots of pegs for hats and coats.</w:t>
      </w:r>
      <w:r>
        <w:rPr>
          <w:rStyle w:val="Codetext"/>
        </w:rPr>
        <w:br/>
        <w:t xml:space="preserve">  </w:t>
      </w:r>
      <w:r>
        <w:rPr>
          <w:rStyle w:val="Code"/>
        </w:rPr>
        <w:t>&lt;/p&gt;</w:t>
      </w:r>
      <w:r>
        <w:rPr>
          <w:rStyle w:val="Codetext"/>
        </w:rPr>
        <w:br/>
        <w:t xml:space="preserve">  </w:t>
      </w:r>
      <w:r>
        <w:rPr>
          <w:rStyle w:val="Code"/>
        </w:rPr>
        <w:t>&lt;ab&gt;</w:t>
      </w:r>
      <w:r>
        <w:rPr>
          <w:rStyle w:val="Codecomment"/>
        </w:rPr>
        <w:t>&lt;!--The colophon is an incomplete sentence, so it gets an &lt;ab&gt; wrapper.--&gt;</w:t>
      </w:r>
      <w:r>
        <w:rPr>
          <w:rStyle w:val="Codetext"/>
        </w:rPr>
        <w:br/>
        <w:t xml:space="preserve">  </w:t>
      </w:r>
      <w:r>
        <w:rPr>
          <w:rStyle w:val="Code"/>
        </w:rPr>
        <w:t xml:space="preserve">&lt;lb </w:t>
      </w:r>
      <w:r>
        <w:rPr>
          <w:rStyle w:val="Codeattribute"/>
        </w:rPr>
        <w:t>n</w:t>
      </w:r>
      <w:r>
        <w:rPr>
          <w:rStyle w:val="Code"/>
        </w:rPr>
        <w:t>=</w:t>
      </w:r>
      <w:r>
        <w:rPr>
          <w:rStyle w:val="Codevalue"/>
        </w:rPr>
        <w:t>"12"</w:t>
      </w:r>
      <w:r>
        <w:rPr>
          <w:rStyle w:val="Code"/>
        </w:rPr>
        <w:t xml:space="preserve"> </w:t>
      </w:r>
      <w:r>
        <w:rPr>
          <w:rStyle w:val="Codeattribute"/>
        </w:rPr>
        <w:t>style</w:t>
      </w:r>
      <w:r>
        <w:rPr>
          <w:rStyle w:val="Code"/>
        </w:rPr>
        <w:t>=</w:t>
      </w:r>
      <w:r>
        <w:rPr>
          <w:rStyle w:val="Codevalue"/>
        </w:rPr>
        <w:t>"text-align: right"</w:t>
      </w:r>
      <w:r>
        <w:rPr>
          <w:rStyle w:val="Code"/>
        </w:rPr>
        <w:t>/&gt;</w:t>
      </w:r>
      <w:r>
        <w:rPr>
          <w:rStyle w:val="Codecomment"/>
        </w:rPr>
        <w:t>&lt;!--Optionally marking up right-aligned line.--&gt;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t xml:space="preserve">  </w:t>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"3v"</w:t>
      </w:r>
      <w:r>
        <w:rPr>
          <w:rStyle w:val="Code"/>
        </w:rPr>
        <w:t>/&gt;</w:t>
      </w:r>
      <w:r>
        <w:rPr>
          <w:rStyle w:val="Codecomment"/>
        </w:rPr>
        <w:t>&lt;!--Blank outer page; the &lt;pb/&gt; element is not inside a block-level container.--&gt;</w:t>
      </w:r>
      <w:r>
        <w:rPr>
          <w:rStyle w:val="Codetext"/>
        </w:rPr>
        <w:br/>
      </w:r>
      <w:r>
        <w:rPr>
          <w:rStyle w:val="Code"/>
        </w:rPr>
        <w:t>&lt;/div&gt;</w:t>
      </w:r>
    </w:p>
    <w:p w14:paraId="3E57D0E0" w14:textId="77777777">
      <w:pPr>
        <w:pStyle w:val="Cmsor2"/>
        <w:numPr>
          <w:ilvl w:val="1"/>
          <w:numId w:val="7"/>
        </w:numPr>
      </w:pPr>
      <w:bookmarkStart w:id="1138" w:name="_q8mje15sbli5" w:colFirst="0" w:colLast="0"/>
      <w:bookmarkStart w:id="1139" w:name="_Ref239844217"/>
      <w:bookmarkStart w:id="1140" w:name="_Ref239844389"/>
      <w:bookmarkStart w:id="1141" w:name="_Toc243900484"/>
      <w:bookmarkEnd w:id="1138"/>
      <w:r>
        <w:lastRenderedPageBreak/>
        <w:t>Copperplate charter with a lost plate reconstructed</w:t>
      </w:r>
      <w:bookmarkEnd w:id="1139"/>
      <w:bookmarkEnd w:id="1140"/>
      <w:bookmarkEnd w:id="1141"/>
    </w:p>
    <w:p w14:paraId="49F4F4EB" w14:textId="77777777">
      <w:pPr>
        <w:pStyle w:val="Image"/>
      </w:pPr>
      <w:r>
        <w:drawing>
          <wp:inline distT="0" distB="0" distL="0" distR="0" wp14:anchorId="7E94A89C" wp14:editId="28155C10">
            <wp:extent cx="5400000" cy="2030400"/>
            <wp:effectExtent l="0" t="0" r="0" b="8255"/>
            <wp:docPr id="2235774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00" cy="2030400"/>
                    </a:xfrm>
                    <a:prstGeom prst="rect">
                      <a:avLst/>
                    </a:prstGeom>
                    <a:noFill/>
                    <a:ln>
                      <a:noFill/>
                    </a:ln>
                  </pic:spPr>
                </pic:pic>
              </a:graphicData>
            </a:graphic>
          </wp:inline>
        </w:drawing>
      </w:r>
    </w:p>
    <w:p w14:paraId="5564C984" w14:textId="77777777">
      <w:pPr>
        <w:pStyle w:val="Lista"/>
      </w:pPr>
      <w:r>
        <w:t xml:space="preserve">as a variation on </w:t>
      </w:r>
      <w:r>
        <w:fldChar w:fldCharType="begin"/>
      </w:r>
      <w:r>
        <w:instrText xml:space="preserve"> REF _Ref239844102 \r \h </w:instrText>
      </w:r>
      <w:r>
        <w:fldChar w:fldCharType="separate"/>
      </w:r>
      <w:r>
        <w:t>Appendix A.2</w:t>
      </w:r>
      <w:r>
        <w:fldChar w:fldCharType="end"/>
      </w:r>
      <w:r>
        <w:t>, we now have a partial set of plates where the middle plate is missing along with the seal</w:t>
      </w:r>
    </w:p>
    <w:p w14:paraId="1693A73F" w14:textId="77777777">
      <w:pPr>
        <w:pStyle w:val="Lista"/>
      </w:pPr>
      <w:r>
        <w:t xml:space="preserve">from the presence of foliation marks </w:t>
      </w:r>
      <w:r>
        <w:rPr>
          <w:noProof/>
        </w:rPr>
        <w:t>(</w:t>
      </w:r>
      <w:r>
        <w:t xml:space="preserve">and from our intimate knowledge of the Middle Earth copper plate corpus) we can infer that exactly one plate was lost, therefore we include the lost plate in our edition instead of creating textpart divisions </w:t>
      </w:r>
      <w:r>
        <w:rPr>
          <w:noProof/>
        </w:rPr>
        <w:t>(</w:t>
      </w:r>
      <w:r>
        <w:t>§</w:t>
      </w:r>
      <w:r>
        <w:fldChar w:fldCharType="begin"/>
      </w:r>
      <w:r>
        <w:instrText xml:space="preserve"> REF _Ref149918878 \r \h </w:instrText>
      </w:r>
      <w:r>
        <w:fldChar w:fldCharType="separate"/>
      </w:r>
      <w:r>
        <w:t>6.5.5.3</w:t>
      </w:r>
      <w:r>
        <w:fldChar w:fldCharType="end"/>
      </w:r>
      <w:r>
        <w:t>)</w:t>
      </w:r>
    </w:p>
    <w:p w14:paraId="3983CAA5" w14:textId="77777777">
      <w:pPr>
        <w:pStyle w:val="Lista2"/>
      </w:pPr>
      <w:r>
        <w:t>we can also infer that the lost plate would have been inscribed with exactly three lines on both faces, so this is also encoded in the edition</w:t>
      </w:r>
    </w:p>
    <w:p w14:paraId="1001DC9C" w14:textId="77777777">
      <w:pPr>
        <w:pStyle w:val="Lista"/>
      </w:pPr>
      <w:r>
        <w:t xml:space="preserve">extant details are encoded as in </w:t>
      </w:r>
      <w:r>
        <w:fldChar w:fldCharType="begin"/>
      </w:r>
      <w:r>
        <w:instrText xml:space="preserve"> REF _Ref239844102 \r \h </w:instrText>
      </w:r>
      <w:r>
        <w:fldChar w:fldCharType="separate"/>
      </w:r>
      <w:r>
        <w:t>Appendix A.2</w:t>
      </w:r>
      <w:r>
        <w:fldChar w:fldCharType="end"/>
      </w:r>
      <w:r>
        <w:t xml:space="preserve"> above</w:t>
      </w:r>
    </w:p>
    <w:p w14:paraId="3278F6C8" w14:textId="77777777"/>
    <w:p w14:paraId="65A033A4" w14:textId="77777777">
      <w:pPr>
        <w:pStyle w:val="CodeParagraph"/>
      </w:pPr>
      <w:r>
        <w:rPr>
          <w:rStyle w:val="Code"/>
        </w:rPr>
        <w:t xml:space="preserve">&lt;pb </w:t>
      </w:r>
      <w:r>
        <w:rPr>
          <w:rStyle w:val="Codeattribute"/>
        </w:rPr>
        <w:t>n</w:t>
      </w:r>
      <w:r>
        <w:rPr>
          <w:rStyle w:val="Code"/>
        </w:rPr>
        <w:t>=</w:t>
      </w:r>
      <w:r>
        <w:rPr>
          <w:rStyle w:val="Codevalue"/>
        </w:rPr>
        <w:t>"1r"</w:t>
      </w:r>
      <w:r>
        <w:rPr>
          <w:rStyle w:val="Code"/>
        </w:rPr>
        <w:t>/&gt;</w:t>
      </w:r>
      <w:r>
        <w:rPr>
          <w:rStyle w:val="Codetext"/>
        </w:rPr>
        <w:br/>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"1v0"</w:t>
      </w:r>
      <w:r>
        <w:rPr>
          <w:rStyle w:val="Code"/>
        </w:rPr>
        <w:t>/&gt;</w:t>
      </w:r>
      <w:r>
        <w:rPr>
          <w:rStyle w:val="Codetext"/>
        </w:rPr>
        <w:t>The Hobbit</w:t>
      </w:r>
      <w:r>
        <w:rPr>
          <w:rStyle w:val="Codetext"/>
        </w:rPr>
        <w:br/>
      </w:r>
      <w:r>
        <w:rPr>
          <w:rStyle w:val="Code"/>
        </w:rPr>
        <w:t>&lt;/ab&gt;</w:t>
      </w:r>
      <w:r>
        <w:rPr>
          <w:rStyle w:val="Codetext"/>
        </w:rPr>
        <w:br/>
      </w:r>
      <w:r>
        <w:rPr>
          <w:rStyle w:val="Codecomment"/>
        </w:rPr>
        <w:t>&lt;!--In this edition, line numbering is restarted on each page, and page numbers are incorporated in line numbers as per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 Since the number of lines per page is known, we could also have opted to number lines consecutively, logically continuing line numbers after the lacuna §</w:t>
      </w:r>
      <w:r>
        <w:rPr>
          <w:rStyle w:val="Codecomment"/>
        </w:rPr>
        <w:fldChar w:fldCharType="begin"/>
      </w:r>
      <w:r>
        <w:rPr>
          <w:rStyle w:val="Codecomment"/>
        </w:rPr>
        <w:instrText xml:space="preserve"> REF _Ref149918878 \r \h  \* MERGEFORMAT </w:instrText>
      </w:r>
      <w:r>
        <w:rPr>
          <w:rStyle w:val="Codecomment"/>
        </w:rPr>
      </w:r>
      <w:r>
        <w:rPr>
          <w:rStyle w:val="Codecomment"/>
        </w:rPr>
        <w:fldChar w:fldCharType="separate"/>
      </w:r>
      <w:r>
        <w:rPr>
          <w:rStyle w:val="Codecomment"/>
        </w:rPr>
        <w:t>6.5.5.3</w:t>
      </w:r>
      <w:r>
        <w:rPr>
          <w:rStyle w:val="Codecomment"/>
        </w:rPr>
        <w:fldChar w:fldCharType="end"/>
      </w:r>
      <w:r>
        <w:rPr>
          <w:rStyle w:val="Codecomment"/>
        </w:rPr>
        <w:t>.--&gt;</w:t>
      </w:r>
      <w:r>
        <w:rPr>
          <w:rStyle w:val="Codetext"/>
        </w:rPr>
        <w:br/>
      </w:r>
      <w:r>
        <w:rPr>
          <w:rStyle w:val="Code"/>
        </w:rPr>
        <w:t xml:space="preserve">&lt;p </w:t>
      </w:r>
      <w:r>
        <w:rPr>
          <w:rStyle w:val="Codeattribute"/>
        </w:rPr>
        <w:t>part</w:t>
      </w:r>
      <w:r>
        <w:rPr>
          <w:rStyle w:val="Code"/>
        </w:rPr>
        <w:t>=</w:t>
      </w:r>
      <w:r>
        <w:rPr>
          <w:rStyle w:val="Codevalue"/>
        </w:rPr>
        <w:t>"I"</w:t>
      </w:r>
      <w:r>
        <w:rPr>
          <w:rStyle w:val="Code"/>
        </w:rPr>
        <w:t>&gt;</w:t>
      </w:r>
      <w:r>
        <w:rPr>
          <w:rStyle w:val="Codecomment"/>
        </w:rPr>
        <w:t>&lt;!--The incomplete paragraph is marked as an initial part.--&gt;</w:t>
      </w:r>
      <w:r>
        <w:rPr>
          <w:rStyle w:val="Codetext"/>
        </w:rPr>
        <w:br/>
        <w:t xml:space="preserve">  </w:t>
      </w:r>
      <w:r>
        <w:rPr>
          <w:rStyle w:val="Code"/>
        </w:rPr>
        <w:t xml:space="preserve">&lt;lb </w:t>
      </w:r>
      <w:r>
        <w:rPr>
          <w:rStyle w:val="Codeattribute"/>
        </w:rPr>
        <w:t>n</w:t>
      </w:r>
      <w:r>
        <w:rPr>
          <w:rStyle w:val="Code"/>
        </w:rPr>
        <w:t>=</w:t>
      </w:r>
      <w:r>
        <w:rPr>
          <w:rStyle w:val="Codevalue"/>
        </w:rPr>
        <w:t>"1v1"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"1v2"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"1v3"</w:t>
      </w:r>
      <w:r>
        <w:rPr>
          <w:rStyle w:val="Code"/>
        </w:rPr>
        <w:t>/&gt;</w:t>
      </w:r>
      <w:r>
        <w:rPr>
          <w:rStyle w:val="Codetext"/>
        </w:rPr>
        <w:t>and an oozy smell, nor yet a dry, bare, sandy hole with</w:t>
      </w:r>
      <w:r>
        <w:rPr>
          <w:rStyle w:val="Codetext"/>
        </w:rPr>
        <w:br/>
      </w:r>
      <w:r>
        <w:rPr>
          <w:rStyle w:val="Code"/>
        </w:rPr>
        <w:t>&lt;/p&gt;</w:t>
      </w:r>
      <w:r>
        <w:rPr>
          <w:rStyle w:val="Codecomment"/>
        </w:rPr>
        <w:t>&lt;!--The open block-level container is closed before the lacuna.--&gt;</w:t>
      </w:r>
      <w:r>
        <w:rPr>
          <w:rStyle w:val="Codetext"/>
        </w:rPr>
        <w:br/>
      </w:r>
      <w:r>
        <w:rPr>
          <w:rStyle w:val="Code"/>
        </w:rPr>
        <w:t xml:space="preserve">&lt;pb </w:t>
      </w:r>
      <w:r>
        <w:rPr>
          <w:rStyle w:val="Codeattribute"/>
        </w:rPr>
        <w:t>n</w:t>
      </w:r>
      <w:r>
        <w:rPr>
          <w:rStyle w:val="Code"/>
        </w:rPr>
        <w:t>=</w:t>
      </w:r>
      <w:r>
        <w:rPr>
          <w:rStyle w:val="Codevalue"/>
        </w:rPr>
        <w:t>"2r"</w:t>
      </w:r>
      <w:r>
        <w:rPr>
          <w:rStyle w:val="Code"/>
        </w:rPr>
        <w:t>/&gt;</w:t>
      </w:r>
      <w:r>
        <w:rPr>
          <w:rStyle w:val="Codecomment"/>
        </w:rPr>
        <w:t>&lt;!--Although a foliation mark was in all probability present on the lost plate, we do not restore one.--&gt;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comment"/>
        </w:rPr>
        <w:t>&lt;!--Individual line beginnings are not reconstructed on a lost page, only recorded as a lacuna of known size. --&gt;</w:t>
      </w:r>
      <w:r>
        <w:rPr>
          <w:rStyle w:val="Codetext"/>
        </w:rPr>
        <w:br/>
      </w:r>
      <w:r>
        <w:rPr>
          <w:rStyle w:val="Code"/>
        </w:rPr>
        <w:t xml:space="preserve">&lt;pb </w:t>
      </w:r>
      <w:r>
        <w:rPr>
          <w:rStyle w:val="Codeattribute"/>
        </w:rPr>
        <w:t>n</w:t>
      </w:r>
      <w:r>
        <w:rPr>
          <w:rStyle w:val="Code"/>
        </w:rPr>
        <w:t>=</w:t>
      </w:r>
      <w:r>
        <w:rPr>
          <w:rStyle w:val="Codevalue"/>
        </w:rPr>
        <w:t>"2v"</w:t>
      </w:r>
      <w:r>
        <w:rPr>
          <w:rStyle w:val="Code"/>
        </w:rPr>
        <w:t>/&gt;</w:t>
      </w:r>
      <w:r>
        <w:rPr>
          <w:rStyle w:val="Codetext"/>
        </w:rPr>
        <w:br/>
      </w:r>
      <w:r>
        <w:rPr>
          <w:rStyle w:val="Code"/>
        </w:rPr>
        <w:t xml:space="preserve">&lt;gap </w:t>
      </w:r>
      <w:r>
        <w:rPr>
          <w:rStyle w:val="Codeattribute"/>
        </w:rPr>
        <w:t>reason</w:t>
      </w:r>
      <w:r>
        <w:rPr>
          <w:rStyle w:val="Code"/>
        </w:rPr>
        <w:t>=</w:t>
      </w:r>
      <w:r>
        <w:rPr>
          <w:rStyle w:val="Codevalue"/>
        </w:rPr>
        <w:t>"lost"</w:t>
      </w:r>
      <w:r>
        <w:rPr>
          <w:rStyle w:val="Code"/>
        </w:rPr>
        <w:t xml:space="preserve"> </w:t>
      </w:r>
      <w:r>
        <w:rPr>
          <w:rStyle w:val="Codeattribute"/>
        </w:rPr>
        <w:t>quantity</w:t>
      </w:r>
      <w:r>
        <w:rPr>
          <w:rStyle w:val="Code"/>
        </w:rPr>
        <w:t>=</w:t>
      </w:r>
      <w:r>
        <w:rPr>
          <w:rStyle w:val="Codevalue"/>
        </w:rPr>
        <w:t>"3"</w:t>
      </w:r>
      <w:r>
        <w:rPr>
          <w:rStyle w:val="Code"/>
        </w:rPr>
        <w:t xml:space="preserve"> </w:t>
      </w:r>
      <w:r>
        <w:rPr>
          <w:rStyle w:val="Codeattribute"/>
        </w:rPr>
        <w:t>unit</w:t>
      </w:r>
      <w:r>
        <w:rPr>
          <w:rStyle w:val="Code"/>
        </w:rPr>
        <w:t>=</w:t>
      </w:r>
      <w:r>
        <w:rPr>
          <w:rStyle w:val="Codevalue"/>
        </w:rPr>
        <w:t>"line"</w:t>
      </w:r>
      <w:r>
        <w:rPr>
          <w:rStyle w:val="Code"/>
        </w:rPr>
        <w:t>/&gt;</w:t>
      </w:r>
      <w:r>
        <w:rPr>
          <w:rStyle w:val="Codetext"/>
        </w:rPr>
        <w:br/>
      </w:r>
      <w:r>
        <w:rPr>
          <w:rStyle w:val="Code"/>
        </w:rPr>
        <w:t xml:space="preserve">&lt;p </w:t>
      </w:r>
      <w:r>
        <w:rPr>
          <w:rStyle w:val="Codeattribute"/>
        </w:rPr>
        <w:t>part</w:t>
      </w:r>
      <w:r>
        <w:rPr>
          <w:rStyle w:val="Code"/>
        </w:rPr>
        <w:t>=</w:t>
      </w:r>
      <w:r>
        <w:rPr>
          <w:rStyle w:val="Codevalue"/>
        </w:rPr>
        <w:t>"F"</w:t>
      </w:r>
      <w:r>
        <w:rPr>
          <w:rStyle w:val="Code"/>
        </w:rPr>
        <w:t>&gt;</w:t>
      </w:r>
      <w:r>
        <w:rPr>
          <w:rStyle w:val="Codecomment"/>
        </w:rPr>
        <w:t>&lt;!--A new block-level container, marked as a final part, is opened after the lacuna, before the next extant page beginning.--&gt;</w:t>
      </w:r>
      <w:r>
        <w:rPr>
          <w:rStyle w:val="Codetext"/>
        </w:rPr>
        <w:br/>
        <w:t xml:space="preserve">  </w:t>
      </w:r>
      <w:r>
        <w:rPr>
          <w:rStyle w:val="Code"/>
        </w:rPr>
        <w:t xml:space="preserve">&lt;pb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&lt;fw </w:t>
      </w:r>
      <w:r>
        <w:rPr>
          <w:rStyle w:val="Codeattribute"/>
        </w:rPr>
        <w:t>place</w:t>
      </w:r>
      <w:r>
        <w:rPr>
          <w:rStyle w:val="Code"/>
        </w:rPr>
        <w:t>=</w:t>
      </w:r>
      <w:r>
        <w:rPr>
          <w:rStyle w:val="Codevalue"/>
        </w:rPr>
        <w:t>"bot-left"</w:t>
      </w:r>
      <w:r>
        <w:rPr>
          <w:rStyle w:val="Code"/>
        </w:rPr>
        <w:t xml:space="preserve"> </w:t>
      </w:r>
      <w:r>
        <w:rPr>
          <w:rStyle w:val="Codeattribute"/>
        </w:rPr>
        <w:t>n</w:t>
      </w:r>
      <w:r>
        <w:rPr>
          <w:rStyle w:val="Code"/>
        </w:rPr>
        <w:t>=</w:t>
      </w:r>
      <w:r>
        <w:rPr>
          <w:rStyle w:val="Codevalue"/>
        </w:rPr>
        <w:t>"3r"</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"3"</w:t>
      </w:r>
      <w:r>
        <w:rPr>
          <w:rStyle w:val="Code"/>
        </w:rPr>
        <w:t>&gt;</w:t>
      </w:r>
      <w:r>
        <w:rPr>
          <w:rStyle w:val="Codetext"/>
        </w:rPr>
        <w:t>3</w:t>
      </w:r>
      <w:r>
        <w:rPr>
          <w:rStyle w:val="Code"/>
        </w:rPr>
        <w:t>&lt;/num&gt;</w:t>
      </w:r>
      <w:r>
        <w:rPr>
          <w:rStyle w:val="Codetext"/>
        </w:rPr>
        <w:br/>
        <w:t xml:space="preserve">  </w:t>
      </w:r>
      <w:r>
        <w:rPr>
          <w:rStyle w:val="Code"/>
        </w:rPr>
        <w:t>&lt;/fw&gt;</w:t>
      </w:r>
      <w:r>
        <w:rPr>
          <w:rStyle w:val="Codetext"/>
        </w:rPr>
        <w:br/>
        <w:t xml:space="preserve">  </w:t>
      </w:r>
      <w:r>
        <w:rPr>
          <w:rStyle w:val="Code"/>
        </w:rPr>
        <w:t xml:space="preserve">&lt;lb </w:t>
      </w:r>
      <w:r>
        <w:rPr>
          <w:rStyle w:val="Codeattribute"/>
        </w:rPr>
        <w:t>n</w:t>
      </w:r>
      <w:r>
        <w:rPr>
          <w:rStyle w:val="Code"/>
        </w:rPr>
        <w:t>=</w:t>
      </w:r>
      <w:r>
        <w:rPr>
          <w:rStyle w:val="Codevalue"/>
        </w:rPr>
        <w:t>"3r1"</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"3r2"</w:t>
      </w:r>
      <w:r>
        <w:rPr>
          <w:rStyle w:val="Code"/>
        </w:rPr>
        <w:t>/&gt;</w:t>
      </w:r>
      <w:r>
        <w:rPr>
          <w:rStyle w:val="Codetext"/>
        </w:rPr>
        <w:t>chairs, and lots and lots of pegs for hats and coats.</w:t>
      </w:r>
      <w:r>
        <w:rPr>
          <w:rStyle w:val="Codetext"/>
        </w:rPr>
        <w:br/>
      </w:r>
      <w:r>
        <w:rPr>
          <w:rStyle w:val="Code"/>
        </w:rPr>
        <w:t>&lt;/p&gt;</w:t>
      </w:r>
      <w:r>
        <w:rPr>
          <w:rStyle w:val="Codetext"/>
        </w:rPr>
        <w:br/>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"3r3"</w:t>
      </w:r>
      <w:r>
        <w:rPr>
          <w:rStyle w:val="Code"/>
        </w:rPr>
        <w:t xml:space="preserve"> </w:t>
      </w:r>
      <w:r>
        <w:rPr>
          <w:rStyle w:val="Codeattribute"/>
        </w:rPr>
        <w:t>style</w:t>
      </w:r>
      <w:r>
        <w:rPr>
          <w:rStyle w:val="Code"/>
        </w:rPr>
        <w:t>=</w:t>
      </w:r>
      <w:r>
        <w:rPr>
          <w:rStyle w:val="Codevalue"/>
        </w:rPr>
        <w:t>"text-align: right"</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r>
      <w:r>
        <w:rPr>
          <w:rStyle w:val="Code"/>
        </w:rPr>
        <w:t>&lt;/ab&gt;</w:t>
      </w:r>
      <w:r>
        <w:rPr>
          <w:rStyle w:val="Codetext"/>
        </w:rPr>
        <w:br/>
      </w:r>
      <w:r>
        <w:rPr>
          <w:rStyle w:val="Code"/>
        </w:rPr>
        <w:t xml:space="preserve">&lt;pb </w:t>
      </w:r>
      <w:r>
        <w:rPr>
          <w:rStyle w:val="Codeattribute"/>
        </w:rPr>
        <w:t>n</w:t>
      </w:r>
      <w:r>
        <w:rPr>
          <w:rStyle w:val="Code"/>
        </w:rPr>
        <w:t>=</w:t>
      </w:r>
      <w:r>
        <w:rPr>
          <w:rStyle w:val="Codevalue"/>
        </w:rPr>
        <w:t>"3v"</w:t>
      </w:r>
      <w:r>
        <w:rPr>
          <w:rStyle w:val="Code"/>
        </w:rPr>
        <w:t>/&gt;</w:t>
      </w:r>
    </w:p>
    <w:p w14:paraId="4DEA0460" w14:textId="77777777">
      <w:pPr>
        <w:pStyle w:val="Cmsor2"/>
        <w:numPr>
          <w:ilvl w:val="1"/>
          <w:numId w:val="7"/>
        </w:numPr>
      </w:pPr>
      <w:bookmarkStart w:id="1142" w:name="_91l5g3c4663p" w:colFirst="0" w:colLast="0"/>
      <w:bookmarkStart w:id="1143" w:name="_Ref239844430"/>
      <w:bookmarkStart w:id="1144" w:name="_Toc243900485"/>
      <w:bookmarkEnd w:id="1142"/>
      <w:r>
        <w:lastRenderedPageBreak/>
        <w:t>Copperplate charter with a lost plate not reconstructed</w:t>
      </w:r>
      <w:bookmarkEnd w:id="1143"/>
      <w:bookmarkEnd w:id="1144"/>
    </w:p>
    <w:p w14:paraId="25B6C300" w14:textId="77777777">
      <w:pPr>
        <w:pStyle w:val="Image"/>
      </w:pPr>
      <w:r>
        <w:drawing>
          <wp:inline distT="0" distB="0" distL="0" distR="0" wp14:anchorId="5679A129" wp14:editId="13288973">
            <wp:extent cx="5400000" cy="3344400"/>
            <wp:effectExtent l="0" t="0" r="0" b="8890"/>
            <wp:docPr id="1495493284"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00" cy="3344400"/>
                    </a:xfrm>
                    <a:prstGeom prst="rect">
                      <a:avLst/>
                    </a:prstGeom>
                    <a:noFill/>
                    <a:ln>
                      <a:noFill/>
                    </a:ln>
                  </pic:spPr>
                </pic:pic>
              </a:graphicData>
            </a:graphic>
          </wp:inline>
        </w:drawing>
      </w:r>
    </w:p>
    <w:p w14:paraId="6F638E98" w14:textId="77777777">
      <w:pPr>
        <w:pStyle w:val="Lista"/>
      </w:pPr>
      <w:r>
        <w:t xml:space="preserve">as another variation on </w:t>
      </w:r>
      <w:r>
        <w:fldChar w:fldCharType="begin"/>
      </w:r>
      <w:r>
        <w:instrText xml:space="preserve"> REF _Ref239844102 \r \h </w:instrText>
      </w:r>
      <w:r>
        <w:fldChar w:fldCharType="separate"/>
      </w:r>
      <w:r>
        <w:t>Appendix A.2</w:t>
      </w:r>
      <w:r>
        <w:fldChar w:fldCharType="end"/>
      </w:r>
      <w:r>
        <w:t>, we again have a partial set of plates where the middle plate is missing</w:t>
      </w:r>
    </w:p>
    <w:p w14:paraId="596254E1" w14:textId="77777777">
      <w:pPr>
        <w:pStyle w:val="Lista"/>
      </w:pPr>
      <w:r>
        <w:t>this time, however, the seal is extant and there are no foliation marks, nor are we sufficiently familiar with any other Middle Earth plates, so we cannot confidently reconstruct the structure of the lost section</w:t>
      </w:r>
    </w:p>
    <w:p w14:paraId="2C5F18BA" w14:textId="77777777">
      <w:pPr>
        <w:pStyle w:val="Lista"/>
      </w:pPr>
      <w:r>
        <w:t xml:space="preserve">our edition must therefore be divided into three textparts: one for the seal, one for the initial plate, and one for the final plate </w:t>
      </w:r>
      <w:r>
        <w:rPr>
          <w:noProof/>
        </w:rPr>
        <w:t>(</w:t>
      </w:r>
      <w:r>
        <w:t>§</w:t>
      </w:r>
      <w:r>
        <w:fldChar w:fldCharType="begin"/>
      </w:r>
      <w:r>
        <w:instrText xml:space="preserve"> REF _Ref149918878 \r \h </w:instrText>
      </w:r>
      <w:r>
        <w:fldChar w:fldCharType="separate"/>
      </w:r>
      <w:r>
        <w:t>6.5.5.3</w:t>
      </w:r>
      <w:r>
        <w:fldChar w:fldCharType="end"/>
      </w:r>
      <w:r>
        <w:t>)</w:t>
      </w:r>
    </w:p>
    <w:p w14:paraId="57445B01" w14:textId="77777777">
      <w:pPr>
        <w:pStyle w:val="Lista"/>
      </w:pPr>
      <w:r>
        <w:t xml:space="preserve">extant details are encoded as in </w:t>
      </w:r>
      <w:r>
        <w:fldChar w:fldCharType="begin"/>
      </w:r>
      <w:r>
        <w:instrText xml:space="preserve"> REF _Ref239844102 \r \h </w:instrText>
      </w:r>
      <w:r>
        <w:fldChar w:fldCharType="separate"/>
      </w:r>
      <w:r>
        <w:t>Appendix A.2</w:t>
      </w:r>
      <w:r>
        <w:fldChar w:fldCharType="end"/>
      </w:r>
      <w:r>
        <w:t xml:space="preserve"> above</w:t>
      </w:r>
    </w:p>
    <w:p w14:paraId="7464217B" w14:textId="77777777"/>
    <w:p w14:paraId="40657002" w14:textId="77777777">
      <w:pPr>
        <w:pStyle w:val="CodeParagraph"/>
        <w:rPr>
          <w:rStyle w:val="Code"/>
        </w:rPr>
      </w:pP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"A"</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Seal</w:t>
      </w:r>
      <w:r>
        <w:rPr>
          <w:rStyle w:val="Code"/>
        </w:rPr>
        <w:t>&lt;/head&gt;</w:t>
      </w:r>
      <w:r>
        <w:rPr>
          <w:rStyle w:val="Codetext"/>
        </w:rPr>
        <w:br/>
        <w:t xml:space="preserve">  </w:t>
      </w:r>
      <w:r>
        <w:rPr>
          <w:rStyle w:val="Code"/>
        </w:rPr>
        <w:t>&lt;ab&gt;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J R R</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Tolkien</w:t>
      </w:r>
      <w:r>
        <w:rPr>
          <w:rStyle w:val="Codetext"/>
        </w:rPr>
        <w:br/>
        <w:t xml:space="preserve">  </w:t>
      </w:r>
      <w:r>
        <w:rPr>
          <w:rStyle w:val="Code"/>
        </w:rPr>
        <w:t>&lt;/ab&gt;</w:t>
      </w:r>
      <w:r>
        <w:rPr>
          <w:rStyle w:val="Codetext"/>
        </w:rPr>
        <w:br/>
      </w:r>
      <w:r>
        <w:rPr>
          <w:rStyle w:val="Code"/>
        </w:rPr>
        <w:t>&lt;/div&gt;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"B"</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Initial plate</w:t>
      </w:r>
      <w:r>
        <w:rPr>
          <w:rStyle w:val="Code"/>
        </w:rPr>
        <w:t>&lt;/head&gt;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r>
        <w:rPr>
          <w:rStyle w:val="Codetext"/>
        </w:rPr>
        <w:br/>
        <w:t xml:space="preserve">  </w:t>
      </w:r>
      <w:r>
        <w:rPr>
          <w:rStyle w:val="Code"/>
        </w:rPr>
        <w:t>&lt;ab&gt;</w:t>
      </w:r>
    </w:p>
    <w:p w14:paraId="0E86CE2D" w14:textId="77777777">
      <w:pPr>
        <w:pStyle w:val="CodeParagraph"/>
        <w:rPr>
          <w:rStyle w:val="Codetext"/>
        </w:rPr>
      </w:pPr>
      <w:r>
        <w:rPr>
          <w:rStyle w:val="Codetext"/>
        </w:rP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t xml:space="preserve">    </w:t>
      </w:r>
      <w:r>
        <w:rPr>
          <w:rStyle w:val="Code"/>
        </w:rPr>
        <w:t xml:space="preserve">&lt;lb </w:t>
      </w:r>
      <w:r>
        <w:rPr>
          <w:rStyle w:val="Codeattribute"/>
        </w:rPr>
        <w:t>n</w:t>
      </w:r>
      <w:r>
        <w:rPr>
          <w:rStyle w:val="Code"/>
        </w:rPr>
        <w:t>=</w:t>
      </w:r>
      <w:r>
        <w:rPr>
          <w:rStyle w:val="Codevalue"/>
        </w:rPr>
        <w:t>"01"</w:t>
      </w:r>
      <w:r>
        <w:rPr>
          <w:rStyle w:val="Code"/>
        </w:rPr>
        <w:t>/&gt;</w:t>
      </w:r>
      <w:r>
        <w:rPr>
          <w:rStyle w:val="Codetext"/>
        </w:rPr>
        <w:t>The Hobbit</w:t>
      </w:r>
      <w:r>
        <w:rPr>
          <w:rStyle w:val="Codetext"/>
        </w:rPr>
        <w:br/>
        <w:t xml:space="preserve">  </w:t>
      </w:r>
      <w:r>
        <w:rPr>
          <w:rStyle w:val="Code"/>
        </w:rPr>
        <w:t>&lt;/ab&gt;</w:t>
      </w:r>
      <w:r>
        <w:rPr>
          <w:rStyle w:val="Codetext"/>
        </w:rPr>
        <w:br/>
        <w:t xml:space="preserve">  </w:t>
      </w:r>
      <w:r>
        <w:rPr>
          <w:rStyle w:val="Code"/>
        </w:rPr>
        <w:t xml:space="preserve">&lt;p </w:t>
      </w:r>
      <w:r>
        <w:rPr>
          <w:rStyle w:val="Codeattribute"/>
        </w:rPr>
        <w:t>part</w:t>
      </w:r>
      <w:r>
        <w:rPr>
          <w:rStyle w:val="Code"/>
        </w:rPr>
        <w:t>=</w:t>
      </w:r>
      <w:r>
        <w:rPr>
          <w:rStyle w:val="Codevalue"/>
        </w:rPr>
        <w:t>"I"</w:t>
      </w:r>
      <w:r>
        <w:rPr>
          <w:rStyle w:val="Code"/>
        </w:rPr>
        <w:t>&gt;</w:t>
      </w:r>
      <w:r>
        <w:rPr>
          <w:rStyle w:val="Codecomment"/>
        </w:rPr>
        <w:t>&lt;!--Incomplete paragraph marked as an initial part. --&gt;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In a hole in the ground there lived a hobbit. Not</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a nasty, dirty, wet hole, filled with the ends of worm</w:t>
      </w:r>
      <w:r>
        <w:rPr>
          <w:rStyle w:val="Codetext"/>
        </w:rPr>
        <w:br/>
        <w:t xml:space="preserve">  </w:t>
      </w:r>
      <w:r>
        <w:rPr>
          <w:rStyle w:val="Code"/>
        </w:rPr>
        <w:t xml:space="preserve">&lt;lb </w:t>
      </w:r>
      <w:r>
        <w:rPr>
          <w:rStyle w:val="Codeattribute"/>
        </w:rPr>
        <w:t>n</w:t>
      </w:r>
      <w:r>
        <w:rPr>
          <w:rStyle w:val="Code"/>
        </w:rPr>
        <w:t>=</w:t>
      </w:r>
      <w:r>
        <w:rPr>
          <w:rStyle w:val="Codevalue"/>
        </w:rPr>
        <w:t>"3"</w:t>
      </w:r>
      <w:r>
        <w:rPr>
          <w:rStyle w:val="Code"/>
        </w:rPr>
        <w:t>/&gt;</w:t>
      </w:r>
      <w:r>
        <w:rPr>
          <w:rStyle w:val="Codetext"/>
        </w:rPr>
        <w:t>and an oozy smell, nor yet a dry, bare, sandy hole with</w:t>
      </w:r>
    </w:p>
    <w:p w14:paraId="64A058D5" w14:textId="77777777">
      <w:pPr>
        <w:pStyle w:val="CodeParagraph"/>
        <w:rPr>
          <w:rStyle w:val="Code"/>
        </w:rPr>
      </w:pPr>
      <w:r>
        <w:rPr>
          <w:rStyle w:val="Codetext"/>
        </w:rPr>
        <w:t xml:space="preserve">  </w:t>
      </w:r>
      <w:r>
        <w:rPr>
          <w:rStyle w:val="Code"/>
        </w:rPr>
        <w:t>&lt;/p&gt;</w:t>
      </w:r>
    </w:p>
    <w:p w14:paraId="767CBDF7" w14:textId="77777777">
      <w:pPr>
        <w:pStyle w:val="CodeParagraph"/>
        <w:rPr>
          <w:rStyle w:val="Code"/>
        </w:rPr>
      </w:pPr>
      <w:r>
        <w:rPr>
          <w:rStyle w:val="Code"/>
        </w:rPr>
        <w:t>&lt;/div&gt;</w:t>
      </w:r>
      <w:r>
        <w:rPr>
          <w:rStyle w:val="Codetext"/>
        </w:rPr>
        <w:br/>
      </w:r>
      <w:r>
        <w:rPr>
          <w:rStyle w:val="Codecomment"/>
        </w:rPr>
        <w:t>&lt;!--Nothing is encoded for the lacuna itself, since the use of textparts makes it clear that text is lost between the two; details go in the layout description and the commentary. --&gt;</w:t>
      </w:r>
      <w:r>
        <w:rPr>
          <w:rStyle w:val="Codetext"/>
        </w:rPr>
        <w:br/>
      </w:r>
      <w:r>
        <w:rPr>
          <w:rStyle w:val="Code"/>
        </w:rPr>
        <w:t xml:space="preserve">&lt;div </w:t>
      </w:r>
      <w:r>
        <w:rPr>
          <w:rStyle w:val="Codeattribute"/>
        </w:rPr>
        <w:t>type</w:t>
      </w:r>
      <w:r>
        <w:rPr>
          <w:rStyle w:val="Code"/>
        </w:rPr>
        <w:t>=</w:t>
      </w:r>
      <w:r>
        <w:rPr>
          <w:rStyle w:val="Codevalue"/>
        </w:rPr>
        <w:t>"textpart"</w:t>
      </w:r>
      <w:r>
        <w:rPr>
          <w:rStyle w:val="Code"/>
        </w:rPr>
        <w:t xml:space="preserve"> </w:t>
      </w:r>
      <w:r>
        <w:rPr>
          <w:rStyle w:val="Codeattribute"/>
        </w:rPr>
        <w:t>n</w:t>
      </w:r>
      <w:r>
        <w:rPr>
          <w:rStyle w:val="Code"/>
        </w:rPr>
        <w:t>=</w:t>
      </w:r>
      <w:r>
        <w:rPr>
          <w:rStyle w:val="Codevalue"/>
        </w:rPr>
        <w:t>"C"</w:t>
      </w:r>
      <w:r>
        <w:rPr>
          <w:rStyle w:val="Code"/>
        </w:rPr>
        <w:t xml:space="preserve">&gt;&lt;head </w:t>
      </w:r>
      <w:r>
        <w:rPr>
          <w:rStyle w:val="Codeattribute"/>
        </w:rPr>
        <w:t>xml:lang</w:t>
      </w:r>
      <w:r>
        <w:rPr>
          <w:rStyle w:val="Code"/>
        </w:rPr>
        <w:t>=</w:t>
      </w:r>
      <w:r>
        <w:rPr>
          <w:rStyle w:val="Codevalue"/>
        </w:rPr>
        <w:t>"eng"</w:t>
      </w:r>
      <w:r>
        <w:rPr>
          <w:rStyle w:val="Code"/>
        </w:rPr>
        <w:t>&gt;</w:t>
      </w:r>
      <w:r>
        <w:rPr>
          <w:rStyle w:val="Codetext"/>
        </w:rPr>
        <w:t>Final plate</w:t>
      </w:r>
      <w:r>
        <w:rPr>
          <w:rStyle w:val="Code"/>
        </w:rPr>
        <w:t>&lt;/head&gt;</w:t>
      </w:r>
      <w:r>
        <w:rPr>
          <w:rStyle w:val="Codetext"/>
        </w:rPr>
        <w:br/>
        <w:t xml:space="preserve">  </w:t>
      </w:r>
      <w:r>
        <w:rPr>
          <w:rStyle w:val="Code"/>
        </w:rPr>
        <w:t xml:space="preserve">&lt;p </w:t>
      </w:r>
      <w:r>
        <w:rPr>
          <w:rStyle w:val="Codeattribute"/>
        </w:rPr>
        <w:t>part</w:t>
      </w:r>
      <w:r>
        <w:rPr>
          <w:rStyle w:val="Code"/>
        </w:rPr>
        <w:t>=</w:t>
      </w:r>
      <w:r>
        <w:rPr>
          <w:rStyle w:val="Codevalue"/>
        </w:rPr>
        <w:t>"F"</w:t>
      </w:r>
      <w:r>
        <w:rPr>
          <w:rStyle w:val="Code"/>
        </w:rPr>
        <w:t>&gt;</w:t>
      </w:r>
      <w:r>
        <w:rPr>
          <w:rStyle w:val="Codecomment"/>
        </w:rPr>
        <w:t>&lt;!--Incomplete paragraph marked as a final part. --&gt;</w:t>
      </w:r>
      <w:r>
        <w:rPr>
          <w:rStyle w:val="Codetext"/>
        </w:rPr>
        <w:br/>
        <w:t xml:space="preserve">  </w:t>
      </w:r>
      <w:r>
        <w:rPr>
          <w:rStyle w:val="Code"/>
        </w:rPr>
        <w:t xml:space="preserve">&lt;pb </w:t>
      </w:r>
      <w:r>
        <w:rPr>
          <w:rStyle w:val="Codeattribute"/>
        </w:rPr>
        <w:t>n</w:t>
      </w:r>
      <w:r>
        <w:rPr>
          <w:rStyle w:val="Code"/>
        </w:rPr>
        <w:t>=</w:t>
      </w:r>
      <w:r>
        <w:rPr>
          <w:rStyle w:val="Codevalue"/>
        </w:rPr>
        <w:t>"1r"</w:t>
      </w:r>
      <w:r>
        <w:rPr>
          <w:rStyle w:val="Code"/>
        </w:rPr>
        <w:t>/&gt;</w:t>
      </w:r>
    </w:p>
    <w:p w14:paraId="2A909DB9" w14:textId="77777777">
      <w:pPr>
        <w:pStyle w:val="CodeParagraph"/>
      </w:pPr>
      <w:r>
        <w:rPr>
          <w:rStyle w:val="Codetext"/>
        </w:rPr>
        <w:t xml:space="preserve">  </w:t>
      </w:r>
      <w:r>
        <w:rPr>
          <w:rStyle w:val="Codecomment"/>
        </w:rPr>
        <w:t>&lt;!--Page and line numbering are reset to 1 in the second textpart §</w:t>
      </w:r>
      <w:r>
        <w:rPr>
          <w:rStyle w:val="Codecomment"/>
          <w:rFonts w:eastAsia="Arial Unicode MS"/>
        </w:rPr>
        <w:fldChar w:fldCharType="begin"/>
      </w:r>
      <w:r>
        <w:rPr>
          <w:rStyle w:val="Codecomment"/>
          <w:rFonts w:eastAsia="Arial Unicode MS"/>
        </w:rPr>
        <w:instrText xml:space="preserve"> REF _Ref43986747 \w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4.2.1.4</w:t>
      </w:r>
      <w:r>
        <w:rPr>
          <w:rStyle w:val="Codecomment"/>
          <w:rFonts w:eastAsia="Arial Unicode MS"/>
        </w:rPr>
        <w:fldChar w:fldCharType="end"/>
      </w:r>
      <w:r>
        <w:rPr>
          <w:rStyle w:val="Codecomment"/>
        </w:rPr>
        <w:t>. --&gt;</w:t>
      </w:r>
      <w:r>
        <w:rPr>
          <w:rStyle w:val="Codetext"/>
        </w:rPr>
        <w:br/>
        <w:t xml:space="preserve">  </w:t>
      </w:r>
      <w:r>
        <w:rPr>
          <w:rStyle w:val="Code"/>
        </w:rPr>
        <w:t xml:space="preserve">&lt;lb </w:t>
      </w:r>
      <w:r>
        <w:rPr>
          <w:rStyle w:val="Codeattribute"/>
        </w:rPr>
        <w:t>n</w:t>
      </w:r>
      <w:r>
        <w:rPr>
          <w:rStyle w:val="Code"/>
        </w:rPr>
        <w:t>=</w:t>
      </w:r>
      <w:r>
        <w:rPr>
          <w:rStyle w:val="Codevalue"/>
        </w:rPr>
        <w:t>"1"</w:t>
      </w:r>
      <w:r>
        <w:rPr>
          <w:rStyle w:val="Code"/>
        </w:rPr>
        <w:t>/&gt;</w:t>
      </w:r>
      <w:r>
        <w:rPr>
          <w:rStyle w:val="Codetext"/>
        </w:rPr>
        <w:t>and floors tiled and carpeted, provided with polished</w:t>
      </w:r>
      <w:r>
        <w:rPr>
          <w:rStyle w:val="Codetext"/>
        </w:rPr>
        <w:br/>
        <w:t xml:space="preserve">  </w:t>
      </w:r>
      <w:r>
        <w:rPr>
          <w:rStyle w:val="Code"/>
        </w:rPr>
        <w:t xml:space="preserve">&lt;lb </w:t>
      </w:r>
      <w:r>
        <w:rPr>
          <w:rStyle w:val="Codeattribute"/>
        </w:rPr>
        <w:t>n</w:t>
      </w:r>
      <w:r>
        <w:rPr>
          <w:rStyle w:val="Code"/>
        </w:rPr>
        <w:t>=</w:t>
      </w:r>
      <w:r>
        <w:rPr>
          <w:rStyle w:val="Codevalue"/>
        </w:rPr>
        <w:t>"2"</w:t>
      </w:r>
      <w:r>
        <w:rPr>
          <w:rStyle w:val="Code"/>
        </w:rPr>
        <w:t>/&gt;</w:t>
      </w:r>
      <w:r>
        <w:rPr>
          <w:rStyle w:val="Codetext"/>
        </w:rPr>
        <w:t>chairs, and lots and lots of pegs for hats and coats.</w:t>
      </w:r>
      <w:r>
        <w:rPr>
          <w:rStyle w:val="Codetext"/>
        </w:rPr>
        <w:br/>
        <w:t xml:space="preserve">  </w:t>
      </w:r>
      <w:r>
        <w:rPr>
          <w:rStyle w:val="Code"/>
        </w:rPr>
        <w:t>&lt;/p&gt;</w:t>
      </w:r>
      <w:r>
        <w:rPr>
          <w:rStyle w:val="Codetext"/>
        </w:rPr>
        <w:br/>
        <w:t xml:space="preserve">  </w:t>
      </w:r>
      <w:r>
        <w:rPr>
          <w:rStyle w:val="Code"/>
        </w:rPr>
        <w:t>&lt;ab&gt;</w:t>
      </w:r>
      <w:r>
        <w:rPr>
          <w:rStyle w:val="Codetext"/>
        </w:rPr>
        <w:br/>
      </w:r>
      <w:r>
        <w:rPr>
          <w:rStyle w:val="Codetext"/>
        </w:rPr>
        <w:lastRenderedPageBreak/>
        <w:t xml:space="preserve">  </w:t>
      </w:r>
      <w:r>
        <w:rPr>
          <w:rStyle w:val="Code"/>
        </w:rPr>
        <w:t xml:space="preserve">&lt;lb </w:t>
      </w:r>
      <w:r>
        <w:rPr>
          <w:rStyle w:val="Codeattribute"/>
        </w:rPr>
        <w:t>n</w:t>
      </w:r>
      <w:r>
        <w:rPr>
          <w:rStyle w:val="Code"/>
        </w:rPr>
        <w:t>=</w:t>
      </w:r>
      <w:r>
        <w:rPr>
          <w:rStyle w:val="Codevalue"/>
        </w:rPr>
        <w:t>"3"</w:t>
      </w:r>
      <w:r>
        <w:rPr>
          <w:rStyle w:val="Code"/>
        </w:rPr>
        <w:t xml:space="preserve"> </w:t>
      </w:r>
      <w:r>
        <w:rPr>
          <w:rStyle w:val="Codeattribute"/>
        </w:rPr>
        <w:t>style</w:t>
      </w:r>
      <w:r>
        <w:rPr>
          <w:rStyle w:val="Code"/>
        </w:rPr>
        <w:t>=</w:t>
      </w:r>
      <w:r>
        <w:rPr>
          <w:rStyle w:val="Codevalue"/>
        </w:rPr>
        <w:t>"text-align: right"</w:t>
      </w:r>
      <w:r>
        <w:rPr>
          <w:rStyle w:val="Code"/>
        </w:rPr>
        <w:t>/&gt;</w:t>
      </w:r>
      <w:r>
        <w:rPr>
          <w:rStyle w:val="Codetext"/>
        </w:rPr>
        <w:br/>
        <w:t xml:space="preserve">  </w:t>
      </w:r>
      <w:r>
        <w:rPr>
          <w:rStyle w:val="Code"/>
        </w:rPr>
        <w:t xml:space="preserve">&lt;num </w:t>
      </w:r>
      <w:r>
        <w:rPr>
          <w:rStyle w:val="Codeattribute"/>
        </w:rPr>
        <w:t>value</w:t>
      </w:r>
      <w:r>
        <w:rPr>
          <w:rStyle w:val="Code"/>
        </w:rPr>
        <w:t>=</w:t>
      </w:r>
      <w:r>
        <w:rPr>
          <w:rStyle w:val="Codevalue"/>
        </w:rPr>
        <w:t>"29"</w:t>
      </w:r>
      <w:r>
        <w:rPr>
          <w:rStyle w:val="Code"/>
        </w:rPr>
        <w:t>&gt;</w:t>
      </w:r>
      <w:r>
        <w:rPr>
          <w:rStyle w:val="Codetext"/>
        </w:rPr>
        <w:t>29</w:t>
      </w:r>
      <w:r>
        <w:rPr>
          <w:rStyle w:val="Code"/>
        </w:rPr>
        <w:t>&lt;/num&gt;</w:t>
      </w:r>
      <w:r>
        <w:rPr>
          <w:rStyle w:val="Codetext"/>
        </w:rPr>
        <w:t xml:space="preserve"> September </w:t>
      </w:r>
      <w:r>
        <w:rPr>
          <w:rStyle w:val="Code"/>
        </w:rPr>
        <w:t xml:space="preserve">&lt;num </w:t>
      </w:r>
      <w:r>
        <w:rPr>
          <w:rStyle w:val="Codeattribute"/>
        </w:rPr>
        <w:t>value</w:t>
      </w:r>
      <w:r>
        <w:rPr>
          <w:rStyle w:val="Code"/>
        </w:rPr>
        <w:t>=</w:t>
      </w:r>
      <w:r>
        <w:rPr>
          <w:rStyle w:val="Codevalue"/>
        </w:rPr>
        <w:t>"2019"</w:t>
      </w:r>
      <w:r>
        <w:rPr>
          <w:rStyle w:val="Code"/>
        </w:rPr>
        <w:t>&gt;</w:t>
      </w:r>
      <w:r>
        <w:rPr>
          <w:rStyle w:val="Codetext"/>
        </w:rPr>
        <w:t>2019</w:t>
      </w:r>
      <w:r>
        <w:rPr>
          <w:rStyle w:val="Code"/>
        </w:rPr>
        <w:t>&lt;/num&gt;</w:t>
      </w:r>
      <w:r>
        <w:rPr>
          <w:rStyle w:val="Codetext"/>
        </w:rPr>
        <w:br/>
        <w:t xml:space="preserve">  </w:t>
      </w:r>
      <w:r>
        <w:rPr>
          <w:rStyle w:val="Code"/>
        </w:rPr>
        <w:t>&lt;/ab&gt;</w:t>
      </w:r>
      <w:r>
        <w:rPr>
          <w:rStyle w:val="Codetext"/>
        </w:rPr>
        <w:br/>
        <w:t xml:space="preserve">  </w:t>
      </w:r>
      <w:r>
        <w:rPr>
          <w:rStyle w:val="Code"/>
        </w:rPr>
        <w:t xml:space="preserve">&lt;pb </w:t>
      </w:r>
      <w:r>
        <w:rPr>
          <w:rStyle w:val="Codeattribute"/>
        </w:rPr>
        <w:t>n</w:t>
      </w:r>
      <w:r>
        <w:rPr>
          <w:rStyle w:val="Code"/>
        </w:rPr>
        <w:t>=</w:t>
      </w:r>
      <w:r>
        <w:rPr>
          <w:rStyle w:val="Codevalue"/>
        </w:rPr>
        <w:t>"1v"</w:t>
      </w:r>
      <w:r>
        <w:rPr>
          <w:rStyle w:val="Code"/>
        </w:rPr>
        <w:t>/&gt;</w:t>
      </w:r>
      <w:r>
        <w:rPr>
          <w:rStyle w:val="Codetext"/>
        </w:rPr>
        <w:br/>
      </w:r>
      <w:r>
        <w:rPr>
          <w:rStyle w:val="Code"/>
        </w:rPr>
        <w:t>&lt;/div&gt;</w:t>
      </w:r>
    </w:p>
    <w:p w14:paraId="08FF98C1" w14:textId="77777777">
      <w:pPr>
        <w:pStyle w:val="Cmsor2"/>
        <w:numPr>
          <w:ilvl w:val="1"/>
          <w:numId w:val="7"/>
        </w:numPr>
      </w:pPr>
      <w:bookmarkStart w:id="1145" w:name="_1h8zsds4qdsf" w:colFirst="0" w:colLast="0"/>
      <w:bookmarkStart w:id="1146" w:name="_Ref239844040"/>
      <w:bookmarkStart w:id="1147" w:name="_Ref239844153"/>
      <w:bookmarkStart w:id="1148" w:name="_Ref239844198"/>
      <w:bookmarkStart w:id="1149" w:name="_Ref239844313"/>
      <w:bookmarkStart w:id="1150" w:name="_Ref239844333"/>
      <w:bookmarkStart w:id="1151" w:name="_Ref239844348"/>
      <w:bookmarkStart w:id="1152" w:name="_Ref239844365"/>
      <w:bookmarkStart w:id="1153" w:name="_Toc243900486"/>
      <w:bookmarkStart w:id="1154" w:name="_Ref43989726"/>
      <w:bookmarkEnd w:id="1145"/>
      <w:r>
        <w:t>Four-faced stele</w:t>
      </w:r>
      <w:bookmarkEnd w:id="1146"/>
      <w:bookmarkEnd w:id="1147"/>
      <w:bookmarkEnd w:id="1148"/>
      <w:bookmarkEnd w:id="1149"/>
      <w:bookmarkEnd w:id="1150"/>
      <w:bookmarkEnd w:id="1151"/>
      <w:bookmarkEnd w:id="1152"/>
      <w:bookmarkEnd w:id="1153"/>
    </w:p>
    <w:p w14:paraId="5093CFB9" w14:textId="77777777">
      <w:pPr>
        <w:pStyle w:val="Image"/>
        <w:rPr>
          <w:lang w:eastAsia="en-US" w:bidi="ar-SA"/>
        </w:rPr>
      </w:pPr>
      <w:r>
        <w:rPr>
          <w:lang w:eastAsia="en-US" w:bidi="ar-SA"/>
        </w:rPr>
        <w:drawing>
          <wp:inline distT="0" distB="0" distL="0" distR="0" wp14:anchorId="152DB54E" wp14:editId="1591317A">
            <wp:extent cx="5738400" cy="2973600"/>
            <wp:effectExtent l="0" t="0" r="0" b="0"/>
            <wp:docPr id="176698463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84639" name="Kép 4"/>
                    <pic:cNvPicPr>
                      <a:picLocks noChangeAspect="1" noChangeArrowheads="1"/>
                    </pic:cNvPicPr>
                  </pic:nvPicPr>
                  <pic:blipFill>
                    <a:blip r:embed="rId85"/>
                    <a:stretch>
                      <a:fillRect/>
                    </a:stretch>
                  </pic:blipFill>
                  <pic:spPr bwMode="auto">
                    <a:xfrm>
                      <a:off x="0" y="0"/>
                      <a:ext cx="5738400" cy="2973600"/>
                    </a:xfrm>
                    <a:prstGeom prst="rect">
                      <a:avLst/>
                    </a:prstGeom>
                    <a:noFill/>
                    <a:ln>
                      <a:noFill/>
                    </a:ln>
                  </pic:spPr>
                </pic:pic>
              </a:graphicData>
            </a:graphic>
          </wp:inline>
        </w:drawing>
      </w:r>
    </w:p>
    <w:p w14:paraId="5194BB1B" w14:textId="77777777">
      <w:pPr>
        <w:pStyle w:val="Lista"/>
      </w:pPr>
      <w:r>
        <w:t>this imaginary stele is an oblong quadrangle in cross-section</w:t>
      </w:r>
    </w:p>
    <w:p w14:paraId="51DADEE9" w14:textId="77777777">
      <w:pPr>
        <w:pStyle w:val="Lista"/>
      </w:pPr>
      <w:r>
        <w:t>all four sides are inscribed, with text starting on one of the broad faces</w:t>
      </w:r>
    </w:p>
    <w:p w14:paraId="54A68442" w14:textId="77777777">
      <w:pPr>
        <w:pStyle w:val="Lista2"/>
      </w:pPr>
      <w:r>
        <w:t>each line of the text runs across one edge, onto the adjacent narrow face</w:t>
      </w:r>
    </w:p>
    <w:p w14:paraId="132CBC3C" w14:textId="77777777">
      <w:pPr>
        <w:pStyle w:val="Lista2"/>
      </w:pPr>
      <w:r>
        <w:t>subsequent lines fill up the inscribed field of this pair of faces</w:t>
      </w:r>
    </w:p>
    <w:p w14:paraId="363DFE9F" w14:textId="77777777">
      <w:pPr>
        <w:pStyle w:val="Lista2"/>
      </w:pPr>
      <w:r>
        <w:t>the text then flows on to the top of the next broad face and proceeds to fill up that face and the adjacent narrow face in the same way as the first pair of faces</w:t>
      </w:r>
    </w:p>
    <w:p w14:paraId="035DF5C7" w14:textId="77777777">
      <w:pPr>
        <w:pStyle w:val="Lista"/>
      </w:pPr>
      <w:r>
        <w:t xml:space="preserve">thus, the partition between the two face pairs is pagelike </w:t>
      </w:r>
      <w:r>
        <w:rPr>
          <w:noProof/>
        </w:rPr>
        <w:t>(</w:t>
      </w:r>
      <w:r>
        <w:t>§</w:t>
      </w:r>
      <w:r>
        <w:fldChar w:fldCharType="begin"/>
      </w:r>
      <w:r>
        <w:instrText xml:space="preserve"> REF _Ref233982406 \r \h </w:instrText>
      </w:r>
      <w:r>
        <w:fldChar w:fldCharType="separate"/>
      </w:r>
      <w:r>
        <w:t>4.4</w:t>
      </w:r>
      <w:r>
        <w:fldChar w:fldCharType="end"/>
      </w:r>
      <w:r>
        <w:t xml:space="preserve">), therefore the virtual zones must be marked up using pagelike milestone elements </w:t>
      </w:r>
      <w:r>
        <w:rPr>
          <w:noProof/>
        </w:rPr>
        <w:t>(</w:t>
      </w:r>
      <w:r>
        <w:t>§</w:t>
      </w:r>
      <w:r>
        <w:fldChar w:fldCharType="begin"/>
      </w:r>
      <w:r>
        <w:instrText xml:space="preserve"> REF _Ref43986679 \w \h  \* MERGEFORMAT </w:instrText>
      </w:r>
      <w:r>
        <w:fldChar w:fldCharType="separate"/>
      </w:r>
      <w:r>
        <w:t>4.4.2.1</w:t>
      </w:r>
      <w:r>
        <w:fldChar w:fldCharType="end"/>
      </w:r>
      <w:r>
        <w:t>)</w:t>
      </w:r>
    </w:p>
    <w:p w14:paraId="46AA88DE" w14:textId="77777777">
      <w:pPr>
        <w:pStyle w:val="Lista"/>
      </w:pPr>
      <w:r>
        <w:t>the boundary between a wide face and the adjacent narrow face comprises a gridlike partition, since the text disregards the physical transition to a new surface</w:t>
      </w:r>
    </w:p>
    <w:p w14:paraId="1751819F" w14:textId="77777777">
      <w:pPr>
        <w:pStyle w:val="Lista2"/>
      </w:pPr>
      <w:r>
        <w:t xml:space="preserve">such a pair of faces thus constitutes a single virtual zone, whose partition into two physical surfaces may be ignored in the markup or may be encoded by means of a gridlike milestone element </w:t>
      </w:r>
      <w:r>
        <w:rPr>
          <w:noProof/>
        </w:rPr>
        <w:t>(</w:t>
      </w:r>
      <w:r>
        <w:t>§</w:t>
      </w:r>
      <w:r>
        <w:fldChar w:fldCharType="begin"/>
      </w:r>
      <w:r>
        <w:instrText xml:space="preserve"> REF _Ref43984651 \w \h  \* MERGEFORMAT </w:instrText>
      </w:r>
      <w:r>
        <w:fldChar w:fldCharType="separate"/>
      </w:r>
      <w:r>
        <w:t>4.6</w:t>
      </w:r>
      <w:r>
        <w:fldChar w:fldCharType="end"/>
      </w:r>
      <w:r>
        <w:t>)</w:t>
      </w:r>
    </w:p>
    <w:p w14:paraId="2CE6637D" w14:textId="77777777"/>
    <w:p w14:paraId="1D838B21" w14:textId="77777777">
      <w:pPr>
        <w:pStyle w:val="CodeParagraph"/>
        <w:rPr>
          <w:rStyle w:val="Codecomment"/>
        </w:rPr>
      </w:pPr>
      <w:r>
        <w:rPr>
          <w:rStyle w:val="Code"/>
        </w:rPr>
        <w:t>&lt;p&gt;</w:t>
      </w:r>
      <w:r>
        <w:rPr>
          <w:rStyle w:val="Codecomment"/>
        </w:rPr>
        <w:t>&lt;!--All milestones come within paragraphs.--&gt;</w:t>
      </w:r>
      <w:r>
        <w:rPr>
          <w:rStyle w:val="Codetext"/>
        </w:rPr>
        <w:br/>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"faces"</w:t>
      </w:r>
      <w:r>
        <w:rPr>
          <w:rStyle w:val="Code"/>
        </w:rPr>
        <w:t xml:space="preserve"> </w:t>
      </w:r>
      <w:r>
        <w:rPr>
          <w:rStyle w:val="Codeattribute"/>
        </w:rPr>
        <w:t>n</w:t>
      </w:r>
      <w:r>
        <w:rPr>
          <w:rStyle w:val="Code"/>
        </w:rPr>
        <w:t>=</w:t>
      </w:r>
      <w:r>
        <w:rPr>
          <w:rStyle w:val="Codevalue"/>
        </w:rPr>
        <w:t>"Ab"</w:t>
      </w:r>
      <w:r>
        <w:rPr>
          <w:rStyle w:val="Code"/>
        </w:rPr>
        <w:t>/&gt;</w:t>
      </w:r>
      <w:r>
        <w:rPr>
          <w:rStyle w:val="Codecomment"/>
        </w:rPr>
        <w:t>&lt;!--An optional &lt;label&gt; could have been added at this point and for the second facepair, as per §</w:t>
      </w:r>
      <w:r>
        <w:rPr>
          <w:rStyle w:val="Codecomment"/>
        </w:rPr>
        <w:fldChar w:fldCharType="begin"/>
      </w:r>
      <w:r>
        <w:rPr>
          <w:rStyle w:val="Codecomment"/>
        </w:rPr>
        <w:instrText xml:space="preserve"> REF _Ref182299869 \r \h </w:instrText>
      </w:r>
      <w:r>
        <w:rPr>
          <w:rStyle w:val="Codecomment"/>
        </w:rPr>
      </w:r>
      <w:r>
        <w:rPr>
          <w:rStyle w:val="Codecomment"/>
        </w:rPr>
        <w:fldChar w:fldCharType="separate"/>
      </w:r>
      <w:r>
        <w:rPr>
          <w:rStyle w:val="Codecomment"/>
        </w:rPr>
        <w:t>4.4.3.2</w:t>
      </w:r>
      <w:r>
        <w:rPr>
          <w:rStyle w:val="Codecomment"/>
        </w:rPr>
        <w:fldChar w:fldCharType="end"/>
      </w:r>
      <w:r>
        <w:rPr>
          <w:rStyle w:val="Codecomment"/>
        </w:rPr>
        <w:t>. --&gt;</w:t>
      </w:r>
      <w:r>
        <w:rPr>
          <w:rStyle w:val="Codetext"/>
        </w:rPr>
        <w:br/>
      </w:r>
      <w:r>
        <w:rPr>
          <w:rStyle w:val="Codecomment"/>
        </w:rPr>
        <w:t>&lt;!-- This encoding example uses the repetitive scheme of line numbering §</w:t>
      </w:r>
      <w:r>
        <w:rPr>
          <w:rStyle w:val="Codecomment"/>
        </w:rPr>
        <w:fldChar w:fldCharType="begin"/>
      </w:r>
      <w:r>
        <w:rPr>
          <w:rStyle w:val="Codecomment"/>
        </w:rPr>
        <w:instrText xml:space="preserve"> REF _Ref182228380 \r \h </w:instrText>
      </w:r>
      <w:r>
        <w:rPr>
          <w:rStyle w:val="Codecomment"/>
        </w:rPr>
      </w:r>
      <w:r>
        <w:rPr>
          <w:rStyle w:val="Codecomment"/>
        </w:rPr>
        <w:fldChar w:fldCharType="separate"/>
      </w:r>
      <w:r>
        <w:rPr>
          <w:rStyle w:val="Codecomment"/>
        </w:rPr>
        <w:t>4.5.2.2</w:t>
      </w:r>
      <w:r>
        <w:rPr>
          <w:rStyle w:val="Codecomment"/>
        </w:rPr>
        <w:fldChar w:fldCharType="end"/>
      </w:r>
      <w:r>
        <w:rPr>
          <w:rStyle w:val="Codecomment"/>
        </w:rPr>
        <w:t>, in accordance with SE Asian epigraphic conventions. Alternatively, lines could have been numbered starting from 1 and continuing from 8 on face Cd.--&gt;</w:t>
      </w:r>
    </w:p>
    <w:p w14:paraId="5A7D26DC" w14:textId="77777777">
      <w:pPr>
        <w:pStyle w:val="CodeParagraph"/>
        <w:rPr>
          <w:rStyle w:val="Code"/>
        </w:rPr>
      </w:pPr>
      <w:r>
        <w:rPr>
          <w:rStyle w:val="Code"/>
        </w:rPr>
        <w:t xml:space="preserve">&lt;lb </w:t>
      </w:r>
      <w:r>
        <w:rPr>
          <w:rStyle w:val="Codeattribute"/>
        </w:rPr>
        <w:t>n</w:t>
      </w:r>
      <w:r>
        <w:rPr>
          <w:rStyle w:val="Code"/>
        </w:rPr>
        <w:t>=</w:t>
      </w:r>
      <w:r>
        <w:rPr>
          <w:rStyle w:val="Codevalue"/>
        </w:rPr>
        <w:t>"Ab1"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In a hole in the ground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there lived</w:t>
      </w:r>
      <w:r>
        <w:rPr>
          <w:rStyle w:val="Codetext"/>
        </w:rPr>
        <w:br/>
      </w:r>
      <w:r>
        <w:rPr>
          <w:rStyle w:val="Code"/>
        </w:rPr>
        <w:t xml:space="preserve">&lt;lb </w:t>
      </w:r>
      <w:r>
        <w:rPr>
          <w:rStyle w:val="Codeattribute"/>
        </w:rPr>
        <w:t>n</w:t>
      </w:r>
      <w:r>
        <w:rPr>
          <w:rStyle w:val="Code"/>
        </w:rPr>
        <w:t>=</w:t>
      </w:r>
      <w:r>
        <w:rPr>
          <w:rStyle w:val="Codevalue"/>
        </w:rPr>
        <w:t>"Ab2"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 hobbit. Not a nasty, dirty,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wet hole,</w:t>
      </w:r>
      <w:r>
        <w:rPr>
          <w:rStyle w:val="Codetext"/>
        </w:rPr>
        <w:br/>
      </w:r>
      <w:r>
        <w:rPr>
          <w:rStyle w:val="Code"/>
        </w:rPr>
        <w:t xml:space="preserve">&lt;lb </w:t>
      </w:r>
      <w:r>
        <w:rPr>
          <w:rStyle w:val="Codeattribute"/>
        </w:rPr>
        <w:t>n</w:t>
      </w:r>
      <w:r>
        <w:rPr>
          <w:rStyle w:val="Code"/>
        </w:rPr>
        <w:t>=</w:t>
      </w:r>
      <w:r>
        <w:rPr>
          <w:rStyle w:val="Codevalue"/>
        </w:rPr>
        <w:t>"Ab3"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filled with the ends of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worms and</w:t>
      </w:r>
      <w:r>
        <w:rPr>
          <w:rStyle w:val="Codetext"/>
        </w:rPr>
        <w:br/>
      </w:r>
      <w:r>
        <w:rPr>
          <w:rStyle w:val="Code"/>
        </w:rPr>
        <w:t xml:space="preserve">&lt;lb </w:t>
      </w:r>
      <w:r>
        <w:rPr>
          <w:rStyle w:val="Codeattribute"/>
        </w:rPr>
        <w:t>n</w:t>
      </w:r>
      <w:r>
        <w:rPr>
          <w:rStyle w:val="Code"/>
        </w:rPr>
        <w:t>=</w:t>
      </w:r>
      <w:r>
        <w:rPr>
          <w:rStyle w:val="Codevalue"/>
        </w:rPr>
        <w:t>"Ab4"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an oozy smell, nor yet a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dry, bare,</w:t>
      </w:r>
      <w:r>
        <w:rPr>
          <w:rStyle w:val="Codetext"/>
        </w:rPr>
        <w:br/>
      </w:r>
      <w:r>
        <w:rPr>
          <w:rStyle w:val="Code"/>
        </w:rPr>
        <w:t xml:space="preserve">&lt;lb </w:t>
      </w:r>
      <w:r>
        <w:rPr>
          <w:rStyle w:val="Codeattribute"/>
        </w:rPr>
        <w:t>n</w:t>
      </w:r>
      <w:r>
        <w:rPr>
          <w:rStyle w:val="Code"/>
        </w:rPr>
        <w:t>=</w:t>
      </w:r>
      <w:r>
        <w:rPr>
          <w:rStyle w:val="Codevalue"/>
        </w:rPr>
        <w:t>"Ab5"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sandy hole with nothing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in it to</w:t>
      </w:r>
      <w:r>
        <w:rPr>
          <w:rStyle w:val="Codetext"/>
        </w:rPr>
        <w:br/>
      </w:r>
      <w:r>
        <w:rPr>
          <w:rStyle w:val="Code"/>
        </w:rPr>
        <w:t xml:space="preserve">&lt;lb </w:t>
      </w:r>
      <w:r>
        <w:rPr>
          <w:rStyle w:val="Codeattribute"/>
        </w:rPr>
        <w:t>n</w:t>
      </w:r>
      <w:r>
        <w:rPr>
          <w:rStyle w:val="Code"/>
        </w:rPr>
        <w:t>=</w:t>
      </w:r>
      <w:r>
        <w:rPr>
          <w:rStyle w:val="Codevalue"/>
        </w:rPr>
        <w:t>"Ab6"</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sit down on or to eat: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it was a</w:t>
      </w:r>
      <w:r>
        <w:rPr>
          <w:rStyle w:val="Codetext"/>
        </w:rPr>
        <w:br/>
      </w:r>
      <w:r>
        <w:rPr>
          <w:rStyle w:val="Code"/>
        </w:rPr>
        <w:lastRenderedPageBreak/>
        <w:t xml:space="preserve">&lt;lb </w:t>
      </w:r>
      <w:r>
        <w:rPr>
          <w:rStyle w:val="Codeattribute"/>
        </w:rPr>
        <w:t>n</w:t>
      </w:r>
      <w:r>
        <w:rPr>
          <w:rStyle w:val="Code"/>
        </w:rPr>
        <w:t>=</w:t>
      </w:r>
      <w:r>
        <w:rPr>
          <w:rStyle w:val="Codevalue"/>
        </w:rPr>
        <w:t>"Ab7"</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/&gt;</w:t>
      </w:r>
      <w:r>
        <w:rPr>
          <w:rStyle w:val="Codetext"/>
        </w:rPr>
        <w:t xml:space="preserve">hobbit-hole, and that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/&gt;</w:t>
      </w:r>
      <w:r>
        <w:rPr>
          <w:rStyle w:val="Codetext"/>
        </w:rPr>
        <w:t>means</w:t>
      </w:r>
      <w:r>
        <w:rPr>
          <w:rStyle w:val="Codetext"/>
        </w:rPr>
        <w:br/>
      </w:r>
      <w:r>
        <w:rPr>
          <w:rStyle w:val="Code"/>
        </w:rPr>
        <w:t xml:space="preserve">&lt;milestone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"faces"</w:t>
      </w:r>
      <w:r>
        <w:rPr>
          <w:rStyle w:val="Code"/>
        </w:rPr>
        <w:t xml:space="preserve"> </w:t>
      </w:r>
      <w:r>
        <w:rPr>
          <w:rStyle w:val="Codeattribute"/>
        </w:rPr>
        <w:t>n</w:t>
      </w:r>
      <w:r>
        <w:rPr>
          <w:rStyle w:val="Code"/>
        </w:rPr>
        <w:t>=</w:t>
      </w:r>
      <w:r>
        <w:rPr>
          <w:rStyle w:val="Codevalue"/>
        </w:rPr>
        <w:t>"Cd"</w:t>
      </w:r>
      <w:r>
        <w:rPr>
          <w:rStyle w:val="Code"/>
        </w:rPr>
        <w:t>/&gt;</w:t>
      </w:r>
    </w:p>
    <w:p w14:paraId="0E48B6C4" w14:textId="77777777">
      <w:pPr>
        <w:pStyle w:val="CodeParagraph"/>
        <w:rPr>
          <w:rStyle w:val="Codetext"/>
        </w:rPr>
      </w:pPr>
      <w:r>
        <w:rPr>
          <w:rStyle w:val="Code"/>
        </w:rPr>
        <w:t xml:space="preserve">&lt;lb </w:t>
      </w:r>
      <w:r>
        <w:rPr>
          <w:rStyle w:val="Codeattribute"/>
        </w:rPr>
        <w:t>n</w:t>
      </w:r>
      <w:r>
        <w:rPr>
          <w:rStyle w:val="Code"/>
        </w:rPr>
        <w:t>=</w:t>
      </w:r>
      <w:r>
        <w:rPr>
          <w:rStyle w:val="Codevalue"/>
        </w:rPr>
        <w:t>"Cd1"</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comfort.</w:t>
      </w:r>
    </w:p>
    <w:p w14:paraId="169845D0" w14:textId="77777777">
      <w:pPr>
        <w:pStyle w:val="CodeParagraph"/>
        <w:rPr>
          <w:rStyle w:val="Code"/>
        </w:rPr>
      </w:pPr>
      <w:r>
        <w:rPr>
          <w:rStyle w:val="Code"/>
        </w:rPr>
        <w:t>&lt;/p&gt;</w:t>
      </w:r>
      <w:r>
        <w:rPr>
          <w:rStyle w:val="Codecomment"/>
        </w:rPr>
        <w:t>&lt;!-- The text has been broken up into two semantic paragraphs, §</w:t>
      </w:r>
      <w:r>
        <w:rPr>
          <w:rStyle w:val="Codecomment"/>
          <w:rFonts w:eastAsia="Arial Unicode MS"/>
        </w:rPr>
        <w:fldChar w:fldCharType="begin"/>
      </w:r>
      <w:r>
        <w:rPr>
          <w:rStyle w:val="Codecomment"/>
          <w:rFonts w:eastAsia="Arial Unicode MS"/>
        </w:rPr>
        <w:instrText xml:space="preserve"> REF _Ref43991413 \r \h  \* MERGEFORMAT </w:instrText>
      </w:r>
      <w:r>
        <w:rPr>
          <w:rStyle w:val="Codecomment"/>
          <w:rFonts w:eastAsia="Arial Unicode MS"/>
        </w:rPr>
      </w:r>
      <w:r>
        <w:rPr>
          <w:rStyle w:val="Codecomment"/>
          <w:rFonts w:eastAsia="Arial Unicode MS"/>
        </w:rPr>
        <w:fldChar w:fldCharType="separate"/>
      </w:r>
      <w:r>
        <w:rPr>
          <w:rStyle w:val="Codecomment"/>
          <w:rFonts w:eastAsia="Arial Unicode MS"/>
        </w:rPr>
        <w:t>3.2.1.1</w:t>
      </w:r>
      <w:r>
        <w:rPr>
          <w:rStyle w:val="Codecomment"/>
          <w:rFonts w:eastAsia="Arial Unicode MS"/>
        </w:rPr>
        <w:fldChar w:fldCharType="end"/>
      </w:r>
      <w:r>
        <w:rPr>
          <w:rStyle w:val="Codecomment"/>
        </w:rPr>
        <w:t>.--&gt;</w:t>
      </w:r>
    </w:p>
    <w:p w14:paraId="6ABAF069" w14:textId="77777777">
      <w:pPr>
        <w:pStyle w:val="CodeParagraph"/>
      </w:pPr>
      <w:r>
        <w:rPr>
          <w:rStyle w:val="Code"/>
        </w:rPr>
        <w:t>&lt;p&gt;</w:t>
      </w:r>
      <w:r>
        <w:rPr>
          <w:rStyle w:val="Codetext"/>
        </w:rPr>
        <w:t xml:space="preserve">It had a perfectly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round door</w:t>
      </w:r>
      <w:r>
        <w:rPr>
          <w:rStyle w:val="Codetext"/>
        </w:rPr>
        <w:br/>
      </w:r>
      <w:r>
        <w:rPr>
          <w:rStyle w:val="Code"/>
        </w:rPr>
        <w:t xml:space="preserve">&lt;lb </w:t>
      </w:r>
      <w:r>
        <w:rPr>
          <w:rStyle w:val="Codeattribute"/>
        </w:rPr>
        <w:t>n</w:t>
      </w:r>
      <w:r>
        <w:rPr>
          <w:rStyle w:val="Code"/>
        </w:rPr>
        <w:t>=</w:t>
      </w:r>
      <w:r>
        <w:rPr>
          <w:rStyle w:val="Codevalue"/>
        </w:rPr>
        <w:t>"Cd2"</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like a porthole, painted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green, with</w:t>
      </w:r>
      <w:r>
        <w:rPr>
          <w:rStyle w:val="Codetext"/>
        </w:rPr>
        <w:br/>
      </w:r>
      <w:r>
        <w:rPr>
          <w:rStyle w:val="Code"/>
        </w:rPr>
        <w:t xml:space="preserve">&lt;lb </w:t>
      </w:r>
      <w:r>
        <w:rPr>
          <w:rStyle w:val="Codeattribute"/>
        </w:rPr>
        <w:t>n</w:t>
      </w:r>
      <w:r>
        <w:rPr>
          <w:rStyle w:val="Code"/>
        </w:rPr>
        <w:t>=</w:t>
      </w:r>
      <w:r>
        <w:rPr>
          <w:rStyle w:val="Codevalue"/>
        </w:rPr>
        <w:t>"Cd3"</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a shiny yellow brass knob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in the exact</w:t>
      </w:r>
      <w:r>
        <w:rPr>
          <w:rStyle w:val="Codetext"/>
        </w:rPr>
        <w:br/>
      </w:r>
      <w:r>
        <w:rPr>
          <w:rStyle w:val="Code"/>
        </w:rPr>
        <w:t xml:space="preserve">&lt;lb </w:t>
      </w:r>
      <w:r>
        <w:rPr>
          <w:rStyle w:val="Codeattribute"/>
        </w:rPr>
        <w:t>n</w:t>
      </w:r>
      <w:r>
        <w:rPr>
          <w:rStyle w:val="Code"/>
        </w:rPr>
        <w:t>=</w:t>
      </w:r>
      <w:r>
        <w:rPr>
          <w:rStyle w:val="Codevalue"/>
        </w:rPr>
        <w:t>"Cd4"</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middle. The door opened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on to a</w:t>
      </w:r>
      <w:r>
        <w:rPr>
          <w:rStyle w:val="Codetext"/>
        </w:rPr>
        <w:br/>
      </w:r>
      <w:r>
        <w:rPr>
          <w:rStyle w:val="Code"/>
        </w:rPr>
        <w:t xml:space="preserve">&lt;lb </w:t>
      </w:r>
      <w:r>
        <w:rPr>
          <w:rStyle w:val="Codeattribute"/>
        </w:rPr>
        <w:t>n</w:t>
      </w:r>
      <w:r>
        <w:rPr>
          <w:rStyle w:val="Code"/>
        </w:rPr>
        <w:t>=</w:t>
      </w:r>
      <w:r>
        <w:rPr>
          <w:rStyle w:val="Codevalue"/>
        </w:rPr>
        <w:t>"Cd5"</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tube-shaped hall like a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tunnel: a</w:t>
      </w:r>
      <w:r>
        <w:rPr>
          <w:rStyle w:val="Codetext"/>
        </w:rPr>
        <w:br/>
      </w:r>
      <w:r>
        <w:rPr>
          <w:rStyle w:val="Code"/>
        </w:rPr>
        <w:t xml:space="preserve">&lt;lb </w:t>
      </w:r>
      <w:r>
        <w:rPr>
          <w:rStyle w:val="Codeattribute"/>
        </w:rPr>
        <w:t>n</w:t>
      </w:r>
      <w:r>
        <w:rPr>
          <w:rStyle w:val="Code"/>
        </w:rPr>
        <w:t>=</w:t>
      </w:r>
      <w:r>
        <w:rPr>
          <w:rStyle w:val="Codevalue"/>
        </w:rPr>
        <w:t>"Cd6"</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 xml:space="preserve">very comfortable tunnel </w:t>
      </w:r>
      <w:r>
        <w:rPr>
          <w:rStyle w:val="Code"/>
        </w:rPr>
        <w:t xml:space="preserve">&lt;milestone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"d"</w:t>
      </w:r>
      <w:r>
        <w:rPr>
          <w:rStyle w:val="Code"/>
        </w:rPr>
        <w:t>/&gt;</w:t>
      </w:r>
      <w:r>
        <w:rPr>
          <w:rStyle w:val="Codetext"/>
        </w:rPr>
        <w:t>without</w:t>
      </w:r>
      <w:r>
        <w:rPr>
          <w:rStyle w:val="Codetext"/>
        </w:rPr>
        <w:br/>
      </w:r>
      <w:r>
        <w:rPr>
          <w:rStyle w:val="Code"/>
        </w:rPr>
        <w:t xml:space="preserve">&lt;lb </w:t>
      </w:r>
      <w:r>
        <w:rPr>
          <w:rStyle w:val="Codeattribute"/>
        </w:rPr>
        <w:t>n</w:t>
      </w:r>
      <w:r>
        <w:rPr>
          <w:rStyle w:val="Code"/>
        </w:rPr>
        <w:t>=</w:t>
      </w:r>
      <w:r>
        <w:rPr>
          <w:rStyle w:val="Codevalue"/>
        </w:rPr>
        <w:t>"Cd7"</w:t>
      </w:r>
      <w:r>
        <w:rPr>
          <w:rStyle w:val="Code"/>
        </w:rPr>
        <w:t xml:space="preserve">/&gt;&lt;milestone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"C"</w:t>
      </w:r>
      <w:r>
        <w:rPr>
          <w:rStyle w:val="Code"/>
        </w:rPr>
        <w:t>/&gt;</w:t>
      </w:r>
      <w:r>
        <w:rPr>
          <w:rStyle w:val="Codetext"/>
        </w:rPr>
        <w:t>smoke.</w:t>
      </w:r>
      <w:r>
        <w:rPr>
          <w:rStyle w:val="Codetext"/>
        </w:rPr>
        <w:br/>
      </w:r>
      <w:r>
        <w:rPr>
          <w:rStyle w:val="Code"/>
        </w:rPr>
        <w:t>&lt;/p&gt;</w:t>
      </w:r>
    </w:p>
    <w:p w14:paraId="20A5E0A9" w14:textId="77777777">
      <w:pPr>
        <w:pStyle w:val="Cmsor2"/>
        <w:numPr>
          <w:ilvl w:val="1"/>
          <w:numId w:val="7"/>
        </w:numPr>
      </w:pPr>
      <w:bookmarkStart w:id="1155" w:name="_Ref239843991"/>
      <w:bookmarkStart w:id="1156" w:name="_Ref239844156"/>
      <w:bookmarkStart w:id="1157" w:name="_Ref239844200"/>
      <w:bookmarkStart w:id="1158" w:name="_Ref239844234"/>
      <w:bookmarkStart w:id="1159" w:name="_Ref239844315"/>
      <w:bookmarkStart w:id="1160" w:name="_Toc243900487"/>
      <w:r>
        <w:t>Stele with two inscribed faces, an incipit and quasi-columns</w:t>
      </w:r>
      <w:bookmarkEnd w:id="1155"/>
      <w:bookmarkEnd w:id="1156"/>
      <w:bookmarkEnd w:id="1157"/>
      <w:bookmarkEnd w:id="1158"/>
      <w:bookmarkEnd w:id="1159"/>
      <w:bookmarkEnd w:id="1160"/>
    </w:p>
    <w:p w14:paraId="16A8782E" w14:textId="77777777">
      <w:pPr>
        <w:pStyle w:val="Image"/>
      </w:pPr>
      <w:r>
        <w:drawing>
          <wp:inline distT="0" distB="0" distL="0" distR="0" wp14:anchorId="7E23DB60" wp14:editId="40A3EBB5">
            <wp:extent cx="6107430" cy="4326255"/>
            <wp:effectExtent l="0" t="0" r="7620" b="0"/>
            <wp:docPr id="1318861579"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07430" cy="4326255"/>
                    </a:xfrm>
                    <a:prstGeom prst="rect">
                      <a:avLst/>
                    </a:prstGeom>
                    <a:noFill/>
                    <a:ln>
                      <a:noFill/>
                    </a:ln>
                  </pic:spPr>
                </pic:pic>
              </a:graphicData>
            </a:graphic>
          </wp:inline>
        </w:drawing>
      </w:r>
    </w:p>
    <w:p w14:paraId="58174CCF" w14:textId="77777777">
      <w:pPr>
        <w:pStyle w:val="Lista"/>
      </w:pPr>
      <w:r>
        <w:t>this is the inscription DHARMA_INSCIK00191, the Phnom Sandak inscription, Preah Vihear province (K. 191, 1032 Śaka), a stele inscribed on two faces</w:t>
      </w:r>
    </w:p>
    <w:p w14:paraId="10EA81B6" w14:textId="77777777">
      <w:pPr>
        <w:pStyle w:val="Lista2"/>
      </w:pPr>
      <w:r>
        <w:t>the image above shows only the upper portion of each face</w:t>
      </w:r>
    </w:p>
    <w:p w14:paraId="0F7ED4CC" w14:textId="77777777">
      <w:pPr>
        <w:pStyle w:val="Lista2"/>
      </w:pPr>
      <w:r>
        <w:t>each face begins with an invocatory syllable offset from the main body of text</w:t>
      </w:r>
    </w:p>
    <w:p w14:paraId="0FB659FF" w14:textId="77777777">
      <w:pPr>
        <w:pStyle w:val="Lista2"/>
      </w:pPr>
      <w:r>
        <w:t>the text is in verse, laid out in quasi-columns where each line must be read all the way from left to right across both columns</w:t>
      </w:r>
    </w:p>
    <w:p w14:paraId="61A754D7" w14:textId="77777777">
      <w:pPr>
        <w:pStyle w:val="Lista2"/>
      </w:pPr>
      <w:r>
        <w:t>after reading all of face A, the reader is expected to continue on face B</w:t>
      </w:r>
    </w:p>
    <w:p w14:paraId="6B6EA7B3" w14:textId="77777777">
      <w:pPr>
        <w:pStyle w:val="Lista2"/>
      </w:pPr>
      <w:r>
        <w:t>a fly in the soup is the invocatory syllable at the top of face B, which does not truly belong in the sequence of text between the two faces</w:t>
      </w:r>
    </w:p>
    <w:p w14:paraId="0F2477F0" w14:textId="77777777">
      <w:pPr>
        <w:pStyle w:val="Lista"/>
      </w:pPr>
      <w:r>
        <w:lastRenderedPageBreak/>
        <w:t>encoding the physical and logical arrangement with complete accuracy would be very complex without any tangible gain, so it has been decided that</w:t>
      </w:r>
    </w:p>
    <w:p w14:paraId="0519FA0C" w14:textId="77777777">
      <w:pPr>
        <w:pStyle w:val="Lista2"/>
      </w:pPr>
      <w:r>
        <w:t>the two faces will be encoded as a pagelike partition (§</w:t>
      </w:r>
      <w:r>
        <w:fldChar w:fldCharType="begin"/>
      </w:r>
      <w:r>
        <w:instrText xml:space="preserve"> REF _Ref233982406 \r \h </w:instrText>
      </w:r>
      <w:r>
        <w:fldChar w:fldCharType="separate"/>
      </w:r>
      <w:r>
        <w:t>4.4</w:t>
      </w:r>
      <w:r>
        <w:fldChar w:fldCharType="end"/>
      </w:r>
      <w:r>
        <w:t>), as for similar stelae without an incipit on the second face</w:t>
      </w:r>
    </w:p>
    <w:p w14:paraId="509A5941" w14:textId="77777777">
      <w:pPr>
        <w:pStyle w:val="Lista2"/>
      </w:pPr>
      <w:r>
        <w:t>the incipits will be handled as usual, i.e. as visually offset opening lines (§</w:t>
      </w:r>
      <w:r>
        <w:fldChar w:fldCharType="begin"/>
      </w:r>
      <w:r>
        <w:instrText xml:space="preserve"> REF _Ref43978135 \r \h </w:instrText>
      </w:r>
      <w:r>
        <w:fldChar w:fldCharType="separate"/>
      </w:r>
      <w:r>
        <w:t>4.7.1.1</w:t>
      </w:r>
      <w:r>
        <w:fldChar w:fldCharType="end"/>
      </w:r>
      <w:r>
        <w:t>), without regard for the fact that the second incipit is not part of the logical flow</w:t>
      </w:r>
    </w:p>
    <w:p w14:paraId="4C5EE39C" w14:textId="77777777">
      <w:pPr>
        <w:pStyle w:val="Lista2"/>
      </w:pPr>
      <w:r>
        <w:t>the lines will, as a matter of course, be encoded as a gridlike partition (§</w:t>
      </w:r>
      <w:r>
        <w:fldChar w:fldCharType="begin"/>
      </w:r>
      <w:r>
        <w:instrText xml:space="preserve"> REF _Ref43984651 \r \h </w:instrText>
      </w:r>
      <w:r>
        <w:fldChar w:fldCharType="separate"/>
      </w:r>
      <w:r>
        <w:t>4.6</w:t>
      </w:r>
      <w:r>
        <w:fldChar w:fldCharType="end"/>
      </w:r>
      <w:r>
        <w:t>), as recommended for text laid out in this fashion (§</w:t>
      </w:r>
      <w:r>
        <w:fldChar w:fldCharType="begin"/>
      </w:r>
      <w:r>
        <w:instrText xml:space="preserve"> REF _Ref225865506 \r \h </w:instrText>
      </w:r>
      <w:r>
        <w:fldChar w:fldCharType="separate"/>
      </w:r>
      <w:r>
        <w:t>4.7.5.3</w:t>
      </w:r>
      <w:r>
        <w:fldChar w:fldCharType="end"/>
      </w:r>
      <w:r>
        <w:t>)</w:t>
      </w:r>
    </w:p>
    <w:p w14:paraId="6F4EBF12" w14:textId="77777777">
      <w:r>
        <w:br w:type="page"/>
      </w:r>
    </w:p>
    <w:p w14:paraId="3B0508DB" w14:textId="77777777">
      <w:pPr>
        <w:pStyle w:val="CodeParagraph"/>
        <w:rPr>
          <w:rStyle w:val="Code"/>
        </w:rPr>
      </w:pPr>
      <w:r>
        <w:rPr>
          <w:rStyle w:val="Code"/>
        </w:rPr>
        <w:lastRenderedPageBreak/>
        <w:t xml:space="preserve">&lt;div </w:t>
      </w:r>
      <w:r>
        <w:rPr>
          <w:rStyle w:val="Codeattribute"/>
        </w:rPr>
        <w:t>type</w:t>
      </w:r>
      <w:r>
        <w:rPr>
          <w:rStyle w:val="Code"/>
        </w:rPr>
        <w:t>=</w:t>
      </w:r>
      <w:r>
        <w:rPr>
          <w:rStyle w:val="Codevalue"/>
        </w:rPr>
        <w:t>"edition"</w:t>
      </w:r>
      <w:r>
        <w:rPr>
          <w:rStyle w:val="Code"/>
        </w:rPr>
        <w:t xml:space="preserve"> </w:t>
      </w:r>
      <w:r>
        <w:rPr>
          <w:rStyle w:val="Codeattribute"/>
        </w:rPr>
        <w:t>xml:lang</w:t>
      </w:r>
      <w:r>
        <w:rPr>
          <w:rStyle w:val="Code"/>
        </w:rPr>
        <w:t>=</w:t>
      </w:r>
      <w:r>
        <w:rPr>
          <w:rStyle w:val="Codevalue"/>
        </w:rPr>
        <w:t>"san-Latn"</w:t>
      </w:r>
      <w:r>
        <w:rPr>
          <w:rStyle w:val="Code"/>
        </w:rPr>
        <w:t>&gt;</w:t>
      </w:r>
      <w:r>
        <w:rPr>
          <w:rStyle w:val="Codetext"/>
        </w:rPr>
        <w:br/>
      </w:r>
      <w:r>
        <w:rPr>
          <w:rStyle w:val="Code"/>
        </w:rPr>
        <w:t>&lt;ab&gt;</w:t>
      </w:r>
    </w:p>
    <w:p w14:paraId="4B318204" w14:textId="77777777">
      <w:pPr>
        <w:pStyle w:val="CodeParagraph"/>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"A"</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Face A</w:t>
      </w:r>
      <w:r>
        <w:rPr>
          <w:rStyle w:val="Code"/>
        </w:rPr>
        <w:t>&lt;/label&gt;</w:t>
      </w:r>
    </w:p>
    <w:p w14:paraId="45559FBB" w14:textId="77777777">
      <w:pPr>
        <w:pStyle w:val="CodeParagraph"/>
        <w:rPr>
          <w:rStyle w:val="Codetext"/>
        </w:rPr>
      </w:pPr>
      <w:r>
        <w:rPr>
          <w:rStyle w:val="Code"/>
        </w:rPr>
        <w:t xml:space="preserve">  &lt;lb </w:t>
      </w:r>
      <w:r>
        <w:rPr>
          <w:rStyle w:val="Codeattribute"/>
        </w:rPr>
        <w:t>n</w:t>
      </w:r>
      <w:r>
        <w:rPr>
          <w:rStyle w:val="Code"/>
        </w:rPr>
        <w:t>=</w:t>
      </w:r>
      <w:r>
        <w:rPr>
          <w:rStyle w:val="Codevalue"/>
        </w:rPr>
        <w:t>"A0"</w:t>
      </w:r>
      <w:r>
        <w:rPr>
          <w:rStyle w:val="Code"/>
        </w:rPr>
        <w:t xml:space="preserve"> </w:t>
      </w:r>
      <w:r>
        <w:rPr>
          <w:rStyle w:val="Codeattribute"/>
        </w:rPr>
        <w:t>style</w:t>
      </w:r>
      <w:r>
        <w:rPr>
          <w:rStyle w:val="Code"/>
        </w:rPr>
        <w:t>=</w:t>
      </w:r>
      <w:r>
        <w:rPr>
          <w:rStyle w:val="Codevalue"/>
        </w:rPr>
        <w:t>"text-align: center"</w:t>
      </w:r>
      <w:r>
        <w:rPr>
          <w:rStyle w:val="Code"/>
        </w:rPr>
        <w:t>/&gt;</w:t>
      </w:r>
      <w:r>
        <w:rPr>
          <w:rStyle w:val="Codetext"/>
        </w:rPr>
        <w:t>Oṁ</w:t>
      </w:r>
    </w:p>
    <w:p w14:paraId="00DD9F55" w14:textId="77777777">
      <w:pPr>
        <w:pStyle w:val="CodeParagraph"/>
        <w:rPr>
          <w:rStyle w:val="Codetext"/>
        </w:rPr>
      </w:pPr>
      <w:r>
        <w:rPr>
          <w:rStyle w:val="Code"/>
        </w:rPr>
        <w:t>&lt;/ab&gt;</w:t>
      </w:r>
    </w:p>
    <w:p w14:paraId="51361D8D" w14:textId="77777777">
      <w:pPr>
        <w:pStyle w:val="CodeParagraph"/>
        <w:rPr>
          <w:rStyle w:val="Code"/>
        </w:rPr>
      </w:pPr>
      <w:r>
        <w:rPr>
          <w:rStyle w:val="Code"/>
        </w:rPr>
        <w:t xml:space="preserve">&lt;lg </w:t>
      </w:r>
      <w:r>
        <w:rPr>
          <w:rStyle w:val="Codeattribute"/>
        </w:rPr>
        <w:t>n</w:t>
      </w:r>
      <w:r>
        <w:rPr>
          <w:rStyle w:val="Code"/>
        </w:rPr>
        <w:t>=</w:t>
      </w:r>
      <w:r>
        <w:rPr>
          <w:rStyle w:val="Codevalue"/>
        </w:rPr>
        <w:t>"1"</w:t>
      </w:r>
      <w:r>
        <w:rPr>
          <w:rStyle w:val="Code"/>
        </w:rPr>
        <w:t xml:space="preserve"> </w:t>
      </w:r>
      <w:r>
        <w:rPr>
          <w:rStyle w:val="Codeattribute"/>
        </w:rPr>
        <w:t>met</w:t>
      </w:r>
      <w:r>
        <w:rPr>
          <w:rStyle w:val="Code"/>
        </w:rPr>
        <w:t>=</w:t>
      </w:r>
      <w:r>
        <w:rPr>
          <w:rStyle w:val="Codevalue"/>
        </w:rPr>
        <w:t>"upajāti"</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"A1"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 xml:space="preserve">/&gt;&lt;g </w:t>
      </w:r>
      <w:r>
        <w:rPr>
          <w:rStyle w:val="Codeattribute"/>
        </w:rPr>
        <w:t>ref</w:t>
      </w:r>
      <w:r>
        <w:rPr>
          <w:rStyle w:val="Code"/>
        </w:rPr>
        <w:t>=</w:t>
      </w:r>
      <w:r>
        <w:rPr>
          <w:rStyle w:val="Codevalue"/>
        </w:rPr>
        <w:t>"sym:flourish-taperOut"</w:t>
      </w:r>
      <w:r>
        <w:rPr>
          <w:rStyle w:val="Code"/>
        </w:rPr>
        <w:t>&gt;</w:t>
      </w:r>
      <w:r>
        <w:rPr>
          <w:rStyle w:val="Codetext"/>
        </w:rPr>
        <w:t>*</w:t>
      </w:r>
      <w:r>
        <w:rPr>
          <w:rStyle w:val="Code"/>
        </w:rPr>
        <w:t>&lt;/g&gt;</w:t>
      </w:r>
      <w:r>
        <w:rPr>
          <w:rStyle w:val="Codetext"/>
        </w:rPr>
        <w:t xml:space="preserve"> namaś śivāyāstu ya Eka Eva</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jñānakriyārūpatayā dvibhedaḥ</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"A2"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bhūyo py anugrāhitayāṇuvr̥ṇde</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 xml:space="preserve">vāmādibhedād vahudhā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vikīrṇaḥ</w:t>
      </w:r>
      <w:r>
        <w:rPr>
          <w:rStyle w:val="Code"/>
        </w:rPr>
        <w:t>&lt;/l&gt;</w:t>
      </w:r>
      <w:r>
        <w:rPr>
          <w:rStyle w:val="Codetext"/>
        </w:rPr>
        <w:br/>
      </w:r>
      <w:r>
        <w:rPr>
          <w:rStyle w:val="Code"/>
        </w:rPr>
        <w:t>&lt;/lg&gt;</w:t>
      </w:r>
      <w:r>
        <w:rPr>
          <w:rStyle w:val="Codetext"/>
        </w:rPr>
        <w:br/>
      </w:r>
      <w:r>
        <w:rPr>
          <w:rStyle w:val="Code"/>
        </w:rPr>
        <w:t xml:space="preserve">&lt;lg </w:t>
      </w:r>
      <w:r>
        <w:rPr>
          <w:rStyle w:val="Codeattribute"/>
        </w:rPr>
        <w:t>n</w:t>
      </w:r>
      <w:r>
        <w:rPr>
          <w:rStyle w:val="Code"/>
        </w:rPr>
        <w:t>=</w:t>
      </w:r>
      <w:r>
        <w:rPr>
          <w:rStyle w:val="Codevalue"/>
        </w:rPr>
        <w:t>"2"</w:t>
      </w:r>
      <w:r>
        <w:rPr>
          <w:rStyle w:val="Code"/>
        </w:rPr>
        <w:t xml:space="preserve"> </w:t>
      </w:r>
      <w:r>
        <w:rPr>
          <w:rStyle w:val="Codeattribute"/>
        </w:rPr>
        <w:t>met</w:t>
      </w:r>
      <w:r>
        <w:rPr>
          <w:rStyle w:val="Code"/>
        </w:rPr>
        <w:t>=</w:t>
      </w:r>
      <w:r>
        <w:rPr>
          <w:rStyle w:val="Codevalue"/>
        </w:rPr>
        <w:t>"upajāti"</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"A3"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yasyāḥ prasāde jagatāṁ vimuktir</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vāllabhyataḥ patyur anādivandhāt·</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"A4"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bhāvānyatāyām api vandhavr̥</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ddhir·</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vi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dyaiva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sā vo </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 xml:space="preserve"> vatu viśvarūpā</w:t>
      </w:r>
      <w:r>
        <w:rPr>
          <w:rStyle w:val="Code"/>
        </w:rPr>
        <w:t>&lt;/l&gt;</w:t>
      </w:r>
      <w:r>
        <w:rPr>
          <w:rStyle w:val="Codetext"/>
        </w:rPr>
        <w:br/>
      </w:r>
      <w:r>
        <w:rPr>
          <w:rStyle w:val="Code"/>
        </w:rPr>
        <w:t>&lt;/lg&gt;</w:t>
      </w:r>
      <w:r>
        <w:rPr>
          <w:rStyle w:val="Codetext"/>
        </w:rPr>
        <w:br/>
        <w:t>...</w:t>
      </w:r>
      <w:r>
        <w:rPr>
          <w:rStyle w:val="Codetext"/>
        </w:rPr>
        <w:br/>
      </w:r>
      <w:r>
        <w:rPr>
          <w:rStyle w:val="Code"/>
        </w:rPr>
        <w:t>&lt;ab&gt;</w:t>
      </w:r>
    </w:p>
    <w:p w14:paraId="2418815E" w14:textId="77777777">
      <w:pPr>
        <w:pStyle w:val="CodeParagraph"/>
        <w:rPr>
          <w:rStyle w:val="Code"/>
        </w:rPr>
      </w:pPr>
      <w:r>
        <w:rPr>
          <w:rStyle w:val="Code"/>
        </w:rPr>
        <w:t xml:space="preserve">  &lt;milestone </w:t>
      </w:r>
      <w:r>
        <w:rPr>
          <w:rStyle w:val="Codeattribute"/>
        </w:rPr>
        <w:t>type</w:t>
      </w:r>
      <w:r>
        <w:rPr>
          <w:rStyle w:val="Code"/>
        </w:rPr>
        <w:t>=</w:t>
      </w:r>
      <w:r>
        <w:rPr>
          <w:rStyle w:val="Codevalue"/>
        </w:rPr>
        <w:t>"pagelike"</w:t>
      </w:r>
      <w:r>
        <w:rPr>
          <w:rStyle w:val="Code"/>
        </w:rPr>
        <w:t xml:space="preserve"> </w:t>
      </w:r>
      <w:r>
        <w:rPr>
          <w:rStyle w:val="Codeattribute"/>
        </w:rPr>
        <w:t>unit</w:t>
      </w:r>
      <w:r>
        <w:rPr>
          <w:rStyle w:val="Code"/>
        </w:rPr>
        <w:t>=</w:t>
      </w:r>
      <w:r>
        <w:rPr>
          <w:rStyle w:val="Codevalue"/>
        </w:rPr>
        <w:t>"face"</w:t>
      </w:r>
      <w:r>
        <w:rPr>
          <w:rStyle w:val="Code"/>
        </w:rPr>
        <w:t xml:space="preserve"> </w:t>
      </w:r>
      <w:r>
        <w:rPr>
          <w:rStyle w:val="Codeattribute"/>
        </w:rPr>
        <w:t>n</w:t>
      </w:r>
      <w:r>
        <w:rPr>
          <w:rStyle w:val="Code"/>
        </w:rPr>
        <w:t>=</w:t>
      </w:r>
      <w:r>
        <w:rPr>
          <w:rStyle w:val="Codevalue"/>
        </w:rPr>
        <w:t>"B"</w:t>
      </w:r>
      <w:r>
        <w:rPr>
          <w:rStyle w:val="Code"/>
        </w:rPr>
        <w:t xml:space="preserve">/&gt;&lt;label </w:t>
      </w:r>
      <w:r>
        <w:rPr>
          <w:rStyle w:val="Codeattribute"/>
        </w:rPr>
        <w:t>xml:lang</w:t>
      </w:r>
      <w:r>
        <w:rPr>
          <w:rStyle w:val="Code"/>
        </w:rPr>
        <w:t>=</w:t>
      </w:r>
      <w:r>
        <w:rPr>
          <w:rStyle w:val="Codevalue"/>
        </w:rPr>
        <w:t>"eng"</w:t>
      </w:r>
      <w:r>
        <w:rPr>
          <w:rStyle w:val="Code"/>
        </w:rPr>
        <w:t>&gt;</w:t>
      </w:r>
      <w:r>
        <w:rPr>
          <w:rStyle w:val="Codetext"/>
        </w:rPr>
        <w:t>Face B</w:t>
      </w:r>
      <w:r>
        <w:rPr>
          <w:rStyle w:val="Code"/>
        </w:rPr>
        <w:t>&lt;/label&gt;</w:t>
      </w:r>
    </w:p>
    <w:p w14:paraId="5B27BB9A" w14:textId="77777777">
      <w:pPr>
        <w:pStyle w:val="CodeParagraph"/>
        <w:rPr>
          <w:rStyle w:val="Codetext"/>
        </w:rPr>
      </w:pPr>
      <w:r>
        <w:rPr>
          <w:rStyle w:val="Code"/>
        </w:rPr>
        <w:t xml:space="preserve">  &lt;lb </w:t>
      </w:r>
      <w:r>
        <w:rPr>
          <w:rStyle w:val="Codeattribute"/>
        </w:rPr>
        <w:t>n</w:t>
      </w:r>
      <w:r>
        <w:rPr>
          <w:rStyle w:val="Code"/>
        </w:rPr>
        <w:t>=</w:t>
      </w:r>
      <w:r>
        <w:rPr>
          <w:rStyle w:val="Codevalue"/>
        </w:rPr>
        <w:t>"B0"</w:t>
      </w:r>
      <w:r>
        <w:rPr>
          <w:rStyle w:val="Code"/>
        </w:rPr>
        <w:t xml:space="preserve"> </w:t>
      </w:r>
      <w:r>
        <w:rPr>
          <w:rStyle w:val="Codeattribute"/>
        </w:rPr>
        <w:t>style</w:t>
      </w:r>
      <w:r>
        <w:rPr>
          <w:rStyle w:val="Code"/>
        </w:rPr>
        <w:t>=</w:t>
      </w:r>
      <w:r>
        <w:rPr>
          <w:rStyle w:val="Codevalue"/>
        </w:rPr>
        <w:t>"text-align: center"</w:t>
      </w:r>
      <w:r>
        <w:rPr>
          <w:rStyle w:val="Code"/>
        </w:rPr>
        <w:t>/&gt;</w:t>
      </w:r>
      <w:r>
        <w:rPr>
          <w:rStyle w:val="Codetext"/>
        </w:rPr>
        <w:t>hūṁ</w:t>
      </w:r>
    </w:p>
    <w:p w14:paraId="1E54F597" w14:textId="77777777">
      <w:pPr>
        <w:pStyle w:val="CodeParagraph"/>
        <w:rPr>
          <w:rStyle w:val="Code"/>
        </w:rPr>
      </w:pPr>
      <w:r>
        <w:rPr>
          <w:rStyle w:val="Code"/>
        </w:rPr>
        <w:t>&lt;/ab&gt;</w:t>
      </w:r>
    </w:p>
    <w:p w14:paraId="3C5E51E3" w14:textId="77777777">
      <w:pPr>
        <w:pStyle w:val="CodeParagraph"/>
        <w:rPr>
          <w:rStyle w:val="Code"/>
        </w:rPr>
      </w:pPr>
      <w:r>
        <w:rPr>
          <w:rStyle w:val="Code"/>
        </w:rPr>
        <w:t xml:space="preserve">&lt;lg </w:t>
      </w:r>
      <w:r>
        <w:rPr>
          <w:rStyle w:val="Codeattribute"/>
        </w:rPr>
        <w:t>n</w:t>
      </w:r>
      <w:r>
        <w:rPr>
          <w:rStyle w:val="Code"/>
        </w:rPr>
        <w:t>=</w:t>
      </w:r>
      <w:r>
        <w:rPr>
          <w:rStyle w:val="Codevalue"/>
        </w:rPr>
        <w:t>"25"</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"B1"</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hr</w:t>
      </w:r>
      <w:r>
        <w:rPr>
          <w:rStyle w:val="Code"/>
        </w:rPr>
        <w:t xml:space="preserve">&lt;supplied </w:t>
      </w:r>
      <w:r>
        <w:rPr>
          <w:rStyle w:val="Codeattribute"/>
        </w:rPr>
        <w:t>reason</w:t>
      </w:r>
      <w:r>
        <w:rPr>
          <w:rStyle w:val="Code"/>
        </w:rPr>
        <w:t>=</w:t>
      </w:r>
      <w:r>
        <w:rPr>
          <w:rStyle w:val="Codevalue"/>
        </w:rPr>
        <w:t>"lost"</w:t>
      </w:r>
      <w:r>
        <w:rPr>
          <w:rStyle w:val="Code"/>
        </w:rPr>
        <w:t>&gt;</w:t>
      </w:r>
      <w:r>
        <w:rPr>
          <w:rStyle w:val="Codetext"/>
        </w:rPr>
        <w:t>ī</w:t>
      </w:r>
      <w:r>
        <w:rPr>
          <w:rStyle w:val="Code"/>
        </w:rPr>
        <w:t>&lt;/supplied&gt;</w:t>
      </w:r>
      <w:r>
        <w:rPr>
          <w:rStyle w:val="Codetext"/>
        </w:rPr>
        <w:t>kāntikīrttikamalābhir ajasrayuktas</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sastrīkatām adhigato pi tapasvivr̥ttiḥ</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 </w:t>
      </w:r>
      <w:r>
        <w:rPr>
          <w:rStyle w:val="Codeattribute"/>
        </w:rPr>
        <w:t>enjamb</w:t>
      </w:r>
      <w:r>
        <w:rPr>
          <w:rStyle w:val="Code"/>
        </w:rPr>
        <w:t>=</w:t>
      </w:r>
      <w:r>
        <w:rPr>
          <w:rStyle w:val="Codevalue"/>
        </w:rPr>
        <w:t>"yes"</w:t>
      </w:r>
      <w:r>
        <w:rPr>
          <w:rStyle w:val="Code"/>
        </w:rPr>
        <w:t xml:space="preserve">&gt;&lt;lb </w:t>
      </w:r>
      <w:r>
        <w:rPr>
          <w:rStyle w:val="Codeattribute"/>
        </w:rPr>
        <w:t>n</w:t>
      </w:r>
      <w:r>
        <w:rPr>
          <w:rStyle w:val="Code"/>
        </w:rPr>
        <w:t>=</w:t>
      </w:r>
      <w:r>
        <w:rPr>
          <w:rStyle w:val="Codevalue"/>
        </w:rPr>
        <w:t>"B2"</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bhūbhr̥cchironi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hitapādatalo dyugāmi</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dr̥ṣṭi</w:t>
      </w:r>
      <w:r>
        <w:rPr>
          <w:rStyle w:val="Code"/>
        </w:rPr>
        <w:t xml:space="preserve">&lt;space </w:t>
      </w:r>
      <w:r>
        <w:rPr>
          <w:rStyle w:val="Codeattribute"/>
        </w:rPr>
        <w:t>type</w:t>
      </w:r>
      <w:r>
        <w:rPr>
          <w:rStyle w:val="Code"/>
        </w:rPr>
        <w:t>=</w:t>
      </w:r>
      <w:r>
        <w:rPr>
          <w:rStyle w:val="Codevalue"/>
        </w:rPr>
        <w:t>"descender"</w:t>
      </w:r>
      <w:r>
        <w:rPr>
          <w:rStyle w:val="Code"/>
        </w:rPr>
        <w:t>/&gt;</w:t>
      </w:r>
      <w:r>
        <w:rPr>
          <w:rStyle w:val="Codetext"/>
        </w:rPr>
        <w:t>r vvisandhir apareṇa karodyato yaḥ</w:t>
      </w:r>
      <w:r>
        <w:rPr>
          <w:rStyle w:val="Code"/>
        </w:rPr>
        <w:t>&lt;/l&gt;</w:t>
      </w:r>
      <w:r>
        <w:rPr>
          <w:rStyle w:val="Codetext"/>
        </w:rPr>
        <w:br/>
      </w:r>
      <w:r>
        <w:rPr>
          <w:rStyle w:val="Code"/>
        </w:rPr>
        <w:t>&lt;/lg&gt;</w:t>
      </w:r>
      <w:r>
        <w:rPr>
          <w:rStyle w:val="Codetext"/>
        </w:rPr>
        <w:br/>
      </w:r>
      <w:r>
        <w:rPr>
          <w:rStyle w:val="Code"/>
        </w:rPr>
        <w:t xml:space="preserve">&lt;lg </w:t>
      </w:r>
      <w:r>
        <w:rPr>
          <w:rStyle w:val="Codeattribute"/>
        </w:rPr>
        <w:t>n</w:t>
      </w:r>
      <w:r>
        <w:rPr>
          <w:rStyle w:val="Code"/>
        </w:rPr>
        <w:t>=</w:t>
      </w:r>
      <w:r>
        <w:rPr>
          <w:rStyle w:val="Codevalue"/>
        </w:rPr>
        <w:t>"26"</w:t>
      </w:r>
      <w:r>
        <w:rPr>
          <w:rStyle w:val="Code"/>
        </w:rPr>
        <w:t xml:space="preserve"> </w:t>
      </w:r>
      <w:r>
        <w:rPr>
          <w:rStyle w:val="Codeattribute"/>
        </w:rPr>
        <w:t>met</w:t>
      </w:r>
      <w:r>
        <w:rPr>
          <w:rStyle w:val="Code"/>
        </w:rPr>
        <w:t>=</w:t>
      </w:r>
      <w:r>
        <w:rPr>
          <w:rStyle w:val="Codevalue"/>
        </w:rPr>
        <w:t>"vasantatilakā"</w:t>
      </w:r>
      <w:r>
        <w:rPr>
          <w:rStyle w:val="Code"/>
        </w:rPr>
        <w:t>&gt;</w:t>
      </w:r>
      <w:r>
        <w:rPr>
          <w:rStyle w:val="Codetext"/>
        </w:rPr>
        <w:br/>
      </w:r>
      <w:r>
        <w:rPr>
          <w:rStyle w:val="Code"/>
        </w:rPr>
        <w:t xml:space="preserve">  &lt;l </w:t>
      </w:r>
      <w:r>
        <w:rPr>
          <w:rStyle w:val="Codeattribute"/>
        </w:rPr>
        <w:t>n</w:t>
      </w:r>
      <w:r>
        <w:rPr>
          <w:rStyle w:val="Code"/>
        </w:rPr>
        <w:t>=</w:t>
      </w:r>
      <w:r>
        <w:rPr>
          <w:rStyle w:val="Codevalue"/>
        </w:rPr>
        <w:t>"a"</w:t>
      </w:r>
      <w:r>
        <w:rPr>
          <w:rStyle w:val="Code"/>
        </w:rPr>
        <w:t xml:space="preserve">&gt;&lt;lb </w:t>
      </w:r>
      <w:r>
        <w:rPr>
          <w:rStyle w:val="Codeattribute"/>
        </w:rPr>
        <w:t>n</w:t>
      </w:r>
      <w:r>
        <w:rPr>
          <w:rStyle w:val="Code"/>
        </w:rPr>
        <w:t>=</w:t>
      </w:r>
      <w:r>
        <w:rPr>
          <w:rStyle w:val="Codevalue"/>
        </w:rPr>
        <w:t>"B3"</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Aurvvānalo janitatāpatayā nu yasya</w:t>
      </w:r>
      <w:r>
        <w:rPr>
          <w:rStyle w:val="Code"/>
        </w:rPr>
        <w:t>&lt;/l&gt;</w:t>
      </w:r>
      <w:r>
        <w:rPr>
          <w:rStyle w:val="Codetext"/>
        </w:rPr>
        <w:br/>
      </w:r>
      <w:r>
        <w:rPr>
          <w:rStyle w:val="Code"/>
        </w:rPr>
        <w:t xml:space="preserve">  &lt;l </w:t>
      </w:r>
      <w:r>
        <w:rPr>
          <w:rStyle w:val="Codeattribute"/>
        </w:rPr>
        <w:t>n</w:t>
      </w:r>
      <w:r>
        <w:rPr>
          <w:rStyle w:val="Code"/>
        </w:rPr>
        <w:t>=</w:t>
      </w:r>
      <w:r>
        <w:rPr>
          <w:rStyle w:val="Codevalue"/>
        </w:rPr>
        <w:t>"b"</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tejonalena hr̥daye ripumāninīnām·</w:t>
      </w:r>
      <w:r>
        <w:rPr>
          <w:rStyle w:val="Code"/>
        </w:rPr>
        <w:t>&lt;/l&gt;</w:t>
      </w:r>
      <w:r>
        <w:rPr>
          <w:rStyle w:val="Codetext"/>
        </w:rPr>
        <w:br/>
      </w:r>
      <w:r>
        <w:rPr>
          <w:rStyle w:val="Code"/>
        </w:rPr>
        <w:t xml:space="preserve">  &lt;l </w:t>
      </w:r>
      <w:r>
        <w:rPr>
          <w:rStyle w:val="Codeattribute"/>
        </w:rPr>
        <w:t>n</w:t>
      </w:r>
      <w:r>
        <w:rPr>
          <w:rStyle w:val="Code"/>
        </w:rPr>
        <w:t>=</w:t>
      </w:r>
      <w:r>
        <w:rPr>
          <w:rStyle w:val="Codevalue"/>
        </w:rPr>
        <w:t>"c"</w:t>
      </w:r>
      <w:r>
        <w:rPr>
          <w:rStyle w:val="Code"/>
        </w:rPr>
        <w:t xml:space="preserve">&gt;&lt;lb </w:t>
      </w:r>
      <w:r>
        <w:rPr>
          <w:rStyle w:val="Codeattribute"/>
        </w:rPr>
        <w:t>n</w:t>
      </w:r>
      <w:r>
        <w:rPr>
          <w:rStyle w:val="Code"/>
        </w:rPr>
        <w:t>=</w:t>
      </w:r>
      <w:r>
        <w:rPr>
          <w:rStyle w:val="Codevalue"/>
        </w:rPr>
        <w:t>"B4"</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"a"</w:t>
      </w:r>
      <w:r>
        <w:rPr>
          <w:rStyle w:val="Code"/>
        </w:rPr>
        <w:t>/&gt;</w:t>
      </w:r>
      <w:r>
        <w:rPr>
          <w:rStyle w:val="Codetext"/>
        </w:rPr>
        <w:t>śokātigāḍhajaladhau nitarān nimajjya</w:t>
      </w:r>
      <w:r>
        <w:rPr>
          <w:rStyle w:val="Code"/>
        </w:rPr>
        <w:t>&lt;/l&gt;</w:t>
      </w:r>
      <w:r>
        <w:rPr>
          <w:rStyle w:val="Codetext"/>
        </w:rPr>
        <w:br/>
      </w:r>
      <w:r>
        <w:rPr>
          <w:rStyle w:val="Code"/>
        </w:rPr>
        <w:t xml:space="preserve">  &lt;l </w:t>
      </w:r>
      <w:r>
        <w:rPr>
          <w:rStyle w:val="Codeattribute"/>
        </w:rPr>
        <w:t>n</w:t>
      </w:r>
      <w:r>
        <w:rPr>
          <w:rStyle w:val="Code"/>
        </w:rPr>
        <w:t>=</w:t>
      </w:r>
      <w:r>
        <w:rPr>
          <w:rStyle w:val="Codevalue"/>
        </w:rPr>
        <w:t>"d"</w:t>
      </w:r>
      <w:r>
        <w:rPr>
          <w:rStyle w:val="Code"/>
        </w:rPr>
        <w:t xml:space="preserve">&gt;&lt;milestone </w:t>
      </w:r>
      <w:r>
        <w:rPr>
          <w:rStyle w:val="Codeattribute"/>
        </w:rPr>
        <w:t>unit</w:t>
      </w:r>
      <w:r>
        <w:rPr>
          <w:rStyle w:val="Code"/>
        </w:rPr>
        <w:t>=</w:t>
      </w:r>
      <w:r>
        <w:rPr>
          <w:rStyle w:val="Codevalue"/>
        </w:rPr>
        <w:t>"column"</w:t>
      </w:r>
      <w:r>
        <w:rPr>
          <w:rStyle w:val="Code"/>
        </w:rPr>
        <w:t xml:space="preserve"> </w:t>
      </w:r>
      <w:r>
        <w:rPr>
          <w:rStyle w:val="Codeattribute"/>
        </w:rPr>
        <w:t>n</w:t>
      </w:r>
      <w:r>
        <w:rPr>
          <w:rStyle w:val="Code"/>
        </w:rPr>
        <w:t>=</w:t>
      </w:r>
      <w:r>
        <w:rPr>
          <w:rStyle w:val="Codevalue"/>
        </w:rPr>
        <w:t>"b"</w:t>
      </w:r>
      <w:r>
        <w:rPr>
          <w:rStyle w:val="Code"/>
        </w:rPr>
        <w:t>/&gt;</w:t>
      </w:r>
      <w:r>
        <w:rPr>
          <w:rStyle w:val="Codetext"/>
        </w:rPr>
        <w:t>netrair amocayad anantaraphenilāmbhaḥ</w:t>
      </w:r>
      <w:r>
        <w:rPr>
          <w:rStyle w:val="Code"/>
        </w:rPr>
        <w:t>&lt;/l&gt;</w:t>
      </w:r>
      <w:r>
        <w:rPr>
          <w:rStyle w:val="Codetext"/>
        </w:rPr>
        <w:br/>
      </w:r>
      <w:r>
        <w:rPr>
          <w:rStyle w:val="Code"/>
        </w:rPr>
        <w:t>&lt;/lg&gt;</w:t>
      </w:r>
    </w:p>
    <w:p w14:paraId="09783581" w14:textId="77777777">
      <w:pPr>
        <w:pStyle w:val="Cmsor1"/>
        <w:numPr>
          <w:ilvl w:val="0"/>
          <w:numId w:val="7"/>
        </w:numPr>
      </w:pPr>
      <w:bookmarkStart w:id="1161" w:name="_jalh6cgsei8" w:colFirst="0" w:colLast="0"/>
      <w:bookmarkStart w:id="1162" w:name="_Ref43990834"/>
      <w:bookmarkStart w:id="1163" w:name="_Toc243900488"/>
      <w:bookmarkEnd w:id="1154"/>
      <w:bookmarkEnd w:id="1161"/>
      <w:r>
        <w:lastRenderedPageBreak/>
        <w:t>Titling conventions</w:t>
      </w:r>
      <w:bookmarkEnd w:id="1162"/>
      <w:bookmarkEnd w:id="1163"/>
    </w:p>
    <w:p w14:paraId="63A946A4" w14:textId="77777777">
      <w:r>
        <w:t>When assigning a title to the inscription you are encoding, it is in general recommended that you try to remain faithful to established names for inscriptions that have been edited before. In cases where established names in a corpus follow significantly varying models, so that the need for some harmonisation is felt, the team member</w:t>
      </w:r>
      <w:r>
        <w:rPr>
          <w:noProof/>
        </w:rPr>
        <w:t>(</w:t>
      </w:r>
      <w:r>
        <w:t>s) responsible for the corpus in question has/have the option to design a new system and apply it rigorously to all members of the corpus in question. New inscriptions should, as a rule, be named on the analogy of established names within the same corpus. In all cases, variant names applied to the inscription in question in previous publications shall be recorded as per §</w:t>
      </w:r>
      <w:r>
        <w:fldChar w:fldCharType="begin"/>
      </w:r>
      <w:r>
        <w:instrText xml:space="preserve"> REF _Ref233986980 \r \h </w:instrText>
      </w:r>
      <w:r>
        <w:fldChar w:fldCharType="separate"/>
      </w:r>
      <w:r>
        <w:t>15.1.1.1</w:t>
      </w:r>
      <w:r>
        <w:fldChar w:fldCharType="end"/>
      </w:r>
      <w:r>
        <w:t>.</w:t>
      </w:r>
    </w:p>
    <w:p w14:paraId="7007E4EE" w14:textId="77777777">
      <w:pPr>
        <w:pStyle w:val="Normlbehzs"/>
      </w:pPr>
      <w:r>
        <w:t xml:space="preserve">When creating new titles, it is recommended </w:t>
      </w:r>
      <w:r>
        <w:rPr>
          <w:noProof/>
        </w:rPr>
        <w:t>(</w:t>
      </w:r>
      <w:r>
        <w:t>but not mandatory) that you compose your title by combining the following elements, in this order.</w:t>
      </w:r>
    </w:p>
    <w:p w14:paraId="79E6791E" w14:textId="77777777">
      <w:pPr>
        <w:numPr>
          <w:ilvl w:val="0"/>
          <w:numId w:val="5"/>
        </w:numPr>
        <w:ind w:left="284" w:hanging="284"/>
      </w:pPr>
      <w:r>
        <w:rPr>
          <w:b/>
          <w:bCs/>
        </w:rPr>
        <w:t>place</w:t>
      </w:r>
      <w:r>
        <w:t xml:space="preserve">: start your title with a place name, using </w:t>
      </w:r>
      <w:r>
        <w:rPr>
          <w:noProof/>
        </w:rPr>
        <w:t>(</w:t>
      </w:r>
      <w:r>
        <w:t>if possible) one of the following options</w:t>
      </w:r>
    </w:p>
    <w:p w14:paraId="19C15B14" w14:textId="77777777">
      <w:pPr>
        <w:numPr>
          <w:ilvl w:val="1"/>
          <w:numId w:val="6"/>
        </w:numPr>
        <w:ind w:left="567" w:hanging="283"/>
      </w:pPr>
      <w:r>
        <w:t>internal: attempt to identify the name of the place</w:t>
      </w:r>
      <w:r>
        <w:rPr>
          <w:noProof/>
        </w:rPr>
        <w:t>(</w:t>
      </w:r>
      <w:r>
        <w:t xml:space="preserve">s) that is </w:t>
      </w:r>
      <w:r>
        <w:rPr>
          <w:noProof/>
        </w:rPr>
        <w:t>(</w:t>
      </w:r>
      <w:r>
        <w:t>or are) most fundamentally concerned by the transaction recorded in the inscription</w:t>
      </w:r>
    </w:p>
    <w:p w14:paraId="29CFC663" w14:textId="77777777">
      <w:pPr>
        <w:pStyle w:val="Lista4"/>
      </w:pPr>
      <w:r>
        <w:t>resort to a less important but more distinctive internal toponym if the toponym resulting from the above test is insufficiently distinctive</w:t>
      </w:r>
    </w:p>
    <w:p w14:paraId="22FA9FAE" w14:textId="77777777">
      <w:pPr>
        <w:pStyle w:val="Lista4"/>
      </w:pPr>
      <w:r>
        <w:t xml:space="preserve">if you are dealing with Indonesian inscriptions, represent the internal toponym free of diacritics, in EYD spelling </w:t>
      </w:r>
      <w:r>
        <w:rPr>
          <w:noProof/>
        </w:rPr>
        <w:t>(</w:t>
      </w:r>
      <w:r>
        <w:t xml:space="preserve">e.g., </w:t>
      </w:r>
      <w:proofErr w:type="spellStart"/>
      <w:r>
        <w:t>Sobhamerta</w:t>
      </w:r>
      <w:proofErr w:type="spellEnd"/>
      <w:r>
        <w:t xml:space="preserve"> for </w:t>
      </w:r>
      <w:r>
        <w:rPr>
          <w:rStyle w:val="Foreign"/>
        </w:rPr>
        <w:t>śobhāmr̥ta</w:t>
      </w:r>
      <w:r>
        <w:t xml:space="preserve">), and for further guidance, see </w:t>
      </w:r>
      <w:proofErr w:type="spellStart"/>
      <w:r>
        <w:t>Damais</w:t>
      </w:r>
      <w:proofErr w:type="spellEnd"/>
      <w:r>
        <w:t xml:space="preserve"> 1952: 6-9</w:t>
      </w:r>
    </w:p>
    <w:p w14:paraId="03CC9647" w14:textId="77777777">
      <w:pPr>
        <w:numPr>
          <w:ilvl w:val="1"/>
          <w:numId w:val="6"/>
        </w:numPr>
        <w:ind w:left="567" w:hanging="283"/>
      </w:pPr>
      <w:r>
        <w:t>based on provenance: use the name of the findspot, e.g. “Nalanda”</w:t>
      </w:r>
    </w:p>
    <w:p w14:paraId="5AADE0E2" w14:textId="77777777">
      <w:pPr>
        <w:pStyle w:val="Lista4"/>
      </w:pPr>
      <w:r>
        <w:t>provenance-based places may, if necessary, be complemented with the specification of a topographic feature or a monument, e.g. “rock”, “cliff”, “victory pillar”, “Cave 16”, “</w:t>
      </w:r>
      <w:proofErr w:type="spellStart"/>
      <w:r>
        <w:t>Vedānteśvara</w:t>
      </w:r>
      <w:proofErr w:type="spellEnd"/>
      <w:r>
        <w:t xml:space="preserve"> temple pillars”, etc.</w:t>
      </w:r>
    </w:p>
    <w:p w14:paraId="5B9915B1" w14:textId="77777777">
      <w:pPr>
        <w:numPr>
          <w:ilvl w:val="1"/>
          <w:numId w:val="6"/>
        </w:numPr>
        <w:ind w:left="567" w:hanging="283"/>
      </w:pPr>
      <w:r>
        <w:t>based on custody: a reference to the place or institution where the support is currently kept, e.g. “BBRAS”</w:t>
      </w:r>
    </w:p>
    <w:p w14:paraId="1AE20E1B" w14:textId="77777777">
      <w:pPr>
        <w:pStyle w:val="Lista4"/>
      </w:pPr>
      <w:r>
        <w:t>place names based on custody should only be employed if neither a provenance-based, nor an internal place name is available</w:t>
      </w:r>
    </w:p>
    <w:p w14:paraId="6D43DD60" w14:textId="77777777">
      <w:pPr>
        <w:numPr>
          <w:ilvl w:val="0"/>
          <w:numId w:val="5"/>
        </w:numPr>
        <w:ind w:left="284" w:hanging="284"/>
      </w:pPr>
      <w:r>
        <w:rPr>
          <w:b/>
          <w:bCs/>
        </w:rPr>
        <w:t>artifact type or document type</w:t>
      </w:r>
      <w:r>
        <w:t>: add a word or two describing the nature of the support or the text, using the cover term “inscription” only if no more satisfactory term can be found.</w:t>
      </w:r>
    </w:p>
    <w:p w14:paraId="5F909539" w14:textId="77777777">
      <w:pPr>
        <w:pStyle w:val="Lista3"/>
      </w:pPr>
      <w:r>
        <w:t xml:space="preserve">use document type </w:t>
      </w:r>
      <w:r>
        <w:rPr>
          <w:noProof/>
        </w:rPr>
        <w:t>(</w:t>
      </w:r>
      <w:r>
        <w:t>e.g., “grant”, “dedication” or “dedicatory inscription”, “foundation”, “label”, “graffito”, “eulogy”) if the place name used in the title is an internal toponym</w:t>
      </w:r>
    </w:p>
    <w:p w14:paraId="48B99488" w14:textId="77777777">
      <w:pPr>
        <w:pStyle w:val="Lista4"/>
      </w:pPr>
      <w:r>
        <w:t>e.g. “</w:t>
      </w:r>
      <w:proofErr w:type="spellStart"/>
      <w:r>
        <w:t>Raktamālā</w:t>
      </w:r>
      <w:proofErr w:type="spellEnd"/>
      <w:r>
        <w:t xml:space="preserve"> grant”</w:t>
      </w:r>
    </w:p>
    <w:p w14:paraId="128403AB" w14:textId="77777777">
      <w:pPr>
        <w:pStyle w:val="Lista3"/>
      </w:pPr>
      <w:r>
        <w:t xml:space="preserve">use artifact type </w:t>
      </w:r>
      <w:r>
        <w:rPr>
          <w:noProof/>
        </w:rPr>
        <w:t>(</w:t>
      </w:r>
      <w:r>
        <w:t>e.g., “plate”, “stele”, “slab”, “pillar”, etc.) if the place name used in the title is based on provenance or custody</w:t>
      </w:r>
    </w:p>
    <w:p w14:paraId="6D8D7DED" w14:textId="77777777">
      <w:pPr>
        <w:pStyle w:val="Lista4"/>
      </w:pPr>
      <w:r>
        <w:t>e.g. “Nalanda plates”, “British Museum pillar”</w:t>
      </w:r>
    </w:p>
    <w:p w14:paraId="6824DFE3" w14:textId="77777777">
      <w:pPr>
        <w:numPr>
          <w:ilvl w:val="0"/>
          <w:numId w:val="5"/>
        </w:numPr>
        <w:ind w:left="284" w:hanging="284"/>
      </w:pPr>
      <w:r>
        <w:rPr>
          <w:b/>
          <w:bCs/>
        </w:rPr>
        <w:t>the principal protagonist</w:t>
      </w:r>
      <w:r>
        <w:t xml:space="preserve"> of the inscription, if named in the text</w:t>
      </w:r>
    </w:p>
    <w:p w14:paraId="69ADEBCB" w14:textId="77777777">
      <w:pPr>
        <w:pStyle w:val="Lista3"/>
      </w:pPr>
      <w:r>
        <w:t>this is usually the person who issued/commissioned the inscription and/or the work commemorated in it, but may be another named person, such as the reigning ruler if the commissioner is another person who is not named</w:t>
      </w:r>
    </w:p>
    <w:p w14:paraId="503BACE7" w14:textId="77777777">
      <w:pPr>
        <w:pStyle w:val="Lista3"/>
      </w:pPr>
      <w:r>
        <w:t>preferably, use “of” before the name of the issuer</w:t>
      </w:r>
    </w:p>
    <w:p w14:paraId="1C64F1D0" w14:textId="77777777">
      <w:pPr>
        <w:pStyle w:val="Lista3"/>
      </w:pPr>
      <w:r>
        <w:t>preferably, use “of the time of” before the name of a reigning ruler who is not the protagonist</w:t>
      </w:r>
    </w:p>
    <w:p w14:paraId="679D6E82" w14:textId="77777777">
      <w:pPr>
        <w:numPr>
          <w:ilvl w:val="0"/>
          <w:numId w:val="5"/>
        </w:numPr>
        <w:ind w:left="284" w:hanging="284"/>
      </w:pPr>
      <w:r>
        <w:rPr>
          <w:b/>
          <w:bCs/>
        </w:rPr>
        <w:t>supplementary details</w:t>
      </w:r>
      <w:r>
        <w:t>: after the above elements, add further information whenever necessary for disambiguation, potentially including:</w:t>
      </w:r>
    </w:p>
    <w:p w14:paraId="1DA5690A" w14:textId="77777777">
      <w:pPr>
        <w:pStyle w:val="Lista3"/>
      </w:pPr>
      <w:r>
        <w:t>calendrical or regnal year, if mentioned within the text</w:t>
      </w:r>
    </w:p>
    <w:p w14:paraId="6DBB691D" w14:textId="77777777">
      <w:pPr>
        <w:pStyle w:val="Lista4"/>
      </w:pPr>
      <w:r>
        <w:t>optionally including further dating specifics noted in the text, if necessary for disambiguation, e.g. month and day in the case of several charters of the same provenance, same king, same year, and where a title based on the content does not work</w:t>
      </w:r>
    </w:p>
    <w:p w14:paraId="49BC7E7D" w14:textId="77777777">
      <w:pPr>
        <w:pStyle w:val="Lista4"/>
      </w:pPr>
      <w:r>
        <w:t>optionally using “undetermined year” if a year is mentioned in the text, but is lost or illegible</w:t>
      </w:r>
    </w:p>
    <w:p w14:paraId="5F4D4C1D" w14:textId="77777777">
      <w:pPr>
        <w:pStyle w:val="Lista3"/>
      </w:pPr>
      <w:r>
        <w:t>any additional distinction, e.g.</w:t>
      </w:r>
    </w:p>
    <w:p w14:paraId="336DD20C" w14:textId="77777777">
      <w:pPr>
        <w:pStyle w:val="Lista4"/>
      </w:pPr>
      <w:r>
        <w:t>“Set 1” and “Set 2” to distinguish two sets of copper plates with the same provenance, issued by the same ruler on the same date</w:t>
      </w:r>
    </w:p>
    <w:p w14:paraId="171FE436" w14:textId="77777777">
      <w:pPr>
        <w:pStyle w:val="Lista4"/>
      </w:pPr>
      <w:r>
        <w:lastRenderedPageBreak/>
        <w:t>“north column” and “south column” to distinguish two copies of an inscription engraved in duplicate</w:t>
      </w:r>
    </w:p>
    <w:p w14:paraId="3D82BAE4" w14:textId="77777777">
      <w:pPr>
        <w:pStyle w:val="Lista"/>
      </w:pPr>
      <w:r>
        <w:t>the above items may be listed with commas or connected to one another by short English phrases as seems most suitable</w:t>
      </w:r>
    </w:p>
    <w:p w14:paraId="5B489D69" w14:textId="77777777">
      <w:pPr>
        <w:pStyle w:val="Lista"/>
      </w:pPr>
      <w:r>
        <w:t>some examples of titles composed or elaborated along the above lines:</w:t>
      </w:r>
    </w:p>
    <w:p w14:paraId="0BCBA428" w14:textId="77777777">
      <w:pPr>
        <w:pStyle w:val="Lista2"/>
      </w:pPr>
      <w:r>
        <w:t xml:space="preserve">Nalanda plate of Samudragupta </w:t>
      </w:r>
      <w:r>
        <w:rPr>
          <w:noProof/>
        </w:rPr>
        <w:t>(</w:t>
      </w:r>
      <w:r>
        <w:t>provenance, type and issuing ruler)</w:t>
      </w:r>
    </w:p>
    <w:p w14:paraId="1E65524C" w14:textId="77777777">
      <w:pPr>
        <w:pStyle w:val="Lista2"/>
      </w:pPr>
      <w:proofErr w:type="spellStart"/>
      <w:r>
        <w:t>Raktamālā</w:t>
      </w:r>
      <w:proofErr w:type="spellEnd"/>
      <w:r>
        <w:t xml:space="preserve"> grant of the time of </w:t>
      </w:r>
      <w:proofErr w:type="spellStart"/>
      <w:r>
        <w:t>Budhagupta</w:t>
      </w:r>
      <w:proofErr w:type="spellEnd"/>
      <w:r>
        <w:t xml:space="preserve">, year 159 </w:t>
      </w:r>
      <w:r>
        <w:rPr>
          <w:noProof/>
        </w:rPr>
        <w:t>(</w:t>
      </w:r>
      <w:r>
        <w:t>internal place, type, reigning ruler, date)</w:t>
      </w:r>
    </w:p>
    <w:p w14:paraId="3012F731" w14:textId="77777777">
      <w:pPr>
        <w:pStyle w:val="Lista2"/>
      </w:pPr>
      <w:proofErr w:type="spellStart"/>
      <w:r>
        <w:t>Vallam</w:t>
      </w:r>
      <w:proofErr w:type="spellEnd"/>
      <w:r>
        <w:t xml:space="preserve">, </w:t>
      </w:r>
      <w:proofErr w:type="spellStart"/>
      <w:r>
        <w:t>Vedānteśvara</w:t>
      </w:r>
      <w:proofErr w:type="spellEnd"/>
      <w:r>
        <w:t xml:space="preserve"> temple pillars, foundation by </w:t>
      </w:r>
      <w:proofErr w:type="spellStart"/>
      <w:r>
        <w:t>Kantacēṉaṉ</w:t>
      </w:r>
      <w:proofErr w:type="spellEnd"/>
      <w:r>
        <w:t xml:space="preserve"> of the time of </w:t>
      </w:r>
      <w:proofErr w:type="spellStart"/>
      <w:r>
        <w:t>Mahendravarman</w:t>
      </w:r>
      <w:proofErr w:type="spellEnd"/>
      <w:r>
        <w:t xml:space="preserve"> I </w:t>
      </w:r>
      <w:r>
        <w:rPr>
          <w:noProof/>
        </w:rPr>
        <w:t>(</w:t>
      </w:r>
      <w:r>
        <w:t>provenance with monument details, type of inscription, issuing person, reigning ruler)</w:t>
      </w:r>
    </w:p>
    <w:p w14:paraId="62A1D483" w14:textId="77777777">
      <w:pPr>
        <w:pStyle w:val="Lista2"/>
      </w:pPr>
      <w:proofErr w:type="spellStart"/>
      <w:r>
        <w:t>Uttiramērūr</w:t>
      </w:r>
      <w:proofErr w:type="spellEnd"/>
      <w:r>
        <w:t xml:space="preserve">, </w:t>
      </w:r>
      <w:proofErr w:type="spellStart"/>
      <w:r>
        <w:t>Sundaravaradaperumāḷ</w:t>
      </w:r>
      <w:proofErr w:type="spellEnd"/>
      <w:r>
        <w:t xml:space="preserve"> temple, southern wall of </w:t>
      </w:r>
      <w:r>
        <w:rPr>
          <w:rStyle w:val="Foreign"/>
        </w:rPr>
        <w:t>vimāna</w:t>
      </w:r>
      <w:r>
        <w:t xml:space="preserve">, donation of the time of Nandivarman II, year 16 </w:t>
      </w:r>
      <w:r>
        <w:rPr>
          <w:noProof/>
        </w:rPr>
        <w:t>(</w:t>
      </w:r>
      <w:r>
        <w:t>provenance with monument details, additional specification of location, type, reigning ruler, regnal year)</w:t>
      </w:r>
    </w:p>
    <w:p w14:paraId="75628AE4" w14:textId="77777777">
      <w:pPr>
        <w:pStyle w:val="Lista2"/>
      </w:pPr>
      <w:proofErr w:type="spellStart"/>
      <w:r>
        <w:t>Uttiramērūr</w:t>
      </w:r>
      <w:proofErr w:type="spellEnd"/>
      <w:r>
        <w:t xml:space="preserve">, </w:t>
      </w:r>
      <w:proofErr w:type="spellStart"/>
      <w:r>
        <w:t>Vaikuṇṭhaperumāḷ</w:t>
      </w:r>
      <w:proofErr w:type="spellEnd"/>
      <w:r>
        <w:t xml:space="preserve"> temple, larger platform, southern base, inscription of the time of </w:t>
      </w:r>
      <w:proofErr w:type="spellStart"/>
      <w:r>
        <w:t>Dantivarman</w:t>
      </w:r>
      <w:proofErr w:type="spellEnd"/>
      <w:r>
        <w:t xml:space="preserve">, year 8, larger platform, southern base </w:t>
      </w:r>
      <w:r>
        <w:rPr>
          <w:noProof/>
        </w:rPr>
        <w:t>(</w:t>
      </w:r>
      <w:r>
        <w:t>provenance with monument details, additional specification of location, no clear text type, reigning ruler, regnal year)</w:t>
      </w:r>
    </w:p>
    <w:p w14:paraId="60773CD8" w14:textId="77777777">
      <w:pPr>
        <w:pStyle w:val="Lista2"/>
      </w:pPr>
      <w:proofErr w:type="spellStart"/>
      <w:r>
        <w:t>Gunung</w:t>
      </w:r>
      <w:proofErr w:type="spellEnd"/>
      <w:r>
        <w:t xml:space="preserve"> </w:t>
      </w:r>
      <w:proofErr w:type="spellStart"/>
      <w:r>
        <w:t>Wukir</w:t>
      </w:r>
      <w:proofErr w:type="spellEnd"/>
      <w:r>
        <w:t xml:space="preserve"> stele of </w:t>
      </w:r>
      <w:proofErr w:type="spellStart"/>
      <w:r>
        <w:t>Sañjaya</w:t>
      </w:r>
      <w:proofErr w:type="spellEnd"/>
    </w:p>
    <w:p w14:paraId="59661996" w14:textId="77777777">
      <w:pPr>
        <w:pStyle w:val="Lista2"/>
      </w:pPr>
      <w:proofErr w:type="spellStart"/>
      <w:r>
        <w:t>Hampran</w:t>
      </w:r>
      <w:proofErr w:type="spellEnd"/>
      <w:r>
        <w:t xml:space="preserve"> dedication of </w:t>
      </w:r>
      <w:proofErr w:type="spellStart"/>
      <w:r>
        <w:t>Bhānu</w:t>
      </w:r>
      <w:proofErr w:type="spellEnd"/>
    </w:p>
    <w:p w14:paraId="3CF077A5" w14:textId="77777777">
      <w:pPr>
        <w:pStyle w:val="Cmsor1"/>
        <w:numPr>
          <w:ilvl w:val="0"/>
          <w:numId w:val="7"/>
        </w:numPr>
      </w:pPr>
      <w:bookmarkStart w:id="1164" w:name="_fkfiw4gv3nvf" w:colFirst="0" w:colLast="0"/>
      <w:bookmarkStart w:id="1165" w:name="_Toc243900489"/>
      <w:bookmarkEnd w:id="1164"/>
      <w:r>
        <w:lastRenderedPageBreak/>
        <w:t>Creating DHARMA editions from other editions</w:t>
      </w:r>
      <w:bookmarkEnd w:id="1165"/>
    </w:p>
    <w:p w14:paraId="702ABAD9" w14:textId="77777777">
      <w:pPr>
        <w:pStyle w:val="Cmsor2"/>
        <w:numPr>
          <w:ilvl w:val="1"/>
          <w:numId w:val="7"/>
        </w:numPr>
      </w:pPr>
      <w:bookmarkStart w:id="1166" w:name="_Toc243900490"/>
      <w:r>
        <w:t>Converting CII/EI markup conventions to EpiDoc</w:t>
      </w:r>
      <w:bookmarkEnd w:id="1166"/>
    </w:p>
    <w:p w14:paraId="324F02BB" w14:textId="77777777">
      <w:pPr>
        <w:rPr>
          <w:lang w:eastAsia="en-US" w:bidi="ar-SA"/>
        </w:rPr>
      </w:pPr>
      <w:r>
        <w:rPr>
          <w:lang w:eastAsia="en-US" w:bidi="ar-SA"/>
        </w:rPr>
        <w:t>The instructions in this Appendix explain how the character-based markup used in most printed epigraphic editions of Indic texts correspond to our encoding scheme. Guidelines for adopting previously published translations are given in §</w:t>
      </w:r>
      <w:r>
        <w:rPr>
          <w:lang w:eastAsia="en-US" w:bidi="ar-SA"/>
        </w:rPr>
        <w:fldChar w:fldCharType="begin"/>
      </w:r>
      <w:r>
        <w:rPr>
          <w:lang w:eastAsia="en-US" w:bidi="ar-SA"/>
        </w:rPr>
        <w:instrText xml:space="preserve"> REF _Ref43990725 \r \h </w:instrText>
      </w:r>
      <w:r>
        <w:rPr>
          <w:lang w:eastAsia="en-US" w:bidi="ar-SA"/>
        </w:rPr>
      </w:r>
      <w:r>
        <w:rPr>
          <w:lang w:eastAsia="en-US" w:bidi="ar-SA"/>
        </w:rPr>
        <w:fldChar w:fldCharType="separate"/>
      </w:r>
      <w:r>
        <w:rPr>
          <w:lang w:eastAsia="en-US" w:bidi="ar-SA"/>
        </w:rPr>
        <w:t>11.5</w:t>
      </w:r>
      <w:r>
        <w:rPr>
          <w:lang w:eastAsia="en-US" w:bidi="ar-SA"/>
        </w:rPr>
        <w:fldChar w:fldCharType="end"/>
      </w:r>
      <w:r>
        <w:rPr>
          <w:lang w:eastAsia="en-US" w:bidi="ar-SA"/>
        </w:rPr>
        <w:t>.</w:t>
      </w:r>
    </w:p>
    <w:p w14:paraId="1C2888FE" w14:textId="77777777">
      <w:pPr>
        <w:pStyle w:val="Lista"/>
      </w:pPr>
      <w:r>
        <w:t>word segmentation</w:t>
      </w:r>
    </w:p>
    <w:p w14:paraId="5A1C2F92" w14:textId="77777777">
      <w:pPr>
        <w:pStyle w:val="Lista2"/>
      </w:pPr>
      <w:r>
        <w:rPr>
          <w:b/>
          <w:bCs/>
        </w:rPr>
        <w:t>spaces</w:t>
      </w:r>
      <w:r>
        <w:t xml:space="preserve"> </w:t>
      </w:r>
      <w:r>
        <w:rPr>
          <w:noProof/>
        </w:rPr>
        <w:t>(</w:t>
      </w:r>
      <w:r>
        <w:t>indicating non-compound word separation) remain spaces</w:t>
      </w:r>
    </w:p>
    <w:p w14:paraId="0659CFD4" w14:textId="77777777">
      <w:pPr>
        <w:pStyle w:val="Lista2"/>
      </w:pPr>
      <w:r>
        <w:rPr>
          <w:b/>
          <w:bCs/>
        </w:rPr>
        <w:t>hyphens</w:t>
      </w:r>
    </w:p>
    <w:p w14:paraId="3E86BF0C" w14:textId="77777777">
      <w:pPr>
        <w:pStyle w:val="Lista3"/>
      </w:pPr>
      <w:r>
        <w:t xml:space="preserve">used for compound segmentation between words fused in vowel sandhi </w:t>
      </w:r>
      <w:r>
        <w:rPr>
          <w:noProof/>
        </w:rPr>
        <w:t>(</w:t>
      </w:r>
      <w:r>
        <w:t xml:space="preserve">e.g. </w:t>
      </w:r>
      <w:r>
        <w:rPr>
          <w:rStyle w:val="Foreign"/>
        </w:rPr>
        <w:t>parākkram-āṅka</w:t>
      </w:r>
      <w:r>
        <w:t xml:space="preserve"> = </w:t>
      </w:r>
      <w:r>
        <w:rPr>
          <w:rStyle w:val="Foreign"/>
        </w:rPr>
        <w:t>parākkrama</w:t>
      </w:r>
      <w:r>
        <w:t>+</w:t>
      </w:r>
      <w:proofErr w:type="spellStart"/>
      <w:r>
        <w:rPr>
          <w:rStyle w:val="Foreign"/>
        </w:rPr>
        <w:t>aṅka</w:t>
      </w:r>
      <w:proofErr w:type="spellEnd"/>
      <w:r>
        <w:t xml:space="preserve">) are discarded </w:t>
      </w:r>
      <w:r>
        <w:rPr>
          <w:noProof/>
        </w:rPr>
        <w:t>(</w:t>
      </w:r>
      <w:r>
        <w:rPr>
          <w:rStyle w:val="Foreign"/>
        </w:rPr>
        <w:t>parākkramāṅka</w:t>
      </w:r>
      <w:r>
        <w:t>)</w:t>
      </w:r>
    </w:p>
    <w:p w14:paraId="525C10B1" w14:textId="77777777">
      <w:pPr>
        <w:pStyle w:val="Lista3"/>
      </w:pPr>
      <w:r>
        <w:t>used for compound segmentation and not affected by sandhi fusion are optionally retained as per TG §7.3.5</w:t>
      </w:r>
    </w:p>
    <w:p w14:paraId="30F92E45" w14:textId="77777777">
      <w:pPr>
        <w:pStyle w:val="Lista3"/>
      </w:pPr>
      <w:r>
        <w:t xml:space="preserve">inserted at the ends of printed lines </w:t>
      </w:r>
      <w:r>
        <w:rPr>
          <w:noProof/>
        </w:rPr>
        <w:t>(</w:t>
      </w:r>
      <w:r>
        <w:t>when an epigraphic line is too long to fit in one printed line) are normally discarded</w:t>
      </w:r>
    </w:p>
    <w:p w14:paraId="6270C9FB" w14:textId="77777777">
      <w:pPr>
        <w:pStyle w:val="Lista4"/>
      </w:pPr>
      <w:r>
        <w:t>if they also serve for compound segmentation, they may be optionally retained as above</w:t>
      </w:r>
    </w:p>
    <w:p w14:paraId="1C0195E0" w14:textId="77777777">
      <w:pPr>
        <w:pStyle w:val="Lista3"/>
      </w:pPr>
      <w:r>
        <w:t xml:space="preserve">inserted at the ends of epigraphic lines </w:t>
      </w:r>
      <w:r>
        <w:rPr>
          <w:noProof/>
        </w:rPr>
        <w:t>(</w:t>
      </w:r>
      <w:r>
        <w:t xml:space="preserve">when a line end is not the end of a word) are to be converted into markup by adding </w:t>
      </w:r>
      <w:r>
        <w:rPr>
          <w:rStyle w:val="Codeattribute"/>
        </w:rPr>
        <w:t>@break</w:t>
      </w:r>
      <w:r>
        <w:rPr>
          <w:rStyle w:val="Code"/>
        </w:rPr>
        <w:t>=</w:t>
      </w:r>
      <w:r>
        <w:rPr>
          <w:rStyle w:val="Codevalue"/>
        </w:rPr>
        <w:t>"no"</w:t>
      </w:r>
      <w:r>
        <w:t xml:space="preserve"> to the following </w:t>
      </w:r>
      <w:r>
        <w:rPr>
          <w:rStyle w:val="Code"/>
        </w:rPr>
        <w:t>&lt;lb&gt;</w:t>
      </w:r>
      <w:r>
        <w:t xml:space="preserve"> element</w:t>
      </w:r>
    </w:p>
    <w:p w14:paraId="03DF773D" w14:textId="77777777">
      <w:pPr>
        <w:pStyle w:val="Lista4"/>
      </w:pPr>
      <w:r>
        <w:t>if such a hyphen also serves for compound segmentation, optionally retain the hyphen, but move it after the line beginning tag</w:t>
      </w:r>
    </w:p>
    <w:p w14:paraId="2EEE0FDD" w14:textId="77777777">
      <w:pPr>
        <w:pStyle w:val="Lista2"/>
      </w:pPr>
      <w:r>
        <w:rPr>
          <w:b/>
          <w:bCs/>
        </w:rPr>
        <w:t>double hyphens</w:t>
      </w:r>
      <w:r>
        <w:t xml:space="preserve"> </w:t>
      </w:r>
      <w:r>
        <w:rPr>
          <w:noProof/>
        </w:rPr>
        <w:t>(</w:t>
      </w:r>
      <w:r>
        <w:t>or equals signs)</w:t>
      </w:r>
      <w:r>
        <w:rPr>
          <w:rStyle w:val="Lbjegyzet-hivatkozs"/>
        </w:rPr>
        <w:footnoteReference w:id="45"/>
      </w:r>
      <w:r>
        <w:t xml:space="preserve"> normally become spaces</w:t>
      </w:r>
    </w:p>
    <w:p w14:paraId="7DE36DAB" w14:textId="77777777">
      <w:pPr>
        <w:pStyle w:val="Lista3"/>
      </w:pPr>
      <w:r>
        <w:t xml:space="preserve">but when used between words fused in vowel </w:t>
      </w:r>
      <w:r>
        <w:rPr>
          <w:rStyle w:val="Foreign"/>
        </w:rPr>
        <w:t>saṁdhi</w:t>
      </w:r>
      <w:r>
        <w:t xml:space="preserve"> </w:t>
      </w:r>
      <w:r>
        <w:rPr>
          <w:noProof/>
        </w:rPr>
        <w:t>(</w:t>
      </w:r>
      <w:r>
        <w:t xml:space="preserve">e.g. </w:t>
      </w:r>
      <w:r>
        <w:rPr>
          <w:rStyle w:val="Foreign"/>
        </w:rPr>
        <w:t>c=āpi</w:t>
      </w:r>
      <w:r>
        <w:t>), they are discarded</w:t>
      </w:r>
    </w:p>
    <w:p w14:paraId="18F337E7" w14:textId="77777777">
      <w:pPr>
        <w:pStyle w:val="Lista"/>
      </w:pPr>
      <w:r>
        <w:rPr>
          <w:b/>
          <w:bCs/>
        </w:rPr>
        <w:t xml:space="preserve">round parentheses </w:t>
      </w:r>
      <w:r>
        <w:rPr>
          <w:b/>
          <w:bCs/>
          <w:noProof/>
        </w:rPr>
        <w:t>(</w:t>
      </w:r>
      <w:r>
        <w:rPr>
          <w:b/>
          <w:bCs/>
        </w:rPr>
        <w:t>)</w:t>
      </w:r>
    </w:p>
    <w:p w14:paraId="45B45948" w14:textId="77777777">
      <w:pPr>
        <w:pStyle w:val="Lista2"/>
      </w:pPr>
      <w:r>
        <w:t>with only text inside, to mark an editorial correction of the text preceding the parenthetical text</w:t>
      </w:r>
    </w:p>
    <w:p w14:paraId="32D1FA1F" w14:textId="77777777">
      <w:pPr>
        <w:pStyle w:val="Lista3"/>
      </w:pPr>
      <w:r>
        <w:t xml:space="preserve">the corresponding markup in EpiDoc is correction or normalisation by substitution </w:t>
      </w:r>
      <w:r>
        <w:rPr>
          <w:noProof/>
        </w:rPr>
        <w:t>(</w:t>
      </w:r>
      <w:r>
        <w:t>§</w:t>
      </w:r>
      <w:r>
        <w:fldChar w:fldCharType="begin"/>
      </w:r>
      <w:r>
        <w:instrText xml:space="preserve"> REF _Ref228885848 \r \h </w:instrText>
      </w:r>
      <w:r>
        <w:fldChar w:fldCharType="separate"/>
      </w:r>
      <w:r>
        <w:t>7.5.1.2</w:t>
      </w:r>
      <w:r>
        <w:fldChar w:fldCharType="end"/>
      </w:r>
      <w:r>
        <w:t>)</w:t>
      </w:r>
    </w:p>
    <w:p w14:paraId="3C753E5F" w14:textId="77777777">
      <w:pPr>
        <w:pStyle w:val="Lista3"/>
      </w:pPr>
      <w:r>
        <w:t xml:space="preserve">the scope of the correction is normally the same number of </w:t>
      </w:r>
      <w:r>
        <w:rPr>
          <w:rStyle w:val="Foreign"/>
        </w:rPr>
        <w:t>akṣara</w:t>
      </w:r>
      <w:r>
        <w:t xml:space="preserve">s as there are within the parentheses </w:t>
      </w:r>
      <w:r>
        <w:rPr>
          <w:noProof/>
        </w:rPr>
        <w:t>(</w:t>
      </w:r>
      <w:r>
        <w:t xml:space="preserve">in most cases, exactly one </w:t>
      </w:r>
      <w:r>
        <w:rPr>
          <w:rStyle w:val="Foreign"/>
        </w:rPr>
        <w:t>akṣara</w:t>
      </w:r>
      <w:r>
        <w:t>)</w:t>
      </w:r>
    </w:p>
    <w:p w14:paraId="78E68472" w14:textId="77777777">
      <w:pPr>
        <w:pStyle w:val="Lista4"/>
      </w:pPr>
      <w:r>
        <w:t xml:space="preserve">but if only part of an </w:t>
      </w:r>
      <w:r>
        <w:rPr>
          <w:rStyle w:val="Foreign"/>
        </w:rPr>
        <w:t>akṣara</w:t>
      </w:r>
      <w:r>
        <w:t xml:space="preserve"> is actually corrected, encode substitution only for the relevant graphemes</w:t>
      </w:r>
    </w:p>
    <w:p w14:paraId="3E74039F" w14:textId="77777777">
      <w:pPr>
        <w:pStyle w:val="Lista2"/>
      </w:pPr>
      <w:r>
        <w:t xml:space="preserve">with a question mark inside, </w:t>
      </w:r>
      <w:r>
        <w:rPr>
          <w:noProof/>
        </w:rPr>
        <w:t>(</w:t>
      </w:r>
      <w:r>
        <w:t xml:space="preserve">?) to flag the preceding text </w:t>
      </w:r>
      <w:r>
        <w:rPr>
          <w:noProof/>
        </w:rPr>
        <w:t>(</w:t>
      </w:r>
      <w:r>
        <w:t xml:space="preserve">usually one </w:t>
      </w:r>
      <w:r>
        <w:rPr>
          <w:rStyle w:val="Foreign"/>
        </w:rPr>
        <w:t>akṣara</w:t>
      </w:r>
      <w:r>
        <w:t>) as very uncertainly read</w:t>
      </w:r>
    </w:p>
    <w:p w14:paraId="03BBCE7F" w14:textId="77777777">
      <w:pPr>
        <w:pStyle w:val="Lista3"/>
      </w:pPr>
      <w:r>
        <w:t xml:space="preserve">in our terms, this is unclear with low certainty </w:t>
      </w:r>
      <w:r>
        <w:rPr>
          <w:noProof/>
        </w:rPr>
        <w:t>(</w:t>
      </w:r>
      <w:r>
        <w:t>§</w:t>
      </w:r>
      <w:r>
        <w:fldChar w:fldCharType="begin"/>
      </w:r>
      <w:r>
        <w:instrText xml:space="preserve"> REF _Ref43987867 \w \h  \* MERGEFORMAT </w:instrText>
      </w:r>
      <w:r>
        <w:fldChar w:fldCharType="separate"/>
      </w:r>
      <w:r>
        <w:t>6.3.1.3</w:t>
      </w:r>
      <w:r>
        <w:fldChar w:fldCharType="end"/>
      </w:r>
      <w:r>
        <w:t>)</w:t>
      </w:r>
    </w:p>
    <w:p w14:paraId="56ED888C" w14:textId="77777777">
      <w:pPr>
        <w:pStyle w:val="Lista2"/>
      </w:pPr>
      <w:r>
        <w:t>with text and a question mark inside, used in some publications as follows:</w:t>
      </w:r>
    </w:p>
    <w:p w14:paraId="719C355A" w14:textId="77777777">
      <w:pPr>
        <w:pStyle w:val="Lista3"/>
      </w:pPr>
      <w:r>
        <w:rPr>
          <w:noProof/>
        </w:rPr>
        <w:t>(</w:t>
      </w:r>
      <w:r>
        <w:t>?</w:t>
      </w:r>
      <w:proofErr w:type="spellStart"/>
      <w:r>
        <w:t>abc</w:t>
      </w:r>
      <w:proofErr w:type="spellEnd"/>
      <w:r>
        <w:t xml:space="preserve">), with the question mark before the text, to indicate a possible alternative reading </w:t>
      </w:r>
      <w:r>
        <w:rPr>
          <w:noProof/>
        </w:rPr>
        <w:t>(</w:t>
      </w:r>
      <w:r>
        <w:t>§</w:t>
      </w:r>
      <w:r>
        <w:fldChar w:fldCharType="begin"/>
      </w:r>
      <w:r>
        <w:instrText xml:space="preserve"> REF _Ref43987339 \w \h  \* MERGEFORMAT </w:instrText>
      </w:r>
      <w:r>
        <w:fldChar w:fldCharType="separate"/>
      </w:r>
      <w:r>
        <w:t>6.3.2</w:t>
      </w:r>
      <w:r>
        <w:fldChar w:fldCharType="end"/>
      </w:r>
      <w:r>
        <w:t>)</w:t>
      </w:r>
    </w:p>
    <w:p w14:paraId="10B7BD60" w14:textId="77777777">
      <w:pPr>
        <w:pStyle w:val="Lista3"/>
      </w:pPr>
      <w:r>
        <w:rPr>
          <w:noProof/>
        </w:rPr>
        <w:t>(</w:t>
      </w:r>
      <w:proofErr w:type="spellStart"/>
      <w:r>
        <w:t>abc</w:t>
      </w:r>
      <w:proofErr w:type="spellEnd"/>
      <w:r>
        <w:t xml:space="preserve">?), with the question mark after the text, to indicate a tentative emendation </w:t>
      </w:r>
      <w:r>
        <w:rPr>
          <w:noProof/>
        </w:rPr>
        <w:t>(</w:t>
      </w:r>
      <w:r>
        <w:t>which we do not encode as such; the tentativeness of an emendation encoded as per §</w:t>
      </w:r>
      <w:r>
        <w:fldChar w:fldCharType="begin"/>
      </w:r>
      <w:r>
        <w:instrText xml:space="preserve"> REF _Ref228872858 \r \h </w:instrText>
      </w:r>
      <w:r>
        <w:fldChar w:fldCharType="separate"/>
      </w:r>
      <w:r>
        <w:t>7.5</w:t>
      </w:r>
      <w:r>
        <w:fldChar w:fldCharType="end"/>
      </w:r>
      <w:r>
        <w:t xml:space="preserve"> may be indicated in an apparatus note)</w:t>
      </w:r>
    </w:p>
    <w:p w14:paraId="73E8D321" w14:textId="77777777">
      <w:pPr>
        <w:pStyle w:val="Lista"/>
      </w:pPr>
      <w:r>
        <w:rPr>
          <w:b/>
          <w:bCs/>
        </w:rPr>
        <w:t>square brackets []</w:t>
      </w:r>
    </w:p>
    <w:p w14:paraId="45F88F3A" w14:textId="77777777">
      <w:pPr>
        <w:pStyle w:val="Lista2"/>
      </w:pPr>
      <w:r>
        <w:t>1. wrapping “letters which are much damaged and nearly illegible in the original”</w:t>
      </w:r>
    </w:p>
    <w:p w14:paraId="6B9B6FD2" w14:textId="77777777">
      <w:pPr>
        <w:pStyle w:val="Lista3"/>
      </w:pPr>
      <w:r>
        <w:t xml:space="preserve">this normally corresponds to our “unclear” category </w:t>
      </w:r>
      <w:r>
        <w:rPr>
          <w:noProof/>
        </w:rPr>
        <w:t>(</w:t>
      </w:r>
      <w:r>
        <w:t>§</w:t>
      </w:r>
      <w:r>
        <w:fldChar w:fldCharType="begin"/>
      </w:r>
      <w:r>
        <w:instrText xml:space="preserve"> REF _Ref232089485 \r \h </w:instrText>
      </w:r>
      <w:r>
        <w:fldChar w:fldCharType="separate"/>
      </w:r>
      <w:r>
        <w:t>6.3.1</w:t>
      </w:r>
      <w:r>
        <w:fldChar w:fldCharType="end"/>
      </w:r>
      <w:r>
        <w:t>), in some cases with low certainty</w:t>
      </w:r>
    </w:p>
    <w:p w14:paraId="451DBDA1" w14:textId="77777777">
      <w:pPr>
        <w:pStyle w:val="Lista2"/>
      </w:pPr>
      <w:r>
        <w:t>2. wrapping “letters … which, being wholly illegible, can be supplied with certainty”</w:t>
      </w:r>
    </w:p>
    <w:p w14:paraId="2100AA86" w14:textId="77777777">
      <w:pPr>
        <w:pStyle w:val="Lista3"/>
      </w:pPr>
      <w:r>
        <w:t xml:space="preserve">i.e. normally “supplied” in our terminology </w:t>
      </w:r>
      <w:r>
        <w:rPr>
          <w:noProof/>
        </w:rPr>
        <w:t>(</w:t>
      </w:r>
      <w:r>
        <w:t>§</w:t>
      </w:r>
      <w:r>
        <w:fldChar w:fldCharType="begin"/>
      </w:r>
      <w:r>
        <w:instrText xml:space="preserve"> REF _Ref228459751 \r \h </w:instrText>
      </w:r>
      <w:r>
        <w:fldChar w:fldCharType="separate"/>
      </w:r>
      <w:r>
        <w:t>6.4</w:t>
      </w:r>
      <w:r>
        <w:fldChar w:fldCharType="end"/>
      </w:r>
      <w:r>
        <w:t>)</w:t>
      </w:r>
    </w:p>
    <w:p w14:paraId="319A92C6" w14:textId="77777777">
      <w:pPr>
        <w:pStyle w:val="Lista3"/>
      </w:pPr>
      <w:r>
        <w:t>it is usually not possible to distinguish 2 from 1 without studying a facsimile of the inscription; if you cannot do this and you are only transcribing a printed edition to EpiDoc, encode both as unclear</w:t>
      </w:r>
    </w:p>
    <w:p w14:paraId="11FD8355" w14:textId="77777777">
      <w:pPr>
        <w:pStyle w:val="Lista2"/>
      </w:pPr>
      <w:r>
        <w:lastRenderedPageBreak/>
        <w:t>3. containing text followed by a question mark, [</w:t>
      </w:r>
      <w:proofErr w:type="spellStart"/>
      <w:r>
        <w:t>abc</w:t>
      </w:r>
      <w:proofErr w:type="spellEnd"/>
      <w:r>
        <w:t>?] is used by some editors to indicate tentatively or conjecturally read text</w:t>
      </w:r>
    </w:p>
    <w:p w14:paraId="45A41FB5" w14:textId="77777777">
      <w:pPr>
        <w:pStyle w:val="Lista3"/>
      </w:pPr>
      <w:r>
        <w:t xml:space="preserve">this usually corresponds to </w:t>
      </w:r>
      <w:r>
        <w:rPr>
          <w:rStyle w:val="Code"/>
        </w:rPr>
        <w:t>&lt;unclear&gt;</w:t>
      </w:r>
      <w:r>
        <w:t xml:space="preserve"> with low certainty </w:t>
      </w:r>
      <w:r>
        <w:rPr>
          <w:noProof/>
        </w:rPr>
        <w:t>(</w:t>
      </w:r>
      <w:r>
        <w:t>§</w:t>
      </w:r>
      <w:r>
        <w:fldChar w:fldCharType="begin"/>
      </w:r>
      <w:r>
        <w:instrText xml:space="preserve"> REF _Ref43987867 \r \h  \* MERGEFORMAT </w:instrText>
      </w:r>
      <w:r>
        <w:fldChar w:fldCharType="separate"/>
      </w:r>
      <w:r>
        <w:t>6.3.1.3</w:t>
      </w:r>
      <w:r>
        <w:fldChar w:fldCharType="end"/>
      </w:r>
      <w:r>
        <w:t>)</w:t>
      </w:r>
    </w:p>
    <w:p w14:paraId="446135B3" w14:textId="77777777">
      <w:pPr>
        <w:pStyle w:val="Lista2"/>
      </w:pPr>
      <w:r>
        <w:t>4. containing text followed by an asterisk, [</w:t>
      </w:r>
      <w:proofErr w:type="spellStart"/>
      <w:r>
        <w:t>abc</w:t>
      </w:r>
      <w:proofErr w:type="spellEnd"/>
      <w:r>
        <w:t>*] in principle means editorial restoration of characters omitted by the original scribe, but in the actual practice of some editors it seems to be used for function 2 above</w:t>
      </w:r>
    </w:p>
    <w:p w14:paraId="6055F0C9" w14:textId="77777777">
      <w:pPr>
        <w:pStyle w:val="Lista3"/>
      </w:pPr>
      <w:r>
        <w:t>for the editorial restitution of omission, see §</w:t>
      </w:r>
      <w:r>
        <w:fldChar w:fldCharType="begin"/>
      </w:r>
      <w:r>
        <w:instrText xml:space="preserve"> REF _Ref229056324 \r \h </w:instrText>
      </w:r>
      <w:r>
        <w:fldChar w:fldCharType="separate"/>
      </w:r>
      <w:r>
        <w:t>7.5.3</w:t>
      </w:r>
      <w:r>
        <w:fldChar w:fldCharType="end"/>
      </w:r>
      <w:r>
        <w:t xml:space="preserve"> </w:t>
      </w:r>
    </w:p>
    <w:p w14:paraId="5C034A46" w14:textId="77777777">
      <w:pPr>
        <w:pStyle w:val="Lista4"/>
      </w:pPr>
      <w:r>
        <w:t xml:space="preserve">note that earlier editors usually supply punctuation marks and numbers in stanzas, which you should not do </w:t>
      </w:r>
      <w:r>
        <w:rPr>
          <w:noProof/>
        </w:rPr>
        <w:t>(</w:t>
      </w:r>
      <w:r>
        <w:t>§</w:t>
      </w:r>
      <w:r>
        <w:fldChar w:fldCharType="begin"/>
      </w:r>
      <w:r>
        <w:instrText xml:space="preserve"> REF _Ref229060537 \r \h </w:instrText>
      </w:r>
      <w:r>
        <w:fldChar w:fldCharType="separate"/>
      </w:r>
      <w:r>
        <w:t>7.8.3</w:t>
      </w:r>
      <w:r>
        <w:fldChar w:fldCharType="end"/>
      </w:r>
      <w:r>
        <w:t>)</w:t>
      </w:r>
    </w:p>
    <w:p w14:paraId="054557EB" w14:textId="77777777">
      <w:pPr>
        <w:pStyle w:val="Lista3"/>
      </w:pPr>
      <w:r>
        <w:t>if possible, look at a facsimile to check whether this editorial markup stands for a scribal omission or for lost and supplied text; if this is not possible, assume that square brackets with an asterisk stand for scribal omission</w:t>
      </w:r>
    </w:p>
    <w:p w14:paraId="504A88D8" w14:textId="77777777">
      <w:pPr>
        <w:pStyle w:val="Lista2"/>
      </w:pPr>
      <w:r>
        <w:t>5. prosodic notation in square brackets indicates a lacuna of known metre, to be marked up as per §</w:t>
      </w:r>
      <w:r>
        <w:fldChar w:fldCharType="begin"/>
      </w:r>
      <w:r>
        <w:instrText xml:space="preserve"> REF _Ref228275301 \r \h </w:instrText>
      </w:r>
      <w:r>
        <w:fldChar w:fldCharType="separate"/>
      </w:r>
      <w:r>
        <w:t>6.5.2.3</w:t>
      </w:r>
      <w:r>
        <w:fldChar w:fldCharType="end"/>
      </w:r>
    </w:p>
    <w:p w14:paraId="5670A254" w14:textId="77777777">
      <w:pPr>
        <w:pStyle w:val="Lista"/>
      </w:pPr>
      <w:r>
        <w:t>plain transliterated text</w:t>
      </w:r>
    </w:p>
    <w:p w14:paraId="3A1064E1" w14:textId="77777777">
      <w:pPr>
        <w:pStyle w:val="Lista2"/>
      </w:pPr>
      <w:r>
        <w:t>bear in mind that unclear markup in EpiDoc should be used when the interpretation of a character would be ambiguous without its context, i.e. more frequently than in most earlier printed editions</w:t>
      </w:r>
    </w:p>
    <w:p w14:paraId="21FAE8F4" w14:textId="77777777">
      <w:pPr>
        <w:pStyle w:val="Lista2"/>
      </w:pPr>
      <w:r>
        <w:t xml:space="preserve">the same applies, to a lesser degree, to restorations: if a character </w:t>
      </w:r>
      <w:r>
        <w:rPr>
          <w:noProof/>
        </w:rPr>
        <w:t>(</w:t>
      </w:r>
      <w:r>
        <w:t>or component) is completely indistinct in a good facsimile or the original support, feel free to mark it up as supplied even if the print edition shows it as merely unclear or clearly read</w:t>
      </w:r>
    </w:p>
    <w:p w14:paraId="31C78A9E" w14:textId="77777777">
      <w:pPr>
        <w:pStyle w:val="Lista"/>
      </w:pPr>
      <w:r>
        <w:t>dots or other signs indicating lacunae</w:t>
      </w:r>
    </w:p>
    <w:p w14:paraId="4F1DAF28" w14:textId="77777777">
      <w:pPr>
        <w:pStyle w:val="Lista2"/>
      </w:pPr>
      <w:r>
        <w:t xml:space="preserve">CII normally uses dots for lacunae, roughly indicating their size by the rule of “two dots correspond to one </w:t>
      </w:r>
      <w:r>
        <w:rPr>
          <w:rStyle w:val="Foreign"/>
        </w:rPr>
        <w:t>akṣara</w:t>
      </w:r>
      <w:r>
        <w:t xml:space="preserve">” </w:t>
      </w:r>
      <w:r>
        <w:rPr>
          <w:noProof/>
        </w:rPr>
        <w:t>(</w:t>
      </w:r>
      <w:r>
        <w:t>single dots may mean a lost vowel or a lost consonant)</w:t>
      </w:r>
    </w:p>
    <w:p w14:paraId="40D5709E" w14:textId="77777777">
      <w:pPr>
        <w:pStyle w:val="Lista2"/>
      </w:pPr>
      <w:r>
        <w:t xml:space="preserve">other editors may use asterisks or underscores, each corresponding to an </w:t>
      </w:r>
      <w:r>
        <w:rPr>
          <w:rStyle w:val="Foreign"/>
        </w:rPr>
        <w:t>akṣara</w:t>
      </w:r>
      <w:r>
        <w:t>, though this correspondence may be extremely inaccurate in some editions</w:t>
      </w:r>
    </w:p>
    <w:p w14:paraId="574E2421" w14:textId="77777777">
      <w:pPr>
        <w:pStyle w:val="Lista2"/>
      </w:pPr>
      <w:r>
        <w:t>see §</w:t>
      </w:r>
      <w:r>
        <w:fldChar w:fldCharType="begin"/>
      </w:r>
      <w:r>
        <w:instrText xml:space="preserve"> REF _Ref228460110 \r \h </w:instrText>
      </w:r>
      <w:r>
        <w:fldChar w:fldCharType="separate"/>
      </w:r>
      <w:r>
        <w:t>6.5</w:t>
      </w:r>
      <w:r>
        <w:fldChar w:fldCharType="end"/>
      </w:r>
      <w:r>
        <w:t xml:space="preserve"> about handling lacunae in EpiDoc</w:t>
      </w:r>
    </w:p>
    <w:p w14:paraId="6BCCF1CF" w14:textId="77777777">
      <w:pPr>
        <w:pStyle w:val="Cmsor2"/>
        <w:numPr>
          <w:ilvl w:val="1"/>
          <w:numId w:val="7"/>
        </w:numPr>
      </w:pPr>
      <w:bookmarkStart w:id="1167" w:name="_Toc243900491"/>
      <w:r>
        <w:t>Assimilating Pre-existing Corpora into DHARMA</w:t>
      </w:r>
      <w:bookmarkEnd w:id="1167"/>
    </w:p>
    <w:p w14:paraId="30657AA7" w14:textId="77777777">
      <w:pPr>
        <w:pStyle w:val="Cmsor3"/>
        <w:numPr>
          <w:ilvl w:val="2"/>
          <w:numId w:val="7"/>
        </w:numPr>
      </w:pPr>
      <w:bookmarkStart w:id="1168" w:name="_Toc243900492"/>
      <w:r>
        <w:t>Crediting the previous digital editor(s)</w:t>
      </w:r>
      <w:bookmarkEnd w:id="1168"/>
    </w:p>
    <w:p w14:paraId="401F143C" w14:textId="77777777">
      <w:r>
        <w:t>As per §</w:t>
      </w:r>
      <w:r>
        <w:fldChar w:fldCharType="begin"/>
      </w:r>
      <w:r>
        <w:instrText xml:space="preserve"> REF _Ref240273632 \r \h </w:instrText>
      </w:r>
      <w:r>
        <w:fldChar w:fldCharType="separate"/>
      </w:r>
      <w:r>
        <w:t>15.1.2</w:t>
      </w:r>
      <w:r>
        <w:fldChar w:fldCharType="end"/>
      </w:r>
      <w:r>
        <w:t>, the responsibility statement in the TEI header need only mention the people who have worked on the current DHARMA edition. Credit to the creator of a pre-existing digital edition shall be given in the form of free text in the epigraphic lemma (§</w:t>
      </w:r>
      <w:r>
        <w:fldChar w:fldCharType="begin"/>
      </w:r>
      <w:r>
        <w:instrText xml:space="preserve"> REF _Ref233623221 \r \h </w:instrText>
      </w:r>
      <w:r>
        <w:fldChar w:fldCharType="separate"/>
      </w:r>
      <w:r>
        <w:t>13.2</w:t>
      </w:r>
      <w:r>
        <w:fldChar w:fldCharType="end"/>
      </w:r>
      <w:r>
        <w:t>) in the same way as for pre-existing printed editions.</w:t>
      </w:r>
    </w:p>
    <w:p w14:paraId="03582B26" w14:textId="77777777">
      <w:pPr>
        <w:pStyle w:val="Lista"/>
      </w:pPr>
      <w:r>
        <w:t>if you use an unencoded e-text as a starting point for your edition, choose at your discretion whether or not to mention the creator of the e-text, based on the amount and quality of work that had gone into it</w:t>
      </w:r>
    </w:p>
    <w:p w14:paraId="687C131D" w14:textId="77777777">
      <w:pPr>
        <w:pStyle w:val="Lista"/>
      </w:pPr>
      <w:r>
        <w:t>the same part of the epigraphic lemma should also mention whether you, as the creator of the DHARMA edition, have only updated the encoding to the DHARMA standard or also revised the edition</w:t>
      </w:r>
    </w:p>
    <w:p w14:paraId="7AF63638" w14:textId="77777777">
      <w:pPr>
        <w:pStyle w:val="Cmsor3"/>
        <w:numPr>
          <w:ilvl w:val="2"/>
          <w:numId w:val="7"/>
        </w:numPr>
      </w:pPr>
      <w:bookmarkStart w:id="1169" w:name="_Toc243900493"/>
      <w:r>
        <w:t>Referring to the ingested digital edition</w:t>
      </w:r>
      <w:bookmarkEnd w:id="1169"/>
    </w:p>
    <w:p w14:paraId="528AF7C1" w14:textId="77777777">
      <w:r>
        <w:t>The preferred manner of referring to digital editions encoded before or outside the DHARMA project and reused for a DHARMA edition is to create a Zotero entry (item type: dataset) for a long-term archival version of the corpus in question (such as one stored on Zenodo), and then to refer to specific editions as “items” (§</w:t>
      </w:r>
      <w:r>
        <w:fldChar w:fldCharType="begin"/>
      </w:r>
      <w:r>
        <w:instrText xml:space="preserve"> REF _Ref233811283 \r \h </w:instrText>
      </w:r>
      <w:r>
        <w:fldChar w:fldCharType="separate"/>
      </w:r>
      <w:r>
        <w:t>14.6.1.2</w:t>
      </w:r>
      <w:r>
        <w:fldChar w:fldCharType="end"/>
      </w:r>
      <w:r>
        <w:t>) within that corpus. This ensures that the ingested edition can still be accessed at a future time, and be accessed exactly in the form in which it was used as a starting point for a DHARMA edition. Conversely, project websites where digital editions were originally published may become defunct or evolve over time. That said, feel free to deviate from this recommendation after considering the nature and foreseeable future of the digital edition you are ingesting.</w:t>
      </w:r>
    </w:p>
    <w:p w14:paraId="384F993B" w14:textId="77777777">
      <w:pPr>
        <w:pStyle w:val="Lista"/>
        <w:rPr>
          <w:rStyle w:val="Code"/>
          <w:rFonts w:ascii="Gentium" w:hAnsi="Gentium" w:cs="Tiro Devanagari Sanskrit"/>
          <w:noProof w:val="0"/>
          <w:color w:val="auto"/>
          <w:shd w:val="clear" w:color="auto" w:fill="auto"/>
        </w:rPr>
      </w:pPr>
      <w:r>
        <w:t xml:space="preserve">an encoded example of the preferred form of reference: </w:t>
      </w:r>
      <w:r>
        <w:rPr>
          <w:rStyle w:val="Code"/>
        </w:rPr>
        <w:t xml:space="preserve">&lt;bibl&gt;&lt;ptr </w:t>
      </w:r>
      <w:r>
        <w:rPr>
          <w:rStyle w:val="Codeattribute"/>
        </w:rPr>
        <w:t>target=</w:t>
      </w:r>
      <w:r>
        <w:rPr>
          <w:rStyle w:val="Codevalue"/>
        </w:rPr>
        <w:t>"bib:Balogh2019_03"</w:t>
      </w:r>
      <w:r>
        <w:rPr>
          <w:rStyle w:val="Code"/>
        </w:rPr>
        <w:t xml:space="preserve">/&gt;&lt;citedRange </w:t>
      </w:r>
      <w:r>
        <w:rPr>
          <w:rStyle w:val="Codeattribute"/>
        </w:rPr>
        <w:t>unit=</w:t>
      </w:r>
      <w:r>
        <w:rPr>
          <w:rStyle w:val="Codevalue"/>
        </w:rPr>
        <w:t>"item"</w:t>
      </w:r>
      <w:r>
        <w:rPr>
          <w:rStyle w:val="Code"/>
        </w:rPr>
        <w:t>&gt;</w:t>
      </w:r>
      <w:r>
        <w:rPr>
          <w:rStyle w:val="Codetext"/>
        </w:rPr>
        <w:t>IN00070</w:t>
      </w:r>
      <w:r>
        <w:rPr>
          <w:rStyle w:val="Code"/>
        </w:rPr>
        <w:t>&lt;/citedRange&gt;&lt;/bibl&gt;</w:t>
      </w:r>
    </w:p>
    <w:p w14:paraId="60B63869" w14:textId="77777777">
      <w:pPr>
        <w:pStyle w:val="Lista"/>
      </w:pPr>
      <w:r>
        <w:lastRenderedPageBreak/>
        <w:t>such a reference shall be included in the primary bibliography of the DHARMA edition with a siglum (§</w:t>
      </w:r>
      <w:r>
        <w:fldChar w:fldCharType="begin"/>
      </w:r>
      <w:r>
        <w:instrText xml:space="preserve"> REF _Ref233625904 \r \h </w:instrText>
      </w:r>
      <w:r>
        <w:fldChar w:fldCharType="separate"/>
      </w:r>
      <w:r>
        <w:t>13.3.3</w:t>
      </w:r>
      <w:r>
        <w:fldChar w:fldCharType="end"/>
      </w:r>
      <w:r>
        <w:t>) that allows citing its readings in the apparatus if applicable</w:t>
      </w:r>
    </w:p>
    <w:p w14:paraId="499EF507" w14:textId="77777777">
      <w:pPr>
        <w:pStyle w:val="Lista2"/>
      </w:pPr>
      <w:r>
        <w:t>whether or not you cite readings of the earlier digital edition in your apparatus shall be decided on a case by case basis depending on</w:t>
      </w:r>
    </w:p>
    <w:p w14:paraId="722AE20F" w14:textId="77777777">
      <w:pPr>
        <w:pStyle w:val="Lista3"/>
      </w:pPr>
      <w:r>
        <w:t>how you judge the extent of intellectual contribution of the earlier editor to the edition</w:t>
      </w:r>
    </w:p>
    <w:p w14:paraId="722F5574" w14:textId="77777777">
      <w:pPr>
        <w:pStyle w:val="Lista4"/>
      </w:pPr>
      <w:r>
        <w:t>if the earlier digital edition is just a “digital facsimile” of a printed edition, then preferably cite the readings from that printed edition instead</w:t>
      </w:r>
    </w:p>
    <w:p w14:paraId="1CEE34A9" w14:textId="77777777">
      <w:pPr>
        <w:pStyle w:val="Lista3"/>
      </w:pPr>
      <w:r>
        <w:t>and on whether or not you collaborate with the earlier editor in creating the DHARMA edition</w:t>
      </w:r>
    </w:p>
    <w:p w14:paraId="7966F20F" w14:textId="77777777">
      <w:pPr>
        <w:pStyle w:val="Lista4"/>
      </w:pPr>
      <w:r>
        <w:t>if the earlier editor is one of the creators of the current DHARMA edition, then citing to earlier readings by the same person is usually not essential</w:t>
      </w:r>
    </w:p>
    <w:p w14:paraId="7D613244" w14:textId="77777777">
      <w:pPr>
        <w:pStyle w:val="Cmsor3"/>
        <w:numPr>
          <w:ilvl w:val="2"/>
          <w:numId w:val="7"/>
        </w:numPr>
      </w:pPr>
      <w:bookmarkStart w:id="1170" w:name="_Toc243900494"/>
      <w:r>
        <w:t>Manual revision of the encoding</w:t>
      </w:r>
      <w:bookmarkEnd w:id="1170"/>
    </w:p>
    <w:p w14:paraId="14D24E9F" w14:textId="77777777">
      <w:pPr>
        <w:pStyle w:val="Lista"/>
      </w:pPr>
      <w:r>
        <w:t>what kind of revision is necessary depends on the specific encoding conventions of the ingested document, but in general you will probably need to pay attention to the following details</w:t>
      </w:r>
    </w:p>
    <w:p w14:paraId="631EDD3C" w14:textId="77777777">
      <w:pPr>
        <w:pStyle w:val="Lista2"/>
      </w:pPr>
      <w:r>
        <w:t>check editorial punctuation (§6.3.6) and change as desired or remove where not applicable (e.g. at the ends of stanzas and hemistichs)</w:t>
      </w:r>
    </w:p>
    <w:p w14:paraId="321A3ED5" w14:textId="77777777">
      <w:pPr>
        <w:pStyle w:val="Lista2"/>
      </w:pPr>
      <w:r>
        <w:t>check encoded spaces (§4.3) and supply as applicable</w:t>
      </w:r>
    </w:p>
    <w:p w14:paraId="33E94AC5" w14:textId="77777777">
      <w:pPr>
        <w:pStyle w:val="Lista2"/>
      </w:pPr>
      <w:r>
        <w:t>encode abbreviations (§</w:t>
      </w:r>
      <w:r>
        <w:fldChar w:fldCharType="begin"/>
      </w:r>
      <w:r>
        <w:instrText xml:space="preserve"> REF _Ref232002201 \r \h </w:instrText>
      </w:r>
      <w:r>
        <w:fldChar w:fldCharType="separate"/>
      </w:r>
      <w:r>
        <w:t>9.2</w:t>
      </w:r>
      <w:r>
        <w:fldChar w:fldCharType="end"/>
      </w:r>
      <w:r>
        <w:t>) as desired and applicable</w:t>
      </w:r>
    </w:p>
    <w:p w14:paraId="17E635CB" w14:textId="77777777">
      <w:pPr>
        <w:pStyle w:val="Lista2"/>
      </w:pPr>
      <w:r>
        <w:t xml:space="preserve">check editorial </w:t>
      </w:r>
      <w:r>
        <w:rPr>
          <w:rStyle w:val="Foreign"/>
        </w:rPr>
        <w:t>avagraha</w:t>
      </w:r>
      <w:r>
        <w:t>s (§6.3.7) and supply as desired</w:t>
      </w:r>
    </w:p>
    <w:p w14:paraId="75AA787F" w14:textId="77777777">
      <w:pPr>
        <w:pStyle w:val="Lista"/>
      </w:pPr>
      <w:r>
        <w:t xml:space="preserve">any </w:t>
      </w:r>
      <w:r>
        <w:rPr>
          <w:rStyle w:val="Code"/>
        </w:rPr>
        <w:t>&lt;revisionDesc&gt;</w:t>
      </w:r>
      <w:r>
        <w:t xml:space="preserve"> content present in the ingested document shall be deleted and replaced with a single </w:t>
      </w:r>
      <w:r>
        <w:rPr>
          <w:rStyle w:val="Code"/>
        </w:rPr>
        <w:t>&lt;change&gt;</w:t>
      </w:r>
      <w:r>
        <w:t xml:space="preserve"> element for the creation of the DHARMA edition as per §</w:t>
      </w:r>
      <w:r>
        <w:fldChar w:fldCharType="begin"/>
      </w:r>
      <w:r>
        <w:instrText xml:space="preserve"> REF _Ref240276652 \r \h </w:instrText>
      </w:r>
      <w:r>
        <w:fldChar w:fldCharType="separate"/>
      </w:r>
      <w:r>
        <w:t>15.3</w:t>
      </w:r>
      <w:r>
        <w:fldChar w:fldCharType="end"/>
      </w:r>
    </w:p>
    <w:p w14:paraId="27DD927B" w14:textId="77777777">
      <w:pPr>
        <w:pStyle w:val="Lista2"/>
      </w:pPr>
      <w:r>
        <w:t xml:space="preserve">if the revision of the encoding takes place in steps separated by time, add further </w:t>
      </w:r>
      <w:r>
        <w:rPr>
          <w:rStyle w:val="Code"/>
        </w:rPr>
        <w:t>&lt;change&gt;</w:t>
      </w:r>
      <w:r>
        <w:t xml:space="preserve"> elements as applicable</w:t>
      </w:r>
    </w:p>
    <w:p w14:paraId="7A493359" w14:textId="77777777"/>
    <w:p w14:paraId="6543E626" w14:textId="77777777"/>
    <w:p w14:paraId="78E133B7" w14:textId="77777777">
      <w:pPr>
        <w:pStyle w:val="Cmsor1"/>
        <w:numPr>
          <w:ilvl w:val="0"/>
          <w:numId w:val="0"/>
        </w:numPr>
      </w:pPr>
      <w:bookmarkStart w:id="1171" w:name="_td0xcb1s1fvx" w:colFirst="0" w:colLast="0"/>
      <w:bookmarkStart w:id="1172" w:name="_Toc243900495"/>
      <w:bookmarkEnd w:id="1171"/>
      <w:r>
        <w:lastRenderedPageBreak/>
        <w:t>References</w:t>
      </w:r>
      <w:bookmarkEnd w:id="1172"/>
    </w:p>
    <w:p w14:paraId="7289F39B" w14:textId="77777777">
      <w:pPr>
        <w:pStyle w:val="Irodalomjegyzk"/>
      </w:pPr>
      <w:r>
        <w:t xml:space="preserve">Apte, Vaman Shivaram. 1957. </w:t>
      </w:r>
      <w:r>
        <w:rPr>
          <w:rStyle w:val="Foreign"/>
        </w:rPr>
        <w:t>Revised and enlarged edition of Prin. V. S. Apte’s The practical Sanskrit-English dictionary</w:t>
      </w:r>
      <w:r>
        <w:t>. Edited by P. K. Gode and C. G. Karve. Poona: Prasad Prakashan.</w:t>
      </w:r>
    </w:p>
    <w:p w14:paraId="31537287" w14:textId="77777777">
      <w:pPr>
        <w:pStyle w:val="Irodalomjegyzk"/>
      </w:pPr>
      <w:r>
        <w:t xml:space="preserve">Arnold, Edward Vernon. 1905. </w:t>
      </w:r>
      <w:r>
        <w:rPr>
          <w:rStyle w:val="Foreign"/>
        </w:rPr>
        <w:t>Vedic Metre in Its Historical Development</w:t>
      </w:r>
      <w:r>
        <w:t>. Cambridge: Cambridge University Press.</w:t>
      </w:r>
    </w:p>
    <w:p w14:paraId="695D6A33" w14:textId="77777777">
      <w:pPr>
        <w:pStyle w:val="Irodalomjegyzk"/>
      </w:pPr>
      <w:r>
        <w:t xml:space="preserve">Birnbaum, David J. 2015. </w:t>
      </w:r>
      <w:r>
        <w:rPr>
          <w:rStyle w:val="Foreign"/>
        </w:rPr>
        <w:t>What is XML and why should humanists care? An even gentler introduction to XML</w:t>
      </w:r>
      <w:r>
        <w:t xml:space="preserve">. </w:t>
      </w:r>
      <w:hyperlink r:id="rId87" w:history="1">
        <w:r>
          <w:rPr>
            <w:rStyle w:val="Hiperhivatkozs"/>
          </w:rPr>
          <w:t>http://dh.obdurodon.org/what-is-xml.xhtml</w:t>
        </w:r>
      </w:hyperlink>
      <w:r>
        <w:rPr>
          <w:rStyle w:val="Hiperhivatkozs"/>
        </w:rPr>
        <w:t xml:space="preserve"> </w:t>
      </w:r>
    </w:p>
    <w:p w14:paraId="3FC01978" w14:textId="77777777">
      <w:pPr>
        <w:pStyle w:val="Irodalomjegyzk"/>
      </w:pPr>
      <w:r>
        <w:t xml:space="preserve">Bodard, Gabriel. 2010. ‘EpiDoc: Epigraphic Documents in XML for Publication and Interchange’. In </w:t>
      </w:r>
      <w:r>
        <w:rPr>
          <w:rStyle w:val="Foreign"/>
        </w:rPr>
        <w:t>Latin on Stone: Epigraphic Research and Electronic Archives</w:t>
      </w:r>
      <w:r>
        <w:t xml:space="preserve">, edited by Francisca </w:t>
      </w:r>
      <w:proofErr w:type="spellStart"/>
      <w:r>
        <w:t>Feraudi-Gruénais</w:t>
      </w:r>
      <w:proofErr w:type="spellEnd"/>
      <w:r>
        <w:t xml:space="preserve">, 101–18. Lanham: Lexington Books. </w:t>
      </w:r>
      <w:hyperlink r:id="rId88" w:history="1">
        <w:r>
          <w:rPr>
            <w:rStyle w:val="Hiperhivatkozs"/>
          </w:rPr>
          <w:t>https://blog.stoa.org/files/2010/09/Chapter05_EpiDoc_Bodard.pdf</w:t>
        </w:r>
      </w:hyperlink>
    </w:p>
    <w:p w14:paraId="0E20CE0E" w14:textId="77777777">
      <w:pPr>
        <w:pStyle w:val="Irodalomjegyzk"/>
      </w:pPr>
      <w:proofErr w:type="spellStart"/>
      <w:r>
        <w:t>Damais</w:t>
      </w:r>
      <w:proofErr w:type="spellEnd"/>
      <w:r>
        <w:t>, Louis-Charles. 1952. ‘</w:t>
      </w:r>
      <w:r>
        <w:rPr>
          <w:noProof/>
        </w:rPr>
        <w:t xml:space="preserve">Études d’épigraphie indonésienne, III: liste des principales inscriptions datées de l’Indonésie’. </w:t>
      </w:r>
      <w:r>
        <w:rPr>
          <w:i/>
          <w:iCs/>
          <w:noProof/>
        </w:rPr>
        <w:t>Bulletin de l’École française d’Extrême-Orient</w:t>
      </w:r>
      <w:r>
        <w:t xml:space="preserve"> 46 </w:t>
      </w:r>
      <w:r>
        <w:rPr>
          <w:noProof/>
        </w:rPr>
        <w:t>(</w:t>
      </w:r>
      <w:r>
        <w:t>1): 1–105.</w:t>
      </w:r>
    </w:p>
    <w:p w14:paraId="1B8DA15E" w14:textId="77777777">
      <w:pPr>
        <w:pStyle w:val="Irodalomjegyzk"/>
      </w:pPr>
      <w:r>
        <w:t xml:space="preserve">Fleet, John Faithfull. 1888. </w:t>
      </w:r>
      <w:r>
        <w:rPr>
          <w:rStyle w:val="Foreign"/>
        </w:rPr>
        <w:t>Inscriptions of the Early Gupta Kings and Their Successors</w:t>
      </w:r>
      <w:r>
        <w:t>. Corpus Inscriptionum Indicarum, III. Calcutta: Superintendent of Government Printing.</w:t>
      </w:r>
    </w:p>
    <w:p w14:paraId="0EDCE52C" w14:textId="77777777">
      <w:pPr>
        <w:pStyle w:val="Irodalomjegyzk"/>
      </w:pPr>
      <w:r>
        <w:rPr>
          <w:noProof/>
        </w:rPr>
        <w:t>Roueché</w:t>
      </w:r>
      <w:r>
        <w:t xml:space="preserve">, Charlotte and Julia Flanders. n. d. </w:t>
      </w:r>
      <w:r>
        <w:rPr>
          <w:rStyle w:val="Foreign"/>
        </w:rPr>
        <w:t>The Gentle Introduction to Mark-up for Epigraphers</w:t>
      </w:r>
      <w:r>
        <w:t xml:space="preserve">, </w:t>
      </w:r>
      <w:hyperlink r:id="rId89" w:history="1">
        <w:r>
          <w:rPr>
            <w:rStyle w:val="Hiperhivatkozs"/>
          </w:rPr>
          <w:t>https://epidoc.stoa.org/gl/latest/intro-eps.html</w:t>
        </w:r>
      </w:hyperlink>
    </w:p>
    <w:p w14:paraId="6A5905D0" w14:textId="77777777">
      <w:pPr>
        <w:pStyle w:val="Irodalomjegyzk"/>
      </w:pPr>
      <w:r>
        <w:rPr>
          <w:noProof/>
        </w:rPr>
        <w:t>Tanselle</w:t>
      </w:r>
      <w:r>
        <w:t xml:space="preserve">, George Thomas. 1989. </w:t>
      </w:r>
      <w:r>
        <w:rPr>
          <w:i/>
          <w:iCs/>
        </w:rPr>
        <w:t>A Rationale of Textual Criticism</w:t>
      </w:r>
      <w:r>
        <w:t>. Philadelphia: University of Pennsylvania Press.</w:t>
      </w:r>
    </w:p>
    <w:p w14:paraId="7440E5D5" w14:textId="77777777">
      <w:pPr>
        <w:pStyle w:val="Irodalomjegyzk"/>
      </w:pPr>
      <w:r>
        <w:t xml:space="preserve">TEI Consortium, eds. 2023. </w:t>
      </w:r>
      <w:r>
        <w:rPr>
          <w:i/>
          <w:iCs/>
        </w:rPr>
        <w:t>TEI P5: Guidelines for Electronic Text Encoding and Interchange.</w:t>
      </w:r>
      <w:r>
        <w:t xml:space="preserve"> Version 4.6.0, last updated 4 April 2023, accessed November-December 2023. TEI Consortium. </w:t>
      </w:r>
      <w:hyperlink r:id="rId90" w:history="1">
        <w:r>
          <w:rPr>
            <w:rStyle w:val="Hiperhivatkozs"/>
          </w:rPr>
          <w:t>http://www.tei-c.org/Guidelines/P5/</w:t>
        </w:r>
      </w:hyperlink>
      <w:r>
        <w:t xml:space="preserve"> </w:t>
      </w:r>
    </w:p>
    <w:sectPr>
      <w:footerReference w:type="even" r:id="rId91"/>
      <w:footerReference w:type="default" r:id="rId92"/>
      <w:pgSz w:w="11906" w:h="16838" w:code="9"/>
      <w:pgMar w:top="1134" w:right="1134" w:bottom="1134" w:left="1134" w:header="709" w:footer="70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183F" w14:textId="77777777">
      <w:pPr>
        <w:spacing w:line="240" w:lineRule="auto"/>
      </w:pPr>
      <w:r>
        <w:separator/>
      </w:r>
    </w:p>
  </w:endnote>
  <w:endnote w:type="continuationSeparator" w:id="0">
    <w:p w14:paraId="75B1DA0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ntium Plus">
    <w:altName w:val="Calibri"/>
    <w:panose1 w:val="02000503060000020004"/>
    <w:charset w:val="00"/>
    <w:family w:val="auto"/>
    <w:pitch w:val="variable"/>
    <w:sig w:usb0="E00003FF" w:usb1="5200E1FF" w:usb2="0A000029" w:usb3="00000000" w:csb0="0000019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embedRegular r:id="rId1" w:fontKey="{4681022E-93A6-4274-8A7B-B9A910AF4907}"/>
    <w:embedBold r:id="rId2" w:fontKey="{E884FA26-70CA-4AA8-ACE8-45EE483863F9}"/>
    <w:embedItalic r:id="rId3" w:fontKey="{6E4EFCAE-23BB-475C-83CC-2225CF030412}"/>
    <w:embedBoldItalic r:id="rId4" w:fontKey="{F8387179-705C-4D61-B1BC-7144A20B28A5}"/>
  </w:font>
  <w:font w:name="Cambria">
    <w:panose1 w:val="02040503050406030204"/>
    <w:charset w:val="00"/>
    <w:family w:val="roman"/>
    <w:pitch w:val="variable"/>
    <w:sig w:usb0="E00006FF" w:usb1="420024FF" w:usb2="02000000" w:usb3="00000000" w:csb0="0000019F" w:csb1="00000000"/>
    <w:embedRegular r:id="rId5" w:subsetted="1" w:fontKey="{ACF29E55-6F08-4565-8488-7F6029ADFF08}"/>
  </w:font>
  <w:font w:name="Tiro Devanagari Sanskrit">
    <w:altName w:val="Mangal"/>
    <w:panose1 w:val="02000000000000000000"/>
    <w:charset w:val="00"/>
    <w:family w:val="auto"/>
    <w:pitch w:val="variable"/>
    <w:sig w:usb0="00008003" w:usb1="00000000" w:usb2="00000000" w:usb3="00000000" w:csb0="00000001" w:csb1="00000000"/>
    <w:embedRegular r:id="rId6" w:fontKey="{56C5B494-4C21-4E35-BC34-70FA0A1D2305}"/>
    <w:embedBold r:id="rId7" w:fontKey="{C884BD97-0122-41BC-805A-50077F7B9CB3}"/>
    <w:embedItalic r:id="rId8" w:fontKey="{B9778775-48E6-482F-ADFA-43C536491B4F}"/>
    <w:embedBoldItalic r:id="rId9" w:fontKey="{33FAF933-9195-4C1C-B7CF-41D02BAE000A}"/>
  </w:font>
  <w:font w:name="Calibri">
    <w:panose1 w:val="020F0502020204030204"/>
    <w:charset w:val="00"/>
    <w:family w:val="swiss"/>
    <w:pitch w:val="variable"/>
    <w:sig w:usb0="E4002EFF" w:usb1="C200247B" w:usb2="00000009" w:usb3="00000000" w:csb0="000001FF" w:csb1="00000000"/>
    <w:embedRegular r:id="rId10" w:fontKey="{4631EEF9-DB8A-4841-A429-B4A6644716D5}"/>
    <w:embedBold r:id="rId11" w:fontKey="{1CD97B1C-74D7-4029-9BFC-FF7FD32F4CEA}"/>
    <w:embedItalic r:id="rId12" w:fontKey="{1851FC2E-2336-4AC3-A87D-335D74F48310}"/>
    <w:embedBoldItalic r:id="rId13" w:fontKey="{1715A6CF-88BF-489F-8EE8-8CF25D43037A}"/>
  </w:font>
  <w:font w:name="Tahoma">
    <w:panose1 w:val="020B0604030504040204"/>
    <w:charset w:val="EE"/>
    <w:family w:val="swiss"/>
    <w:pitch w:val="variable"/>
    <w:sig w:usb0="E1002EFF" w:usb1="C000605B" w:usb2="00000029" w:usb3="00000000" w:csb0="000101FF" w:csb1="00000000"/>
  </w:font>
  <w:font w:name="Murty Sanskrit">
    <w:altName w:val="Mangal"/>
    <w:panose1 w:val="00000000000000000000"/>
    <w:charset w:val="00"/>
    <w:family w:val="modern"/>
    <w:notTrueType/>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embedRegular r:id="rId14" w:fontKey="{9297268B-5905-44DE-BBA1-73DDD3321F2C}"/>
    <w:embedBold r:id="rId15" w:fontKey="{34A841CB-F9D5-49DC-8480-98724748B564}"/>
    <w:embedItalic r:id="rId16" w:fontKey="{D47B34B3-71D9-463C-BE57-B668775D65F3}"/>
  </w:font>
  <w:font w:name="Tiro Kannada">
    <w:panose1 w:val="02000000000000000000"/>
    <w:charset w:val="00"/>
    <w:family w:val="auto"/>
    <w:pitch w:val="variable"/>
    <w:sig w:usb0="A040806F" w:usb1="0000200A" w:usb2="00000000" w:usb3="00000000" w:csb0="00000001" w:csb1="00000000"/>
  </w:font>
  <w:font w:name="Tiro Tamil">
    <w:panose1 w:val="02000000000000000000"/>
    <w:charset w:val="00"/>
    <w:family w:val="auto"/>
    <w:pitch w:val="variable"/>
    <w:sig w:usb0="A010806F" w:usb1="0000200A" w:usb2="00000000" w:usb3="00000000" w:csb0="00000001" w:csb1="00000000"/>
    <w:embedRegular r:id="rId17" w:subsetted="1" w:fontKey="{D7B83A7B-9F10-4103-89F1-C9E4D817E2DD}"/>
  </w:font>
  <w:font w:name="Noto Sans Balinese">
    <w:panose1 w:val="020B0502040504020204"/>
    <w:charset w:val="00"/>
    <w:family w:val="swiss"/>
    <w:pitch w:val="variable"/>
    <w:sig w:usb0="00000003" w:usb1="00000000" w:usb2="00000000" w:usb3="00000000" w:csb0="00000001" w:csb1="00000000"/>
  </w:font>
  <w:font w:name="Leelawadee UI">
    <w:panose1 w:val="020B0502040204020203"/>
    <w:charset w:val="00"/>
    <w:family w:val="swiss"/>
    <w:pitch w:val="variable"/>
    <w:sig w:usb0="A3000003" w:usb1="00000000" w:usb2="00010000" w:usb3="00000000" w:csb0="00010101" w:csb1="00000000"/>
  </w:font>
  <w:font w:name="Segoe UI Historic">
    <w:panose1 w:val="020B0502040204020203"/>
    <w:charset w:val="00"/>
    <w:family w:val="swiss"/>
    <w:pitch w:val="variable"/>
    <w:sig w:usb0="800001EF" w:usb1="02000002" w:usb2="0060C080" w:usb3="00000000" w:csb0="00000001" w:csb1="00000000"/>
    <w:embedRegular r:id="rId18" w:fontKey="{7B44A179-E6F0-45AC-94E1-6F3D97C19B8C}"/>
  </w:font>
  <w:font w:name="DaunPenh">
    <w:charset w:val="00"/>
    <w:family w:val="auto"/>
    <w:pitch w:val="variable"/>
    <w:sig w:usb0="80000003" w:usb1="00000000" w:usb2="00010000" w:usb3="00000000" w:csb0="00000001" w:csb1="00000000"/>
  </w:font>
  <w:font w:name="Cardo">
    <w:panose1 w:val="02020600000000000000"/>
    <w:charset w:val="00"/>
    <w:family w:val="roman"/>
    <w:pitch w:val="variable"/>
    <w:sig w:usb0="E40008FF" w:usb1="5201E0FB" w:usb2="04608000" w:usb3="00000000" w:csb0="000000BB" w:csb1="00000000"/>
    <w:embedRegular r:id="rId19" w:subsetted="1" w:fontKey="{9453573E-10C1-498F-A35C-53A7FAA098A9}"/>
  </w:font>
  <w:font w:name="Mangal">
    <w:panose1 w:val="02040503050203030202"/>
    <w:charset w:val="00"/>
    <w:family w:val="roman"/>
    <w:pitch w:val="variable"/>
    <w:sig w:usb0="00008003" w:usb1="00000000" w:usb2="00000000" w:usb3="00000000" w:csb0="00000001" w:csb1="00000000"/>
    <w:embedRegular r:id="rId20" w:subsetted="1" w:fontKey="{A366AF99-4A41-4C37-AAF4-6ED092B0E89B}"/>
  </w:font>
  <w:font w:name="Noto Sans Grantha">
    <w:charset w:val="00"/>
    <w:family w:val="swiss"/>
    <w:pitch w:val="variable"/>
    <w:sig w:usb0="80108003" w:usb1="02002004" w:usb2="00000000" w:usb3="00000000" w:csb0="00000001" w:csb1="00000000"/>
    <w:embedRegular r:id="rId21" w:fontKey="{22FB6F30-B732-4680-861A-432ED2B1D337}"/>
  </w:font>
  <w:font w:name="Myanmar Text">
    <w:panose1 w:val="020B0502040204020203"/>
    <w:charset w:val="00"/>
    <w:family w:val="swiss"/>
    <w:pitch w:val="variable"/>
    <w:sig w:usb0="80000003" w:usb1="00000000" w:usb2="00000400" w:usb3="00000000" w:csb0="00000001" w:csb1="00000000"/>
  </w:font>
  <w:font w:name="Uttara">
    <w:panose1 w:val="02000000000000000000"/>
    <w:charset w:val="00"/>
    <w:family w:val="auto"/>
    <w:pitch w:val="variable"/>
    <w:sig w:usb0="A00082EF" w:usb1="5000214B" w:usb2="00000000" w:usb3="00000000" w:csb0="00000197" w:csb1="00000000"/>
    <w:embedRegular r:id="rId22" w:subsetted="1" w:fontKey="{31175512-089E-435E-BB92-DF66DD4A5A88}"/>
  </w:font>
  <w:font w:name="Tiro Telugu">
    <w:panose1 w:val="02000000000000000000"/>
    <w:charset w:val="00"/>
    <w:family w:val="auto"/>
    <w:pitch w:val="variable"/>
    <w:sig w:usb0="A020006F" w:usb1="0000200A" w:usb2="00000000" w:usb3="00000000" w:csb0="00000001" w:csb1="00000000"/>
  </w:font>
  <w:font w:name="Nirmala UI">
    <w:panose1 w:val="020B0502040204020203"/>
    <w:charset w:val="00"/>
    <w:family w:val="swiss"/>
    <w:pitch w:val="variable"/>
    <w:sig w:usb0="80FF8023" w:usb1="0200004A" w:usb2="00000200" w:usb3="00000000" w:csb0="00000001" w:csb1="00000000"/>
    <w:embedRegular r:id="rId23" w:subsetted="1" w:fontKey="{25915CFD-493A-49FC-A807-9EC68980AB24}"/>
  </w:font>
  <w:font w:name="Javanese Text">
    <w:panose1 w:val="02000000000000000000"/>
    <w:charset w:val="00"/>
    <w:family w:val="auto"/>
    <w:pitch w:val="variable"/>
    <w:sig w:usb0="80000003" w:usb1="00002000" w:usb2="00000000" w:usb3="00000000" w:csb0="00000001" w:csb1="00000000"/>
  </w:font>
  <w:font w:name="Satisar Sharada">
    <w:panose1 w:val="02000600000000000000"/>
    <w:charset w:val="00"/>
    <w:family w:val="auto"/>
    <w:pitch w:val="variable"/>
    <w:sig w:usb0="00000003" w:usb1="02000000" w:usb2="00000000" w:usb3="00000000" w:csb0="00000001" w:csb1="00000000"/>
  </w:font>
  <w:font w:name="Raavi">
    <w:panose1 w:val="02000500000000000000"/>
    <w:charset w:val="00"/>
    <w:family w:val="swiss"/>
    <w:pitch w:val="variable"/>
    <w:sig w:usb0="0002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embedRegular r:id="rId24" w:subsetted="1" w:fontKey="{6827B864-BE17-4C37-9ECE-DF704D082392}"/>
  </w:font>
  <w:font w:name="Cambria Math">
    <w:panose1 w:val="02040503050406030204"/>
    <w:charset w:val="00"/>
    <w:family w:val="roman"/>
    <w:pitch w:val="variable"/>
    <w:sig w:usb0="E00006FF" w:usb1="420024FF" w:usb2="02000000" w:usb3="00000000" w:csb0="0000019F" w:csb1="00000000"/>
    <w:embedRegular r:id="rId25" w:fontKey="{BA30C330-E703-4BEA-9533-EC85AFB33454}"/>
    <w:embedItalic r:id="rId26" w:fontKey="{813D48EA-606E-4F61-95ED-8ADC3311AD44}"/>
  </w:font>
  <w:font w:name="Noto Serif">
    <w:panose1 w:val="02020502060505020204"/>
    <w:charset w:val="00"/>
    <w:family w:val="roman"/>
    <w:pitch w:val="variable"/>
    <w:sig w:usb0="E00002FF" w:usb1="4000201F" w:usb2="08000029" w:usb3="00000000" w:csb0="0000019F" w:csb1="00000000"/>
  </w:font>
  <w:font w:name="Noto Sans">
    <w:panose1 w:val="020B0502040504020204"/>
    <w:charset w:val="00"/>
    <w:family w:val="swiss"/>
    <w:pitch w:val="variable"/>
    <w:sig w:usb0="E00002FF" w:usb1="4000201F" w:usb2="08000029" w:usb3="00000000" w:csb0="0000019F" w:csb1="00000000"/>
  </w:font>
  <w:font w:name="Old English Text MT">
    <w:panose1 w:val="03040902040508030806"/>
    <w:charset w:val="00"/>
    <w:family w:val="script"/>
    <w:pitch w:val="variable"/>
    <w:sig w:usb0="00000003" w:usb1="00000000" w:usb2="00000000" w:usb3="00000000" w:csb0="00000001" w:csb1="00000000"/>
    <w:embedRegular r:id="rId27" w:subsetted="1" w:fontKey="{8B5E20CF-295A-4ADC-9694-FA4FE101C075}"/>
  </w:font>
  <w:font w:name="Arial">
    <w:panose1 w:val="020B0604020202020204"/>
    <w:charset w:val="00"/>
    <w:family w:val="swiss"/>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Kokila">
    <w:panose1 w:val="020B0604020202020204"/>
    <w:charset w:val="00"/>
    <w:family w:val="swiss"/>
    <w:pitch w:val="variable"/>
    <w:sig w:usb0="00008003" w:usb1="00000000" w:usb2="00000000" w:usb3="00000000" w:csb0="00000001" w:csb1="00000000"/>
    <w:embedRegular r:id="rId28" w:subsetted="1" w:fontKey="{1F0433A5-1FD9-4357-9678-39863A92B3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4F650" w14:textId="77777777">
    <w:pPr>
      <w:pStyle w:val="llb"/>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2F62" w14:textId="77777777">
    <w:pPr>
      <w:jc w:val="right"/>
    </w:pPr>
    <w:r>
      <w:rPr>
        <w:sz w:val="20"/>
        <w:szCs w:val="20"/>
      </w:rPr>
      <w:t xml:space="preserv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B3A3A" w14:textId="77777777">
      <w:pPr>
        <w:spacing w:line="240" w:lineRule="auto"/>
      </w:pPr>
      <w:r>
        <w:separator/>
      </w:r>
    </w:p>
  </w:footnote>
  <w:footnote w:type="continuationSeparator" w:id="0">
    <w:p w14:paraId="36D1114C" w14:textId="77777777">
      <w:pPr>
        <w:spacing w:line="240" w:lineRule="auto"/>
      </w:pPr>
      <w:r>
        <w:continuationSeparator/>
      </w:r>
    </w:p>
  </w:footnote>
  <w:footnote w:id="1">
    <w:p w14:paraId="3DADFF9B" w14:textId="77777777">
      <w:pPr>
        <w:pStyle w:val="Lbjegyzetszveg"/>
      </w:pPr>
      <w:r>
        <w:rPr>
          <w:rStyle w:val="Lbjegyzet-hivatkozs"/>
        </w:rPr>
        <w:tab/>
      </w:r>
      <w:r>
        <w:rPr>
          <w:rStyle w:val="Lbjegyzet-hivatkozs"/>
        </w:rPr>
        <w:footnoteRef/>
      </w:r>
      <w:r>
        <w:tab/>
      </w:r>
      <w:hyperlink r:id="rId1" w:history="1">
        <w:r>
          <w:rPr>
            <w:rStyle w:val="Hiperhivatkozs"/>
          </w:rPr>
          <w:t>https://docs.google.com/document/d/1hjWrrwRZQp4hmEqw4jBhhqoXdwJvRlw3EWboJteOPw0</w:t>
        </w:r>
      </w:hyperlink>
    </w:p>
  </w:footnote>
  <w:footnote w:id="2">
    <w:p w14:paraId="5733C0AA" w14:textId="77777777">
      <w:pPr>
        <w:pStyle w:val="Lbjegyzetszveg"/>
      </w:pPr>
      <w:r>
        <w:tab/>
      </w:r>
      <w:r>
        <w:rPr>
          <w:rStyle w:val="Lbjegyzet-hivatkozs"/>
        </w:rPr>
        <w:footnoteRef/>
      </w:r>
      <w:r>
        <w:tab/>
      </w:r>
      <w:hyperlink r:id="rId2" w:history="1">
        <w:r>
          <w:rPr>
            <w:rStyle w:val="Hiperhivatkozs"/>
          </w:rPr>
          <w:t>https://epidoc.stoa.org/gl/latest/</w:t>
        </w:r>
      </w:hyperlink>
    </w:p>
  </w:footnote>
  <w:footnote w:id="3">
    <w:p w14:paraId="77730E0D" w14:textId="77777777">
      <w:pPr>
        <w:pStyle w:val="Lbjegyzetszveg"/>
      </w:pPr>
      <w:r>
        <w:tab/>
      </w:r>
      <w:r>
        <w:rPr>
          <w:rStyle w:val="Lbjegyzet-hivatkozs"/>
        </w:rPr>
        <w:footnoteRef/>
      </w:r>
      <w:r>
        <w:tab/>
      </w:r>
      <w:hyperlink r:id="rId3" w:history="1">
        <w:r>
          <w:rPr>
            <w:rStyle w:val="Hiperhivatkozs"/>
          </w:rPr>
          <w:t>https://tei-c.org/release/doc/tei-p5-doc/en/html/index.html</w:t>
        </w:r>
      </w:hyperlink>
    </w:p>
  </w:footnote>
  <w:footnote w:id="4">
    <w:p w14:paraId="13EEEFD4" w14:textId="77777777">
      <w:pPr>
        <w:pStyle w:val="Lbjegyzetszveg"/>
      </w:pPr>
      <w:r>
        <w:tab/>
      </w:r>
      <w:r>
        <w:rPr>
          <w:rStyle w:val="Lbjegyzet-hivatkozs"/>
        </w:rPr>
        <w:footnoteRef/>
      </w:r>
      <w:r>
        <w:tab/>
        <w:t>TEI Consortium (2023, §v).</w:t>
      </w:r>
    </w:p>
  </w:footnote>
  <w:footnote w:id="5">
    <w:p w14:paraId="50734918" w14:textId="77777777">
      <w:pPr>
        <w:pStyle w:val="Lbjegyzetszveg"/>
      </w:pPr>
      <w:r>
        <w:tab/>
      </w:r>
      <w:r>
        <w:rPr>
          <w:rStyle w:val="Lbjegyzet-hivatkozs"/>
        </w:rPr>
        <w:footnoteRef/>
      </w:r>
      <w:r>
        <w:tab/>
        <w:t xml:space="preserve">The use of single quote marks </w:t>
      </w:r>
      <w:r>
        <w:rPr>
          <w:noProof/>
        </w:rPr>
        <w:t>(</w:t>
      </w:r>
      <w:r>
        <w:t>' apostrophe) is also permitted by the XML standard. However, for the sake of consistency, we shall always use double quote marks.</w:t>
      </w:r>
    </w:p>
  </w:footnote>
  <w:footnote w:id="6">
    <w:p w14:paraId="71C7F695" w14:textId="77777777">
      <w:pPr>
        <w:pStyle w:val="Lbjegyzetszveg"/>
      </w:pPr>
      <w:r>
        <w:tab/>
      </w:r>
      <w:r>
        <w:rPr>
          <w:rStyle w:val="Lbjegyzet-hivatkozs"/>
        </w:rPr>
        <w:footnoteRef/>
      </w:r>
      <w:r>
        <w:tab/>
        <w:t xml:space="preserve">In Oxygen, press CTRL + SHIFT + , </w:t>
      </w:r>
      <w:r>
        <w:rPr>
          <w:noProof/>
        </w:rPr>
        <w:t>(</w:t>
      </w:r>
      <w:r>
        <w:t>comma) to turn selected text into a comment or to uncomment text around the cursor.</w:t>
      </w:r>
    </w:p>
  </w:footnote>
  <w:footnote w:id="7">
    <w:p w14:paraId="1F4B9C4E" w14:textId="77777777">
      <w:pPr>
        <w:pStyle w:val="Lbjegyzetszveg"/>
      </w:pPr>
      <w:r>
        <w:tab/>
      </w:r>
      <w:r>
        <w:rPr>
          <w:rStyle w:val="Lbjegyzet-hivatkozs"/>
        </w:rPr>
        <w:footnoteRef/>
      </w:r>
      <w:r>
        <w:t xml:space="preserve"> </w:t>
      </w:r>
      <w:r>
        <w:tab/>
      </w:r>
      <w:hyperlink r:id="rId4" w:history="1">
        <w:r>
          <w:rPr>
            <w:rStyle w:val="Hiperhivatkozs"/>
          </w:rPr>
          <w:t>https://github.com/erc-dharma/project-documentation/blob/master/templates/inscriptions/DHARMA_INSencodingTemplate.xml</w:t>
        </w:r>
      </w:hyperlink>
      <w:r>
        <w:t xml:space="preserve"> </w:t>
      </w:r>
    </w:p>
  </w:footnote>
  <w:footnote w:id="8">
    <w:p w14:paraId="32B81EA6" w14:textId="77777777">
      <w:pPr>
        <w:pStyle w:val="Lbjegyzetszveg"/>
      </w:pPr>
      <w:r>
        <w:tab/>
      </w:r>
      <w:r>
        <w:rPr>
          <w:rStyle w:val="Lbjegyzet-hivatkozs"/>
        </w:rPr>
        <w:footnoteRef/>
      </w:r>
      <w:r>
        <w:tab/>
        <w:t>Outside the edition, paragraphs may also contain block quotes which in turn may contain stanzas and lines as per §</w:t>
      </w:r>
      <w:r>
        <w:fldChar w:fldCharType="begin"/>
      </w:r>
      <w:r>
        <w:instrText xml:space="preserve"> REF _Ref233793283 \r \h </w:instrText>
      </w:r>
      <w:r>
        <w:fldChar w:fldCharType="separate"/>
      </w:r>
      <w:r>
        <w:t>14.3.3</w:t>
      </w:r>
      <w:r>
        <w:fldChar w:fldCharType="end"/>
      </w:r>
      <w:r>
        <w:t>.</w:t>
      </w:r>
    </w:p>
  </w:footnote>
  <w:footnote w:id="9">
    <w:p w14:paraId="5C7C96A0" w14:textId="77777777">
      <w:pPr>
        <w:pStyle w:val="Lbjegyzetszveg"/>
      </w:pPr>
      <w:r>
        <w:tab/>
      </w:r>
      <w:r>
        <w:rPr>
          <w:rStyle w:val="Lbjegyzet-hivatkozs"/>
        </w:rPr>
        <w:footnoteRef/>
      </w:r>
      <w:r>
        <w:tab/>
        <w:t xml:space="preserve">See the TG, especially TG §7.3.2 on editorial segmentation interacting with </w:t>
      </w:r>
      <w:r>
        <w:rPr>
          <w:rStyle w:val="Foreign"/>
        </w:rPr>
        <w:t>akṣara</w:t>
      </w:r>
      <w:r>
        <w:rPr>
          <w:rStyle w:val="Foreign"/>
          <w:i w:val="0"/>
          <w:iCs w:val="0"/>
        </w:rPr>
        <w:t>s</w:t>
      </w:r>
      <w:r>
        <w:t xml:space="preserve">. </w:t>
      </w:r>
    </w:p>
  </w:footnote>
  <w:footnote w:id="10">
    <w:p w14:paraId="32AB6D8A" w14:textId="77777777">
      <w:pPr>
        <w:pStyle w:val="Lbjegyzetszveg"/>
      </w:pPr>
      <w:r>
        <w:tab/>
      </w:r>
      <w:r>
        <w:rPr>
          <w:rStyle w:val="Lbjegyzet-hivatkozs"/>
        </w:rPr>
        <w:footnoteRef/>
      </w:r>
      <w:r>
        <w:tab/>
        <w:t xml:space="preserve">DHARMA_prosodicPatterns_v01.xml in our Project Documentation GitHub repository, displayed at </w:t>
      </w:r>
      <w:hyperlink r:id="rId5" w:history="1">
        <w:r>
          <w:rPr>
            <w:rStyle w:val="Hiperhivatkozs"/>
          </w:rPr>
          <w:t>https://dharmalekha.info/prosody</w:t>
        </w:r>
      </w:hyperlink>
    </w:p>
  </w:footnote>
  <w:footnote w:id="11">
    <w:p w14:paraId="759612CF" w14:textId="77777777">
      <w:pPr>
        <w:pStyle w:val="Lbjegyzetszveg"/>
      </w:pPr>
      <w:r>
        <w:tab/>
      </w:r>
      <w:r>
        <w:rPr>
          <w:rStyle w:val="Lbjegyzet-hivatkozs"/>
        </w:rPr>
        <w:footnoteRef/>
      </w:r>
      <w:r>
        <w:tab/>
        <w:t xml:space="preserve">The seeming contradiction between the element’s name and the fact that it indicates uncertainty is that this element would normally take the attribute </w:t>
      </w:r>
      <w:r>
        <w:rPr>
          <w:rStyle w:val="Codeattribute"/>
        </w:rPr>
        <w:t>@cert</w:t>
      </w:r>
      <w:r>
        <w:t xml:space="preserve"> to indicate a degree of certainty. However, in EpiDoc and thus in our encoding practice, </w:t>
      </w:r>
      <w:r>
        <w:rPr>
          <w:rStyle w:val="Code"/>
        </w:rPr>
        <w:t>&lt;certainty&gt;</w:t>
      </w:r>
      <w:r>
        <w:t xml:space="preserve"> is only used for indicating uncertainty, and is by default understood to mean </w:t>
      </w:r>
      <w:r>
        <w:rPr>
          <w:rStyle w:val="Code"/>
        </w:rPr>
        <w:t xml:space="preserve">&lt;certainty </w:t>
      </w:r>
      <w:r>
        <w:rPr>
          <w:rStyle w:val="Codeattribute"/>
        </w:rPr>
        <w:t>cert=</w:t>
      </w:r>
      <w:r>
        <w:rPr>
          <w:rStyle w:val="Codevalue"/>
        </w:rPr>
        <w:t>"low"</w:t>
      </w:r>
      <w:r>
        <w:rPr>
          <w:rStyle w:val="Code"/>
        </w:rPr>
        <w:t>&gt;</w:t>
      </w:r>
      <w:r>
        <w:t>.</w:t>
      </w:r>
    </w:p>
  </w:footnote>
  <w:footnote w:id="12">
    <w:p w14:paraId="195C7A93" w14:textId="77777777">
      <w:pPr>
        <w:pStyle w:val="Lbjegyzetszveg"/>
      </w:pPr>
      <w:r>
        <w:tab/>
      </w:r>
      <w:r>
        <w:rPr>
          <w:rStyle w:val="Lbjegyzet-hivatkozs"/>
        </w:rPr>
        <w:footnoteRef/>
      </w:r>
      <w:r>
        <w:tab/>
        <w:t xml:space="preserve">The TEI element </w:t>
      </w:r>
      <w:r>
        <w:rPr>
          <w:rStyle w:val="Code"/>
        </w:rPr>
        <w:t>&lt;caesura&gt;</w:t>
      </w:r>
      <w:r>
        <w:t xml:space="preserve"> does not take the attribute </w:t>
      </w:r>
      <w:r>
        <w:rPr>
          <w:rStyle w:val="Codeattribute"/>
        </w:rPr>
        <w:t>@break</w:t>
      </w:r>
      <w:r>
        <w:t xml:space="preserve"> </w:t>
      </w:r>
      <w:r>
        <w:rPr>
          <w:noProof/>
        </w:rPr>
        <w:t>(</w:t>
      </w:r>
      <w:r>
        <w:t xml:space="preserve">nor </w:t>
      </w:r>
      <w:r>
        <w:rPr>
          <w:rStyle w:val="Codeattribute"/>
        </w:rPr>
        <w:t>@type</w:t>
      </w:r>
      <w:r>
        <w:t xml:space="preserve">). Since our use of conventional metre names leaves open the possibility to automatically determine the location of caesuras at the prescribed points, the only reason why we might want to encode them is to facilitate research on non-standard caesuras and </w:t>
      </w:r>
      <w:r>
        <w:rPr>
          <w:rStyle w:val="Foreign"/>
        </w:rPr>
        <w:t>yatibhaṅga</w:t>
      </w:r>
      <w:r>
        <w:t xml:space="preserve">, hence our suggestion to use </w:t>
      </w:r>
      <w:r>
        <w:rPr>
          <w:rStyle w:val="Code"/>
        </w:rPr>
        <w:t>&lt;milestone&gt;</w:t>
      </w:r>
      <w:r>
        <w:t xml:space="preserve"> instead.</w:t>
      </w:r>
    </w:p>
  </w:footnote>
  <w:footnote w:id="13">
    <w:p w14:paraId="0BD7181F" w14:textId="77777777">
      <w:pPr>
        <w:pStyle w:val="Lbjegyzetszveg"/>
      </w:pPr>
      <w:r>
        <w:tab/>
      </w:r>
      <w:r>
        <w:rPr>
          <w:rStyle w:val="Lbjegyzet-hivatkozs"/>
        </w:rPr>
        <w:footnoteRef/>
      </w:r>
      <w:r>
        <w:tab/>
        <w:t xml:space="preserve">This follows and generalises the EpiDoc convention “Any </w:t>
      </w:r>
      <w:r>
        <w:rPr>
          <w:rStyle w:val="Codeattribute"/>
        </w:rPr>
        <w:t>@rend</w:t>
      </w:r>
      <w:r>
        <w:t xml:space="preserve"> or numbering attributes on … </w:t>
      </w:r>
      <w:r>
        <w:rPr>
          <w:rStyle w:val="Code"/>
        </w:rPr>
        <w:t>&lt;lb&gt;</w:t>
      </w:r>
      <w:r>
        <w:t xml:space="preserve"> refer to all text between the current and the following line-break” </w:t>
      </w:r>
      <w:r>
        <w:rPr>
          <w:noProof/>
        </w:rPr>
        <w:t>(</w:t>
      </w:r>
      <w:hyperlink r:id="rId6" w:history="1">
        <w:r>
          <w:rPr>
            <w:rStyle w:val="Hiperhivatkozs"/>
            <w:noProof/>
          </w:rPr>
          <w:t>https://epidoc.stoa.org/gl/latest/trans-linebreak.html</w:t>
        </w:r>
      </w:hyperlink>
      <w:r>
        <w:t>).</w:t>
      </w:r>
    </w:p>
  </w:footnote>
  <w:footnote w:id="14">
    <w:p w14:paraId="55C51203" w14:textId="77777777">
      <w:pPr>
        <w:pStyle w:val="Lbjegyzetszveg"/>
      </w:pPr>
      <w:r>
        <w:tab/>
      </w:r>
      <w:r>
        <w:rPr>
          <w:rStyle w:val="Lbjegyzet-hivatkozs"/>
        </w:rPr>
        <w:footnoteRef/>
      </w:r>
      <w:r>
        <w:tab/>
        <w:t xml:space="preserve">In addition to the kinds of milestone discussed here, our project also employs </w:t>
      </w:r>
      <w:r>
        <w:rPr>
          <w:rStyle w:val="Code"/>
        </w:rPr>
        <w:t>&lt;milestone/&gt;</w:t>
      </w:r>
      <w:r>
        <w:t xml:space="preserve"> elements for a few other purposes (§</w:t>
      </w:r>
      <w:r>
        <w:fldChar w:fldCharType="begin"/>
      </w:r>
      <w:r>
        <w:instrText xml:space="preserve"> REF _Ref224729838 \r \h </w:instrText>
      </w:r>
      <w:r>
        <w:fldChar w:fldCharType="separate"/>
      </w:r>
      <w:r>
        <w:t>3.3.4.3</w:t>
      </w:r>
      <w:r>
        <w:fldChar w:fldCharType="end"/>
      </w:r>
      <w:r>
        <w:t>, §</w:t>
      </w:r>
      <w:r>
        <w:fldChar w:fldCharType="begin"/>
      </w:r>
      <w:r>
        <w:instrText xml:space="preserve"> REF _Ref182309743 \r \h </w:instrText>
      </w:r>
      <w:r>
        <w:fldChar w:fldCharType="separate"/>
      </w:r>
      <w:r>
        <w:t>11.3</w:t>
      </w:r>
      <w:r>
        <w:fldChar w:fldCharType="end"/>
      </w:r>
      <w:r>
        <w:t>).</w:t>
      </w:r>
    </w:p>
  </w:footnote>
  <w:footnote w:id="15">
    <w:p w14:paraId="0450D223" w14:textId="77777777">
      <w:pPr>
        <w:pStyle w:val="Lbjegyzetszveg"/>
      </w:pPr>
      <w:r>
        <w:tab/>
      </w:r>
      <w:r>
        <w:rPr>
          <w:rStyle w:val="Lbjegyzet-hivatkozs"/>
        </w:rPr>
        <w:footnoteRef/>
      </w:r>
      <w:r>
        <w:tab/>
        <w:t>It is possible in TEI to encode uncertainty regarding the location of an element in a machine-readable way, but we foresee no gain from doing so that would compensate for the resulting increase of encoding complexity.</w:t>
      </w:r>
    </w:p>
  </w:footnote>
  <w:footnote w:id="16">
    <w:p w14:paraId="2B9A4269" w14:textId="77777777">
      <w:pPr>
        <w:pStyle w:val="Lbjegyzetszveg"/>
      </w:pPr>
      <w:r>
        <w:tab/>
      </w:r>
      <w:r>
        <w:rPr>
          <w:rStyle w:val="Lbjegyzet-hivatkozs"/>
        </w:rPr>
        <w:footnoteRef/>
      </w:r>
      <w:r>
        <w:tab/>
        <w:t xml:space="preserve">In rare cases it is possible for a page or zone beginning not to be followed by a line beginning </w:t>
      </w:r>
      <w:r>
        <w:rPr>
          <w:noProof/>
        </w:rPr>
        <w:t>(</w:t>
      </w:r>
      <w:r>
        <w:t>e.g. when a medial plate of a set is lost, but the page structure is reconstructed for it, §</w:t>
      </w:r>
      <w:r>
        <w:fldChar w:fldCharType="begin"/>
      </w:r>
      <w:r>
        <w:instrText xml:space="preserve"> REF _Ref149918878 \r \h </w:instrText>
      </w:r>
      <w:r>
        <w:fldChar w:fldCharType="separate"/>
      </w:r>
      <w:r>
        <w:t>6.5.5.3</w:t>
      </w:r>
      <w:r>
        <w:fldChar w:fldCharType="end"/>
      </w:r>
      <w:r>
        <w:t>).</w:t>
      </w:r>
    </w:p>
  </w:footnote>
  <w:footnote w:id="17">
    <w:p w14:paraId="57F28ABD" w14:textId="77777777">
      <w:pPr>
        <w:pStyle w:val="Lbjegyzetszveg"/>
      </w:pPr>
      <w:r>
        <w:tab/>
      </w:r>
      <w:r>
        <w:rPr>
          <w:rStyle w:val="Lbjegyzet-hivatkozs"/>
        </w:rPr>
        <w:footnoteRef/>
      </w:r>
      <w:r>
        <w:tab/>
        <w:t xml:space="preserve">The single exception applies again to massive medial lacunae </w:t>
      </w:r>
      <w:r>
        <w:rPr>
          <w:noProof/>
        </w:rPr>
        <w:t>(</w:t>
      </w:r>
      <w:r>
        <w:t>§</w:t>
      </w:r>
      <w:r>
        <w:fldChar w:fldCharType="begin"/>
      </w:r>
      <w:r>
        <w:instrText xml:space="preserve"> REF _Ref43981711 \w \h  \* MERGEFORMAT </w:instrText>
      </w:r>
      <w:r>
        <w:fldChar w:fldCharType="separate"/>
      </w:r>
      <w:r>
        <w:t>6.5.4</w:t>
      </w:r>
      <w:r>
        <w:fldChar w:fldCharType="end"/>
      </w:r>
      <w:r>
        <w:t>), where reconstructed structural milestones may be placed outside block-level containers.</w:t>
      </w:r>
    </w:p>
  </w:footnote>
  <w:footnote w:id="18">
    <w:p w14:paraId="0EC15146" w14:textId="77777777">
      <w:pPr>
        <w:pStyle w:val="Lbjegyzetszveg"/>
      </w:pPr>
      <w:r>
        <w:tab/>
      </w:r>
      <w:r>
        <w:rPr>
          <w:rStyle w:val="Lbjegyzet-hivatkozs"/>
        </w:rPr>
        <w:footnoteRef/>
      </w:r>
      <w:r>
        <w:tab/>
        <w:t>This will not be the case if you follow the numbering schemes recommended by this Guide, but other numbering schemes are permitted for all partition types when there is good reason for their use.</w:t>
      </w:r>
    </w:p>
  </w:footnote>
  <w:footnote w:id="19">
    <w:p w14:paraId="2957B163" w14:textId="77777777">
      <w:pPr>
        <w:pStyle w:val="Lbjegyzetszveg"/>
      </w:pPr>
      <w:r>
        <w:tab/>
      </w:r>
      <w:r>
        <w:rPr>
          <w:rStyle w:val="Lbjegyzet-hivatkozs"/>
        </w:rPr>
        <w:footnoteRef/>
      </w:r>
      <w:r>
        <w:tab/>
        <w:t xml:space="preserve">We must resort to this compromise because the internal logic of EpiDoc does not permit </w:t>
      </w:r>
      <w:r>
        <w:rPr>
          <w:rFonts w:ascii="Consolas" w:eastAsia="Consolas" w:hAnsi="Consolas" w:cs="Consolas"/>
          <w:color w:val="000080"/>
          <w:shd w:val="clear" w:color="auto" w:fill="F8F8F8"/>
        </w:rPr>
        <w:t>&lt;space&gt;</w:t>
      </w:r>
      <w:r>
        <w:t xml:space="preserve"> or </w:t>
      </w:r>
      <w:r>
        <w:rPr>
          <w:rFonts w:ascii="Consolas" w:eastAsia="Consolas" w:hAnsi="Consolas" w:cs="Consolas"/>
          <w:color w:val="000080"/>
          <w:shd w:val="clear" w:color="auto" w:fill="F8F8F8"/>
        </w:rPr>
        <w:t>&lt;lb&gt;</w:t>
      </w:r>
      <w:r>
        <w:t xml:space="preserve"> elements inside </w:t>
      </w:r>
      <w:r>
        <w:rPr>
          <w:rFonts w:ascii="Consolas" w:eastAsia="Consolas" w:hAnsi="Consolas" w:cs="Consolas"/>
          <w:color w:val="000080"/>
          <w:shd w:val="clear" w:color="auto" w:fill="F8F8F8"/>
        </w:rPr>
        <w:t>&lt;unclear&gt;</w:t>
      </w:r>
      <w:r>
        <w:t>, so it is not possible to encode alternative readings which include an interruption, even if the location of that interruption with respect to the text is different in the alternatives.</w:t>
      </w:r>
    </w:p>
  </w:footnote>
  <w:footnote w:id="20">
    <w:p w14:paraId="243CFD55" w14:textId="77777777">
      <w:pPr>
        <w:pStyle w:val="Lbjegyzetszveg"/>
      </w:pPr>
      <w:r>
        <w:tab/>
      </w:r>
      <w:r>
        <w:rPr>
          <w:rStyle w:val="Lbjegyzet-hivatkozs"/>
        </w:rPr>
        <w:footnoteRef/>
      </w:r>
      <w:r>
        <w:tab/>
      </w:r>
      <w:hyperlink r:id="rId7" w:history="1">
        <w:r>
          <w:rPr>
            <w:rStyle w:val="Hiperhivatkozs"/>
          </w:rPr>
          <w:t>https://en.wiktionary.org/wiki/gaiji</w:t>
        </w:r>
      </w:hyperlink>
      <w:r>
        <w:t xml:space="preserve"> </w:t>
      </w:r>
    </w:p>
  </w:footnote>
  <w:footnote w:id="21">
    <w:p w14:paraId="52CF5B9A" w14:textId="77777777">
      <w:pPr>
        <w:pStyle w:val="Lbjegyzetszveg"/>
      </w:pPr>
      <w:r>
        <w:tab/>
      </w:r>
      <w:r>
        <w:rPr>
          <w:rStyle w:val="Lbjegyzet-hivatkozs"/>
        </w:rPr>
        <w:footnoteRef/>
      </w:r>
      <w:r>
        <w:tab/>
      </w:r>
      <w:r>
        <w:rPr>
          <w:lang w:eastAsia="en-US" w:bidi="ar-SA"/>
        </w:rPr>
        <w:t>The management of symbols has changed radically from earlier DHARMA practice, so project members are requested to read this section attentively.</w:t>
      </w:r>
    </w:p>
  </w:footnote>
  <w:footnote w:id="22">
    <w:p w14:paraId="77FA05D9" w14:textId="77777777">
      <w:pPr>
        <w:pStyle w:val="Lbjegyzetszveg"/>
      </w:pPr>
      <w:r>
        <w:tab/>
      </w:r>
      <w:r>
        <w:rPr>
          <w:rStyle w:val="Lbjegyzet-hivatkozs"/>
        </w:rPr>
        <w:footnoteRef/>
      </w:r>
      <w:r>
        <w:tab/>
      </w:r>
      <w:hyperlink r:id="rId8" w:history="1">
        <w:r>
          <w:rPr>
            <w:rStyle w:val="Hiperhivatkozs"/>
          </w:rPr>
          <w:t>https://en.wiktionary.org/wiki/gaiji</w:t>
        </w:r>
      </w:hyperlink>
      <w:r>
        <w:t xml:space="preserve"> </w:t>
      </w:r>
    </w:p>
  </w:footnote>
  <w:footnote w:id="23">
    <w:p w14:paraId="4DBF4D0B" w14:textId="77777777">
      <w:pPr>
        <w:pStyle w:val="Lbjegyzetszveg"/>
      </w:pPr>
      <w:r>
        <w:tab/>
      </w:r>
      <w:r>
        <w:rPr>
          <w:rStyle w:val="Lbjegyzet-hivatkozs"/>
        </w:rPr>
        <w:footnoteRef/>
      </w:r>
      <w:r>
        <w:tab/>
        <w:t xml:space="preserve">In addition to these values, </w:t>
      </w:r>
      <w:r>
        <w:rPr>
          <w:rStyle w:val="Codevalue"/>
        </w:rPr>
        <w:t>"numeral"</w:t>
      </w:r>
      <w:r>
        <w:t xml:space="preserve"> is used for numeral glyphs that cannot be represented in transliteration with a single Arabic digit, as per §</w:t>
      </w:r>
      <w:r>
        <w:fldChar w:fldCharType="begin"/>
      </w:r>
      <w:r>
        <w:instrText xml:space="preserve"> REF _Ref225950738 \r \h </w:instrText>
      </w:r>
      <w:r>
        <w:fldChar w:fldCharType="separate"/>
      </w:r>
      <w:r>
        <w:t>5.3.1</w:t>
      </w:r>
      <w:r>
        <w:fldChar w:fldCharType="end"/>
      </w:r>
      <w:r>
        <w:t xml:space="preserve">. The DHARMA schema also allows the value </w:t>
      </w:r>
      <w:r>
        <w:rPr>
          <w:rStyle w:val="Codevalue"/>
        </w:rPr>
        <w:t>"phonographic"</w:t>
      </w:r>
      <w:r>
        <w:t>, which is not used in our present encoding practice, but is included as a provision for the future when it might become desirable to use encoding to classify alternative shapes (graphetic allographs) of phonographic glyphs.</w:t>
      </w:r>
    </w:p>
  </w:footnote>
  <w:footnote w:id="24">
    <w:p w14:paraId="3EFB7889" w14:textId="77777777">
      <w:pPr>
        <w:pStyle w:val="Lbjegyzetszveg"/>
      </w:pPr>
      <w:r>
        <w:tab/>
      </w:r>
      <w:r>
        <w:rPr>
          <w:rStyle w:val="Lbjegyzet-hivatkozs"/>
        </w:rPr>
        <w:footnoteRef/>
      </w:r>
      <w:r>
        <w:tab/>
        <w:t xml:space="preserve">To view the file rendered for display, visit </w:t>
      </w:r>
      <w:hyperlink r:id="rId9" w:history="1">
        <w:r>
          <w:rPr>
            <w:rStyle w:val="Hiperhivatkozs"/>
          </w:rPr>
          <w:t>https://dharmalekha.info/glyphs</w:t>
        </w:r>
      </w:hyperlink>
      <w:r>
        <w:t>. To view and, if necessary, edit the raw XML, go to DHARMA_glyphTaxonomy.xml in the project-documentation repository.</w:t>
      </w:r>
    </w:p>
  </w:footnote>
  <w:footnote w:id="25">
    <w:p w14:paraId="504BFBEE" w14:textId="77777777">
      <w:pPr>
        <w:pStyle w:val="Lbjegyzetszveg"/>
      </w:pPr>
      <w:r>
        <w:tab/>
      </w:r>
      <w:r>
        <w:rPr>
          <w:rStyle w:val="Lbjegyzet-hivatkozs"/>
        </w:rPr>
        <w:footnoteRef/>
      </w:r>
      <w:r>
        <w:tab/>
      </w:r>
      <w:hyperlink r:id="rId10" w:anchor="PHSP" w:history="1">
        <w:r>
          <w:rPr>
            <w:rStyle w:val="Hiperhivatkozs"/>
          </w:rPr>
          <w:t>https://www.tei-c.org/release/doc/tei-p5-doc/en/html/PH.html#PHSP</w:t>
        </w:r>
      </w:hyperlink>
    </w:p>
  </w:footnote>
  <w:footnote w:id="26">
    <w:p w14:paraId="0E0CC357" w14:textId="77777777">
      <w:pPr>
        <w:pStyle w:val="Lbjegyzetszveg"/>
        <w:rPr>
          <w:b/>
          <w:bCs/>
        </w:rPr>
      </w:pPr>
      <w:r>
        <w:tab/>
      </w:r>
      <w:r>
        <w:rPr>
          <w:rStyle w:val="Lbjegyzet-hivatkozs"/>
        </w:rPr>
        <w:footnoteRef/>
      </w:r>
      <w:r>
        <w:tab/>
        <w:t xml:space="preserve">In fact, the tradition of Indic epigraphic editions is also quite in line with the EpiDoc approach. Even in the </w:t>
      </w:r>
      <w:r>
        <w:rPr>
          <w:rStyle w:val="Foreign"/>
        </w:rPr>
        <w:t>Corpus inscriptionum indicarum</w:t>
      </w:r>
      <w:r>
        <w:t xml:space="preserve">, Fleet </w:t>
      </w:r>
      <w:r>
        <w:rPr>
          <w:noProof/>
        </w:rPr>
        <w:t>(</w:t>
      </w:r>
      <w:r>
        <w:t>1888,194) uses the same editorial markup for “letters which are much damaged and nearly illegible in the original, or which, being wholly illegible, can be supplied with certainty.”</w:t>
      </w:r>
    </w:p>
  </w:footnote>
  <w:footnote w:id="27">
    <w:p w14:paraId="1AAE86F9" w14:textId="77777777">
      <w:pPr>
        <w:pStyle w:val="Lbjegyzetszveg"/>
      </w:pPr>
      <w:r>
        <w:tab/>
      </w:r>
      <w:r>
        <w:rPr>
          <w:rStyle w:val="Lbjegyzet-hivatkozs"/>
        </w:rPr>
        <w:footnoteRef/>
      </w:r>
      <w:r>
        <w:tab/>
      </w:r>
      <w:hyperlink r:id="rId11" w:history="1">
        <w:r>
          <w:rPr>
            <w:rStyle w:val="Hiperhivatkozs"/>
          </w:rPr>
          <w:t>https://epidoc.stoa.org/gl/latest/trans-ambiguous.html</w:t>
        </w:r>
      </w:hyperlink>
      <w:r>
        <w:t xml:space="preserve"> </w:t>
      </w:r>
    </w:p>
  </w:footnote>
  <w:footnote w:id="28">
    <w:p w14:paraId="347CB1EF" w14:textId="77777777">
      <w:pPr>
        <w:pStyle w:val="Lbjegyzetszveg"/>
      </w:pPr>
      <w:r>
        <w:tab/>
      </w:r>
      <w:r>
        <w:rPr>
          <w:rStyle w:val="Lbjegyzet-hivatkozs"/>
        </w:rPr>
        <w:footnoteRef/>
      </w:r>
      <w:r>
        <w:tab/>
        <w:t xml:space="preserve">In the interest of preserving your sanity, it is advised that you avoid encoding the full spectrum of possibilities, </w:t>
      </w:r>
      <w:r>
        <w:rPr>
          <w:rFonts w:ascii="Consolas" w:eastAsia="Consolas" w:hAnsi="Consolas" w:cs="Consolas"/>
          <w:color w:val="333333"/>
          <w:shd w:val="clear" w:color="auto" w:fill="F8F8F8"/>
        </w:rPr>
        <w:t>k</w:t>
      </w:r>
      <w:r>
        <w:rPr>
          <w:rFonts w:ascii="Consolas" w:eastAsia="Consolas" w:hAnsi="Consolas" w:cs="Consolas"/>
          <w:color w:val="000080"/>
          <w:shd w:val="clear" w:color="auto" w:fill="F8F8F8"/>
        </w:rPr>
        <w:t>&lt;choice&gt;&lt;unclear&gt;</w:t>
      </w:r>
      <w:r>
        <w:rPr>
          <w:rFonts w:ascii="Consolas" w:eastAsia="Consolas" w:hAnsi="Consolas" w:cs="Consolas"/>
          <w:color w:val="333333"/>
          <w:shd w:val="clear" w:color="auto" w:fill="F8F8F8"/>
        </w:rPr>
        <w:t>ā</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ara</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ar</w:t>
      </w:r>
      <w:r>
        <w:rPr>
          <w:rFonts w:ascii="Consolas" w:eastAsia="Consolas" w:hAnsi="Consolas" w:cs="Consolas"/>
          <w:color w:val="000080"/>
          <w:shd w:val="clear" w:color="auto" w:fill="F8F8F8"/>
        </w:rPr>
        <w:t>&lt;/unclear&gt;&lt;unclear&gt;</w:t>
      </w:r>
      <w:r>
        <w:rPr>
          <w:rFonts w:ascii="Consolas" w:eastAsia="Consolas" w:hAnsi="Consolas" w:cs="Consolas"/>
          <w:color w:val="333333"/>
          <w:shd w:val="clear" w:color="auto" w:fill="F8F8F8"/>
        </w:rPr>
        <w:t>ra</w:t>
      </w:r>
      <w:r>
        <w:rPr>
          <w:rFonts w:ascii="Consolas" w:eastAsia="Consolas" w:hAnsi="Consolas" w:cs="Consolas"/>
          <w:color w:val="000080"/>
          <w:shd w:val="clear" w:color="auto" w:fill="F8F8F8"/>
        </w:rPr>
        <w:t>&lt;/unclear&gt;&lt;/choice&gt;</w:t>
      </w:r>
      <w:r>
        <w:t xml:space="preserve"> unless all are indeed plausible and worth recording.</w:t>
      </w:r>
    </w:p>
  </w:footnote>
  <w:footnote w:id="29">
    <w:p w14:paraId="2EC2EF7F" w14:textId="77777777">
      <w:pPr>
        <w:pStyle w:val="Lbjegyzetszveg"/>
      </w:pPr>
      <w:r>
        <w:tab/>
      </w:r>
      <w:r>
        <w:rPr>
          <w:rStyle w:val="Lbjegyzet-hivatkozs"/>
        </w:rPr>
        <w:footnoteRef/>
      </w:r>
      <w:r>
        <w:tab/>
        <w:t>The same element is used in TEI in other situations where text is absent. In our practice, it is put to use when text omitted by the scribe cannot be restored by the editor (§</w:t>
      </w:r>
      <w:r>
        <w:fldChar w:fldCharType="begin"/>
      </w:r>
      <w:r>
        <w:instrText xml:space="preserve"> REF _Ref63674857 \r \h </w:instrText>
      </w:r>
      <w:r>
        <w:fldChar w:fldCharType="separate"/>
      </w:r>
      <w:r>
        <w:t>7.7</w:t>
      </w:r>
      <w:r>
        <w:fldChar w:fldCharType="end"/>
      </w:r>
      <w:r>
        <w:t>) and when the editor omits some text from a critical apparatus (§</w:t>
      </w:r>
      <w:r>
        <w:fldChar w:fldCharType="begin"/>
      </w:r>
      <w:r>
        <w:instrText xml:space="preserve"> REF _Ref61250887 \r \h </w:instrText>
      </w:r>
      <w:r>
        <w:fldChar w:fldCharType="separate"/>
      </w:r>
      <w:r>
        <w:t>10.3</w:t>
      </w:r>
      <w:r>
        <w:fldChar w:fldCharType="end"/>
      </w:r>
      <w:r>
        <w:t>) or a translation (§</w:t>
      </w:r>
      <w:r>
        <w:fldChar w:fldCharType="begin"/>
      </w:r>
      <w:r>
        <w:instrText xml:space="preserve"> REF _Ref43990112 \r \h </w:instrText>
      </w:r>
      <w:r>
        <w:fldChar w:fldCharType="separate"/>
      </w:r>
      <w:r>
        <w:t>11.4.3</w:t>
      </w:r>
      <w:r>
        <w:fldChar w:fldCharType="end"/>
      </w:r>
      <w:r>
        <w:t>).</w:t>
      </w:r>
    </w:p>
  </w:footnote>
  <w:footnote w:id="30">
    <w:p w14:paraId="076AB488" w14:textId="77777777">
      <w:pPr>
        <w:pStyle w:val="Lbjegyzetszveg"/>
      </w:pPr>
      <w:r>
        <w:tab/>
      </w:r>
      <w:r>
        <w:rPr>
          <w:rStyle w:val="Lbjegyzet-hivatkozs"/>
        </w:rPr>
        <w:footnoteRef/>
      </w:r>
      <w:r>
        <w:tab/>
        <w:t xml:space="preserve">The EpiDoc schema permits the use of </w:t>
      </w:r>
      <w:r>
        <w:rPr>
          <w:rStyle w:val="Codeattribute"/>
        </w:rPr>
        <w:t>@extent</w:t>
      </w:r>
      <w:r>
        <w:t xml:space="preserve"> without </w:t>
      </w:r>
      <w:r>
        <w:rPr>
          <w:rStyle w:val="Codeattribute"/>
        </w:rPr>
        <w:t>@unit</w:t>
      </w:r>
      <w:r>
        <w:t>.</w:t>
      </w:r>
    </w:p>
  </w:footnote>
  <w:footnote w:id="31">
    <w:p w14:paraId="239C6D45" w14:textId="77777777">
      <w:pPr>
        <w:pStyle w:val="Lbjegyzetszveg"/>
      </w:pPr>
      <w:r>
        <w:tab/>
      </w:r>
      <w:r>
        <w:rPr>
          <w:rStyle w:val="Lbjegyzet-hivatkozs"/>
        </w:rPr>
        <w:footnoteRef/>
      </w:r>
      <w:r>
        <w:tab/>
        <w:t>In Sanskrit quantitative verse, the number of lost syllables may be estimated at 75% of the number of missing morae. Thus, if a 12-mora chunk is missing from a verse line, estimate the length of the lacuna at 9 characters if you have no better indication. This figure is based on a quick statistical look at a small sample; feel free to use a better approximation if you can, and do not worry too much about the accuracy of the character count.</w:t>
      </w:r>
    </w:p>
  </w:footnote>
  <w:footnote w:id="32">
    <w:p w14:paraId="4318BBD2" w14:textId="77777777">
      <w:pPr>
        <w:pStyle w:val="Lbjegyzetszveg"/>
      </w:pPr>
      <w:r>
        <w:tab/>
      </w:r>
      <w:r>
        <w:rPr>
          <w:rStyle w:val="Lbjegyzet-hivatkozs"/>
        </w:rPr>
        <w:footnoteRef/>
      </w:r>
      <w:r>
        <w:tab/>
        <w:t xml:space="preserve">The explanation for the apparent contradiction between the element’s name and the fact that it indicates uncertainty is that this element would normally take the attribute </w:t>
      </w:r>
      <w:r>
        <w:rPr>
          <w:rStyle w:val="Codeattribute"/>
        </w:rPr>
        <w:t>@cert</w:t>
      </w:r>
      <w:r>
        <w:t xml:space="preserve"> to indicate a degree of certainty. However, in EpiDoc and thus in our encoding practice, </w:t>
      </w:r>
      <w:r>
        <w:rPr>
          <w:rStyle w:val="Code"/>
        </w:rPr>
        <w:t>&lt;certainty&gt;</w:t>
      </w:r>
      <w:r>
        <w:t xml:space="preserve"> is only used for indicating low certainty, and is by default understood to mean </w:t>
      </w:r>
      <w:r>
        <w:rPr>
          <w:rStyle w:val="Code"/>
        </w:rPr>
        <w:t xml:space="preserve">&lt;certainty </w:t>
      </w:r>
      <w:r>
        <w:rPr>
          <w:rStyle w:val="Codeattribute"/>
        </w:rPr>
        <w:t>cert=</w:t>
      </w:r>
      <w:r>
        <w:rPr>
          <w:rStyle w:val="Codevalue"/>
        </w:rPr>
        <w:t>"low"</w:t>
      </w:r>
      <w:r>
        <w:rPr>
          <w:rStyle w:val="Code"/>
        </w:rPr>
        <w:t>&gt;</w:t>
      </w:r>
      <w:r>
        <w:t>.</w:t>
      </w:r>
    </w:p>
  </w:footnote>
  <w:footnote w:id="33">
    <w:p w14:paraId="26EA3345" w14:textId="77777777">
      <w:pPr>
        <w:pStyle w:val="Lbjegyzetszveg"/>
      </w:pPr>
      <w:r>
        <w:tab/>
      </w:r>
      <w:r>
        <w:rPr>
          <w:rStyle w:val="Lbjegyzet-hivatkozs"/>
        </w:rPr>
        <w:footnoteRef/>
      </w:r>
      <w:r>
        <w:tab/>
        <w:t>As noted in §</w:t>
      </w:r>
      <w:r>
        <w:fldChar w:fldCharType="begin"/>
      </w:r>
      <w:r>
        <w:instrText xml:space="preserve"> REF _Ref228799393 \r \h </w:instrText>
      </w:r>
      <w:r>
        <w:fldChar w:fldCharType="separate"/>
      </w:r>
      <w:r>
        <w:t>5.6</w:t>
      </w:r>
      <w:r>
        <w:fldChar w:fldCharType="end"/>
      </w:r>
      <w:r>
        <w:t>, ‘scribe’ means any person involved in the creation of a written document before it became an object of modern study.</w:t>
      </w:r>
    </w:p>
  </w:footnote>
  <w:footnote w:id="34">
    <w:p w14:paraId="01BD9897" w14:textId="77777777">
      <w:pPr>
        <w:pStyle w:val="Lbjegyzetszveg"/>
      </w:pPr>
      <w:r>
        <w:tab/>
      </w:r>
      <w:r>
        <w:rPr>
          <w:rStyle w:val="Lbjegyzet-hivatkozs"/>
        </w:rPr>
        <w:footnoteRef/>
      </w:r>
      <w:r>
        <w:tab/>
        <w:t xml:space="preserve">For other uses of this element with different values of </w:t>
      </w:r>
      <w:r>
        <w:rPr>
          <w:rStyle w:val="Codeattribute"/>
        </w:rPr>
        <w:t>@reason</w:t>
      </w:r>
      <w:r>
        <w:t>, see §</w:t>
      </w:r>
      <w:r>
        <w:fldChar w:fldCharType="begin"/>
      </w:r>
      <w:r>
        <w:instrText xml:space="preserve"> REF _Ref228864988 \r \h </w:instrText>
      </w:r>
      <w:r>
        <w:fldChar w:fldCharType="separate"/>
      </w:r>
      <w:r>
        <w:t>6.4.1</w:t>
      </w:r>
      <w:r>
        <w:fldChar w:fldCharType="end"/>
      </w:r>
      <w:r>
        <w:t>.</w:t>
      </w:r>
    </w:p>
  </w:footnote>
  <w:footnote w:id="35">
    <w:p w14:paraId="61938702" w14:textId="77777777">
      <w:pPr>
        <w:pStyle w:val="Lbjegyzetszveg"/>
      </w:pPr>
      <w:r>
        <w:tab/>
      </w:r>
      <w:r>
        <w:rPr>
          <w:rStyle w:val="Lbjegyzet-hivatkozs"/>
        </w:rPr>
        <w:footnoteRef/>
      </w:r>
      <w:r>
        <w:tab/>
      </w:r>
      <w:hyperlink r:id="rId12" w:history="1">
        <w:r>
          <w:rPr>
            <w:rStyle w:val="Hiperhivatkozs"/>
          </w:rPr>
          <w:t>https://opentheso.huma-num.fr/opentheso/?idc=84154&amp;idt=th347</w:t>
        </w:r>
      </w:hyperlink>
    </w:p>
  </w:footnote>
  <w:footnote w:id="36">
    <w:p w14:paraId="73AF53BB" w14:textId="77777777">
      <w:pPr>
        <w:pStyle w:val="Lbjegyzetszveg"/>
      </w:pPr>
      <w:r>
        <w:tab/>
      </w:r>
      <w:r>
        <w:rPr>
          <w:rStyle w:val="Lbjegyzet-hivatkozs"/>
        </w:rPr>
        <w:footnoteRef/>
      </w:r>
      <w:r>
        <w:tab/>
      </w:r>
      <w:hyperlink r:id="rId13" w:history="1">
        <w:r>
          <w:rPr>
            <w:rStyle w:val="Hiperhivatkozs"/>
          </w:rPr>
          <w:t>https://opentheso.huma-num.fr/opentheso/?idc=84156&amp;idt=th347</w:t>
        </w:r>
      </w:hyperlink>
    </w:p>
  </w:footnote>
  <w:footnote w:id="37">
    <w:p w14:paraId="282C3561" w14:textId="77777777">
      <w:pPr>
        <w:pStyle w:val="Lbjegyzetszveg"/>
      </w:pPr>
      <w:r>
        <w:tab/>
      </w:r>
      <w:r>
        <w:rPr>
          <w:rStyle w:val="Lbjegyzet-hivatkozs"/>
        </w:rPr>
        <w:footnoteRef/>
      </w:r>
      <w:r>
        <w:tab/>
        <w:t>The reason why the attribute is named “new” is presumably the fact that it identifies the hand taking over at the shift. TEI guidelines note that this attribute may be renamed in a subsequent major release.</w:t>
      </w:r>
    </w:p>
  </w:footnote>
  <w:footnote w:id="38">
    <w:p w14:paraId="43089B3C" w14:textId="77777777">
      <w:pPr>
        <w:pStyle w:val="Lbjegyzetszveg"/>
      </w:pPr>
      <w:r>
        <w:tab/>
      </w:r>
      <w:r>
        <w:rPr>
          <w:rStyle w:val="Lbjegyzet-hivatkozs"/>
        </w:rPr>
        <w:footnoteRef/>
      </w:r>
      <w:r>
        <w:tab/>
        <w:t xml:space="preserve">Although the TEI guidelines </w:t>
      </w:r>
      <w:r>
        <w:rPr>
          <w:noProof/>
        </w:rPr>
        <w:t>(</w:t>
      </w:r>
      <w:hyperlink r:id="rId14" w:anchor="WDWMEG" w:history="1">
        <w:r>
          <w:rPr>
            <w:rStyle w:val="Hiperhivatkozs"/>
          </w:rPr>
          <w:t>https://www.tei-c.org/release/doc/tei-p5-doc/en/html/WD.html#WDWMEG</w:t>
        </w:r>
      </w:hyperlink>
      <w:r>
        <w:t xml:space="preserve">) recommend the use of </w:t>
      </w:r>
      <w:r>
        <w:rPr>
          <w:rStyle w:val="Codeattribute"/>
        </w:rPr>
        <w:t>@style</w:t>
      </w:r>
      <w:r>
        <w:t xml:space="preserve"> with CSS styling instructions to encode text directionality and orientation, these instructions provide no clear solution for handling case C in the illustration below and handle cases A and B very differently from D. To minimise complexity, we prefer to introduce custom values of </w:t>
      </w:r>
      <w:r>
        <w:rPr>
          <w:rStyle w:val="Codeattribute"/>
        </w:rPr>
        <w:t>@rend</w:t>
      </w:r>
      <w:r>
        <w:t xml:space="preserve"> for this purpose, since our objective is to document the way the original text was written, and not to create machine-actionable code for reproducing the source’s writing mode on screen or in print.</w:t>
      </w:r>
    </w:p>
  </w:footnote>
  <w:footnote w:id="39">
    <w:p w14:paraId="3C383433" w14:textId="77777777">
      <w:pPr>
        <w:pStyle w:val="Lbjegyzetszveg"/>
      </w:pPr>
      <w:r>
        <w:tab/>
      </w:r>
      <w:r>
        <w:rPr>
          <w:rStyle w:val="Lbjegyzet-hivatkozs"/>
        </w:rPr>
        <w:footnoteRef/>
      </w:r>
      <w:r>
        <w:tab/>
      </w:r>
      <w:hyperlink r:id="rId15" w:history="1">
        <w:r>
          <w:rPr>
            <w:rStyle w:val="Hiperhivatkozs"/>
            <w:noProof/>
          </w:rPr>
          <w:t>https://epidoc.stoa.org/gl/latest/trans-numnoncongruent.html</w:t>
        </w:r>
      </w:hyperlink>
    </w:p>
  </w:footnote>
  <w:footnote w:id="40">
    <w:p w14:paraId="5337557A" w14:textId="77777777">
      <w:pPr>
        <w:pStyle w:val="Lbjegyzetszveg"/>
      </w:pPr>
      <w:r>
        <w:tab/>
      </w:r>
      <w:r>
        <w:rPr>
          <w:rStyle w:val="Lbjegyzet-hivatkozs"/>
        </w:rPr>
        <w:footnoteRef/>
      </w:r>
      <w:r>
        <w:tab/>
        <w:t>See §</w:t>
      </w:r>
      <w:r>
        <w:fldChar w:fldCharType="begin"/>
      </w:r>
      <w:r>
        <w:instrText xml:space="preserve"> REF _Ref231978934 \r \h </w:instrText>
      </w:r>
      <w:r>
        <w:fldChar w:fldCharType="separate"/>
      </w:r>
      <w:r>
        <w:t>8.4</w:t>
      </w:r>
      <w:r>
        <w:fldChar w:fldCharType="end"/>
      </w:r>
      <w:r>
        <w:t xml:space="preserve"> about the use of </w:t>
      </w:r>
      <w:r>
        <w:rPr>
          <w:rFonts w:ascii="Consolas" w:eastAsia="Consolas" w:hAnsi="Consolas" w:cs="Consolas"/>
          <w:color w:val="000080"/>
          <w:shd w:val="clear" w:color="auto" w:fill="F8F8F8"/>
        </w:rPr>
        <w:t>&lt;hi&gt;</w:t>
      </w:r>
      <w:r>
        <w:t xml:space="preserve"> in the edition.</w:t>
      </w:r>
    </w:p>
  </w:footnote>
  <w:footnote w:id="41">
    <w:p w14:paraId="0CD71811" w14:textId="77777777">
      <w:pPr>
        <w:pStyle w:val="Lbjegyzetszveg"/>
      </w:pPr>
      <w:r>
        <w:tab/>
      </w:r>
      <w:r>
        <w:rPr>
          <w:rStyle w:val="Lbjegyzet-hivatkozs"/>
        </w:rPr>
        <w:footnoteRef/>
      </w:r>
      <w:r>
        <w:tab/>
      </w:r>
      <w:hyperlink r:id="rId16" w:history="1">
        <w:r>
          <w:rPr>
            <w:rStyle w:val="Hiperhivatkozs"/>
          </w:rPr>
          <w:t>https://iso639-3.sil.org/code_tables/639/data</w:t>
        </w:r>
      </w:hyperlink>
      <w:r>
        <w:t xml:space="preserve"> </w:t>
      </w:r>
    </w:p>
  </w:footnote>
  <w:footnote w:id="42">
    <w:p w14:paraId="32C3097C" w14:textId="77777777">
      <w:pPr>
        <w:pStyle w:val="Lbjegyzetszveg"/>
        <w:rPr>
          <w:b/>
        </w:rPr>
      </w:pPr>
      <w:r>
        <w:tab/>
      </w:r>
      <w:r>
        <w:rPr>
          <w:rStyle w:val="Lbjegyzet-hivatkozs"/>
        </w:rPr>
        <w:footnoteRef/>
      </w:r>
      <w:r>
        <w:tab/>
      </w:r>
      <w:hyperlink r:id="rId17" w:history="1">
        <w:r>
          <w:rPr>
            <w:rStyle w:val="Hiperhivatkozs"/>
          </w:rPr>
          <w:t>https://en.wikipedia.org/wiki/ISO_15924</w:t>
        </w:r>
      </w:hyperlink>
    </w:p>
  </w:footnote>
  <w:footnote w:id="43">
    <w:p w14:paraId="7F4FB48F" w14:textId="77777777">
      <w:pPr>
        <w:pStyle w:val="Lbjegyzetszveg"/>
      </w:pPr>
      <w:r>
        <w:tab/>
      </w:r>
      <w:r>
        <w:rPr>
          <w:rStyle w:val="Lbjegyzet-hivatkozs"/>
        </w:rPr>
        <w:footnoteRef/>
      </w:r>
      <w:r>
        <w:tab/>
        <w:t xml:space="preserve">See </w:t>
      </w:r>
      <w:hyperlink r:id="rId18" w:history="1">
        <w:r>
          <w:rPr>
            <w:rStyle w:val="Hiperhivatkozs"/>
          </w:rPr>
          <w:t>https://wiki.tei-c.org/index.php/XML_Whitespace</w:t>
        </w:r>
      </w:hyperlink>
      <w:r>
        <w:t xml:space="preserve"> for a more detailed discussion of white space in XML.</w:t>
      </w:r>
    </w:p>
  </w:footnote>
  <w:footnote w:id="44">
    <w:p w14:paraId="2FCEBBF9" w14:textId="77777777">
      <w:pPr>
        <w:pStyle w:val="Lbjegyzetszveg"/>
      </w:pPr>
      <w:r>
        <w:tab/>
      </w:r>
      <w:r>
        <w:rPr>
          <w:rStyle w:val="Lbjegyzet-hivatkozs"/>
        </w:rPr>
        <w:footnoteRef/>
      </w:r>
      <w:r>
        <w:tab/>
        <w:t xml:space="preserve">This is not a technical requirement and its violation does not result in your code becoming invalid. However, since in many cases these elements will </w:t>
      </w:r>
      <w:r>
        <w:rPr>
          <w:rStyle w:val="Foreign"/>
        </w:rPr>
        <w:t>have to</w:t>
      </w:r>
      <w:r>
        <w:t xml:space="preserve"> appear within block-level containers, we consider it better practice to always place them so, for consistency’s sake.</w:t>
      </w:r>
    </w:p>
  </w:footnote>
  <w:footnote w:id="45">
    <w:p w14:paraId="290E1A32" w14:textId="77777777">
      <w:pPr>
        <w:pStyle w:val="Lbjegyzetszveg"/>
      </w:pPr>
      <w:r>
        <w:tab/>
      </w:r>
      <w:r>
        <w:rPr>
          <w:rStyle w:val="Lbjegyzet-hivatkozs"/>
        </w:rPr>
        <w:footnoteRef/>
      </w:r>
      <w:r>
        <w:tab/>
        <w:t xml:space="preserve">Double hyphens are used in CII convention to indicate non-compound word separation where the end of the first and the beginning of the second word belong to the same </w:t>
      </w:r>
      <w:r>
        <w:rPr>
          <w:rStyle w:val="Foreign"/>
        </w:rPr>
        <w:t>akṣara</w:t>
      </w:r>
      <w:r>
        <w:t xml:space="preserve"> of the original. Their primary function is to distinguish regular </w:t>
      </w:r>
      <w:r>
        <w:rPr>
          <w:rStyle w:val="Foreign"/>
        </w:rPr>
        <w:t>akṣara</w:t>
      </w:r>
      <w:r>
        <w:t xml:space="preserve">s from </w:t>
      </w:r>
      <w:r>
        <w:rPr>
          <w:rStyle w:val="Foreign"/>
        </w:rPr>
        <w:t>halanta</w:t>
      </w:r>
      <w:r>
        <w:t xml:space="preserve"> consonants and initial vowels </w:t>
      </w:r>
      <w:r>
        <w:rPr>
          <w:noProof/>
        </w:rPr>
        <w:t>(</w:t>
      </w:r>
      <w:r>
        <w:t xml:space="preserve">e.g. </w:t>
      </w:r>
      <w:r>
        <w:rPr>
          <w:rStyle w:val="ForeignDevanagariScript"/>
          <w:rFonts w:ascii="Kokila" w:hAnsi="Kokila" w:cs="Kokila"/>
        </w:rPr>
        <w:t>तदाहुः</w:t>
      </w:r>
      <w:r>
        <w:t xml:space="preserve"> &gt; </w:t>
      </w:r>
      <w:r>
        <w:rPr>
          <w:rStyle w:val="Foreign"/>
        </w:rPr>
        <w:t>tad=āhuḥ</w:t>
      </w:r>
      <w:r>
        <w:t xml:space="preserve">; </w:t>
      </w:r>
      <w:r>
        <w:rPr>
          <w:rStyle w:val="ForeignDevanagariScript"/>
          <w:rFonts w:ascii="Kokila" w:hAnsi="Kokila" w:cs="Kokila"/>
        </w:rPr>
        <w:t>तद्</w:t>
      </w:r>
      <w:r>
        <w:rPr>
          <w:rStyle w:val="ForeignDevanagariScript"/>
        </w:rPr>
        <w:t xml:space="preserve"> </w:t>
      </w:r>
      <w:r>
        <w:rPr>
          <w:rStyle w:val="ForeignDevanagariScript"/>
          <w:rFonts w:ascii="Kokila" w:hAnsi="Kokila" w:cs="Kokila"/>
        </w:rPr>
        <w:t>आहुः</w:t>
      </w:r>
      <w:r>
        <w:t xml:space="preserve"> &gt; </w:t>
      </w:r>
      <w:r>
        <w:rPr>
          <w:rStyle w:val="Foreign"/>
        </w:rPr>
        <w:t>tad āhuḥ</w:t>
      </w:r>
      <w:r>
        <w:t xml:space="preserve">). We achieve this distinction by means of uppercase characters and explicit </w:t>
      </w:r>
      <w:r>
        <w:rPr>
          <w:rStyle w:val="Foreign"/>
        </w:rPr>
        <w:t>virāma</w:t>
      </w:r>
      <w:r>
        <w:rPr>
          <w:noProof/>
        </w:rPr>
        <w:t xml:space="preserve"> in the transliteration (</w:t>
      </w:r>
      <w:r>
        <w:t xml:space="preserve">e.g. </w:t>
      </w:r>
      <w:r>
        <w:rPr>
          <w:rStyle w:val="ForeignDevanagariScript"/>
          <w:rFonts w:ascii="Kokila" w:hAnsi="Kokila" w:cs="Kokila"/>
        </w:rPr>
        <w:t>तदाहुः</w:t>
      </w:r>
      <w:r>
        <w:t xml:space="preserve"> &gt; </w:t>
      </w:r>
      <w:r>
        <w:rPr>
          <w:rStyle w:val="Foreign"/>
        </w:rPr>
        <w:t>tad āhuḥ</w:t>
      </w:r>
      <w:r>
        <w:t xml:space="preserve">; </w:t>
      </w:r>
      <w:r>
        <w:rPr>
          <w:rStyle w:val="ForeignDevanagariScript"/>
          <w:rFonts w:ascii="Kokila" w:hAnsi="Kokila" w:cs="Kokila"/>
        </w:rPr>
        <w:t>तद्</w:t>
      </w:r>
      <w:r>
        <w:rPr>
          <w:rStyle w:val="ForeignDevanagariScript"/>
        </w:rPr>
        <w:t xml:space="preserve"> </w:t>
      </w:r>
      <w:r>
        <w:rPr>
          <w:rStyle w:val="ForeignDevanagariScript"/>
          <w:rFonts w:ascii="Kokila" w:hAnsi="Kokila" w:cs="Kokila"/>
        </w:rPr>
        <w:t>आहुः</w:t>
      </w:r>
      <w:r>
        <w:t xml:space="preserve"> &gt; </w:t>
      </w:r>
      <w:r>
        <w:rPr>
          <w:rStyle w:val="Foreign"/>
        </w:rPr>
        <w:t>tad· Āhuḥ</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6E5"/>
    <w:multiLevelType w:val="multilevel"/>
    <w:tmpl w:val="0526F8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20776C2"/>
    <w:multiLevelType w:val="hybridMultilevel"/>
    <w:tmpl w:val="F97A8352"/>
    <w:lvl w:ilvl="0" w:tplc="B96038A8">
      <w:start w:val="1"/>
      <w:numFmt w:val="bullet"/>
      <w:pStyle w:val="TableNote"/>
      <w:lvlText w:val=""/>
      <w:lvlJc w:val="left"/>
      <w:pPr>
        <w:ind w:left="36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A6119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E60E80"/>
    <w:multiLevelType w:val="hybridMultilevel"/>
    <w:tmpl w:val="9984D74C"/>
    <w:lvl w:ilvl="0" w:tplc="D2AA8480">
      <w:numFmt w:val="bullet"/>
      <w:lvlText w:val="-"/>
      <w:lvlJc w:val="left"/>
      <w:pPr>
        <w:ind w:left="720" w:hanging="360"/>
      </w:pPr>
      <w:rPr>
        <w:rFonts w:ascii="Gentium Plus" w:eastAsia="Arial Unicode MS" w:hAnsi="Gentium Plus" w:cs="Gentium Plu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C0657B"/>
    <w:multiLevelType w:val="multilevel"/>
    <w:tmpl w:val="28ACCB18"/>
    <w:lvl w:ilvl="0">
      <w:start w:val="1"/>
      <w:numFmt w:val="bullet"/>
      <w:pStyle w:val="Lista"/>
      <w:lvlText w:val="–"/>
      <w:lvlJc w:val="left"/>
      <w:pPr>
        <w:ind w:left="170" w:hanging="170"/>
      </w:pPr>
      <w:rPr>
        <w:rFonts w:hint="default"/>
      </w:rPr>
    </w:lvl>
    <w:lvl w:ilvl="1">
      <w:start w:val="1"/>
      <w:numFmt w:val="bullet"/>
      <w:pStyle w:val="Lista2"/>
      <w:lvlText w:val="–"/>
      <w:lvlJc w:val="left"/>
      <w:pPr>
        <w:ind w:left="340" w:hanging="170"/>
      </w:pPr>
      <w:rPr>
        <w:rFonts w:hint="default"/>
      </w:rPr>
    </w:lvl>
    <w:lvl w:ilvl="2">
      <w:start w:val="1"/>
      <w:numFmt w:val="bullet"/>
      <w:pStyle w:val="Lista3"/>
      <w:lvlText w:val="–"/>
      <w:lvlJc w:val="left"/>
      <w:pPr>
        <w:ind w:left="510" w:hanging="170"/>
      </w:pPr>
      <w:rPr>
        <w:rFonts w:hint="default"/>
      </w:rPr>
    </w:lvl>
    <w:lvl w:ilvl="3">
      <w:start w:val="1"/>
      <w:numFmt w:val="bullet"/>
      <w:pStyle w:val="Lista4"/>
      <w:lvlText w:val="–"/>
      <w:lvlJc w:val="left"/>
      <w:pPr>
        <w:ind w:left="680" w:hanging="170"/>
      </w:pPr>
      <w:rPr>
        <w:rFonts w:hint="default"/>
      </w:rPr>
    </w:lvl>
    <w:lvl w:ilvl="4">
      <w:start w:val="1"/>
      <w:numFmt w:val="bullet"/>
      <w:pStyle w:val="Lista5"/>
      <w:lvlText w:val="–"/>
      <w:lvlJc w:val="left"/>
      <w:pPr>
        <w:ind w:left="850" w:hanging="170"/>
      </w:pPr>
      <w:rPr>
        <w:rFonts w:hint="default"/>
      </w:rPr>
    </w:lvl>
    <w:lvl w:ilvl="5">
      <w:start w:val="1"/>
      <w:numFmt w:val="bullet"/>
      <w:lvlText w:val="–"/>
      <w:lvlJc w:val="left"/>
      <w:pPr>
        <w:ind w:left="1020" w:hanging="170"/>
      </w:pPr>
      <w:rPr>
        <w:rFonts w:hint="default"/>
      </w:rPr>
    </w:lvl>
    <w:lvl w:ilvl="6">
      <w:start w:val="1"/>
      <w:numFmt w:val="bullet"/>
      <w:lvlText w:val="–"/>
      <w:lvlJc w:val="left"/>
      <w:pPr>
        <w:ind w:left="1190" w:hanging="170"/>
      </w:pPr>
      <w:rPr>
        <w:rFonts w:hint="default"/>
      </w:rPr>
    </w:lvl>
    <w:lvl w:ilvl="7">
      <w:start w:val="1"/>
      <w:numFmt w:val="bullet"/>
      <w:lvlText w:val="–"/>
      <w:lvlJc w:val="left"/>
      <w:pPr>
        <w:ind w:left="1360" w:hanging="170"/>
      </w:pPr>
      <w:rPr>
        <w:rFonts w:hint="default"/>
      </w:rPr>
    </w:lvl>
    <w:lvl w:ilvl="8">
      <w:start w:val="1"/>
      <w:numFmt w:val="bullet"/>
      <w:lvlText w:val="–"/>
      <w:lvlJc w:val="left"/>
      <w:pPr>
        <w:ind w:left="1530" w:hanging="170"/>
      </w:pPr>
      <w:rPr>
        <w:rFonts w:hint="default"/>
      </w:rPr>
    </w:lvl>
  </w:abstractNum>
  <w:abstractNum w:abstractNumId="5" w15:restartNumberingAfterBreak="0">
    <w:nsid w:val="33C674BD"/>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6" w15:restartNumberingAfterBreak="0">
    <w:nsid w:val="365D43D7"/>
    <w:multiLevelType w:val="hybridMultilevel"/>
    <w:tmpl w:val="C4323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F2672F"/>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89003F"/>
    <w:multiLevelType w:val="multilevel"/>
    <w:tmpl w:val="C69AAC88"/>
    <w:lvl w:ilvl="0">
      <w:start w:val="1"/>
      <w:numFmt w:val="bullet"/>
      <w:lvlText w:val="–"/>
      <w:lvlJc w:val="left"/>
      <w:pPr>
        <w:ind w:left="170" w:hanging="17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3C769A7"/>
    <w:multiLevelType w:val="multilevel"/>
    <w:tmpl w:val="2A5C878E"/>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suff w:val="space"/>
      <w:lvlText w:val="%1.%2.%3.%4.%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0" w15:restartNumberingAfterBreak="0">
    <w:nsid w:val="595E2359"/>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1" w15:restartNumberingAfterBreak="0">
    <w:nsid w:val="59B66AEB"/>
    <w:multiLevelType w:val="multilevel"/>
    <w:tmpl w:val="ABEE7108"/>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526364B"/>
    <w:multiLevelType w:val="multilevel"/>
    <w:tmpl w:val="ED64D24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3" w15:restartNumberingAfterBreak="0">
    <w:nsid w:val="6AD70B07"/>
    <w:multiLevelType w:val="multilevel"/>
    <w:tmpl w:val="6DE09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A456903"/>
    <w:multiLevelType w:val="multilevel"/>
    <w:tmpl w:val="8C0E9F44"/>
    <w:lvl w:ilvl="0">
      <w:start w:val="1"/>
      <w:numFmt w:val="upperLetter"/>
      <w:suff w:val="space"/>
      <w:lvlText w:val="Appendix %1."/>
      <w:lvlJc w:val="left"/>
      <w:pPr>
        <w:ind w:left="0" w:firstLine="0"/>
      </w:pPr>
      <w:rPr>
        <w:rFonts w:hint="default"/>
      </w:rPr>
    </w:lvl>
    <w:lvl w:ilvl="1">
      <w:start w:val="1"/>
      <w:numFmt w:val="decimal"/>
      <w:suff w:val="space"/>
      <w:lvlText w:val="Appendix %1.%2."/>
      <w:lvlJc w:val="left"/>
      <w:pPr>
        <w:ind w:left="0" w:firstLine="0"/>
      </w:pPr>
      <w:rPr>
        <w:rFonts w:hint="default"/>
      </w:rPr>
    </w:lvl>
    <w:lvl w:ilvl="2">
      <w:start w:val="1"/>
      <w:numFmt w:val="decimal"/>
      <w:suff w:val="space"/>
      <w:lvlText w:val="Appendix %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num w:numId="1" w16cid:durableId="1575553586">
    <w:abstractNumId w:val="7"/>
  </w:num>
  <w:num w:numId="2" w16cid:durableId="2030914627">
    <w:abstractNumId w:val="4"/>
  </w:num>
  <w:num w:numId="3" w16cid:durableId="2111704896">
    <w:abstractNumId w:val="12"/>
  </w:num>
  <w:num w:numId="4" w16cid:durableId="1314137958">
    <w:abstractNumId w:val="1"/>
  </w:num>
  <w:num w:numId="5" w16cid:durableId="913858375">
    <w:abstractNumId w:val="11"/>
  </w:num>
  <w:num w:numId="6" w16cid:durableId="2143573831">
    <w:abstractNumId w:val="13"/>
  </w:num>
  <w:num w:numId="7" w16cid:durableId="1227953383">
    <w:abstractNumId w:val="5"/>
  </w:num>
  <w:num w:numId="8" w16cid:durableId="1666005622">
    <w:abstractNumId w:val="14"/>
  </w:num>
  <w:num w:numId="9" w16cid:durableId="794525522">
    <w:abstractNumId w:val="9"/>
  </w:num>
  <w:num w:numId="10" w16cid:durableId="362485327">
    <w:abstractNumId w:val="3"/>
  </w:num>
  <w:num w:numId="11" w16cid:durableId="1785491118">
    <w:abstractNumId w:val="0"/>
  </w:num>
  <w:num w:numId="12" w16cid:durableId="1483503064">
    <w:abstractNumId w:val="8"/>
  </w:num>
  <w:num w:numId="13" w16cid:durableId="409692400">
    <w:abstractNumId w:val="1"/>
  </w:num>
  <w:num w:numId="14" w16cid:durableId="1302879563">
    <w:abstractNumId w:val="1"/>
  </w:num>
  <w:num w:numId="15" w16cid:durableId="1801146250">
    <w:abstractNumId w:val="1"/>
  </w:num>
  <w:num w:numId="16" w16cid:durableId="1662731895">
    <w:abstractNumId w:val="6"/>
  </w:num>
  <w:num w:numId="17" w16cid:durableId="639111643">
    <w:abstractNumId w:val="2"/>
  </w:num>
  <w:num w:numId="18" w16cid:durableId="1491291614">
    <w:abstractNumId w:val="10"/>
  </w:num>
  <w:num w:numId="19" w16cid:durableId="1811942990">
    <w:abstractNumId w:val="9"/>
  </w:num>
  <w:num w:numId="20" w16cid:durableId="162665115">
    <w:abstractNumId w:val="9"/>
  </w:num>
  <w:num w:numId="21" w16cid:durableId="1888251178">
    <w:abstractNumId w:val="9"/>
  </w:num>
  <w:num w:numId="22" w16cid:durableId="1930694707">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TrueTypeFonts/>
  <w:saveSubsetFonts/>
  <w:proofState w:spelling="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avedView" w:val="3"/>
    <w:docVar w:name="varHeight1" w:val="1085"/>
    <w:docVar w:name="varHeight2" w:val="1085"/>
    <w:docVar w:name="varLeft1" w:val="-5"/>
    <w:docVar w:name="varLeft2" w:val="955"/>
    <w:docVar w:name="varNavHeight" w:val="1238"/>
    <w:docVar w:name="varNavLeft" w:val="0"/>
    <w:docVar w:name="varNavPosition" w:val="0"/>
    <w:docVar w:name="varNavTop" w:val="0"/>
    <w:docVar w:name="varNavVisible" w:val="True"/>
    <w:docVar w:name="varNavWidth" w:val="301"/>
    <w:docVar w:name="varPagination1" w:val="False"/>
    <w:docVar w:name="varPagination2" w:val="False"/>
    <w:docVar w:name="varRevCount1" w:val="1"/>
    <w:docVar w:name="varRevCount2" w:val="2"/>
    <w:docVar w:name="varRevShown1_1" w:val="True"/>
    <w:docVar w:name="varRevShown2_1" w:val="True"/>
    <w:docVar w:name="varRevShown2_2" w:val="True"/>
    <w:docVar w:name="varSavedView1" w:val="3"/>
    <w:docVar w:name="varSavedView2" w:val="3"/>
    <w:docVar w:name="varSelStart1" w:val="0"/>
    <w:docVar w:name="varSelStart2" w:val="635316"/>
    <w:docVar w:name="varTop1" w:val="0"/>
    <w:docVar w:name="varTop2" w:val="0"/>
    <w:docVar w:name="varWidth1" w:val="1446"/>
    <w:docVar w:name="varWidth2" w:val="971"/>
    <w:docVar w:name="varWindowCount" w:val="1"/>
    <w:docVar w:name="varZoom" w:val="140"/>
    <w:docVar w:name="varZoom1" w:val="105"/>
    <w:docVar w:name="varZoom2" w:val="140"/>
  </w:docVars>
  <m:mathPr>
    <m:mathFont m:val="Cambria Math"/>
    <m:brkBin m:val="before"/>
    <m:brkBinSub m:val="--"/>
    <m:smallFrac m:val="0"/>
    <m:dispDef/>
    <m:lMargin m:val="0"/>
    <m:rMargin m:val="0"/>
    <m:defJc m:val="centerGroup"/>
    <m:wrapIndent m:val="1440"/>
    <m:intLim m:val="subSup"/>
    <m:naryLim m:val="undOvr"/>
  </m:mathPr>
  <w:themeFontLang w:val="en-GB" w:eastAsia="en-GB"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iscardImageEditingData/>
  <w14:defaultImageDpi w14:val="32767"/>
  <w15:docId w15:val="{9D51553F-46BB-44F5-8D61-679A0F21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hi-IN"/>
      </w:rPr>
    </w:rPrDefault>
    <w:pPrDefault>
      <w:pPr>
        <w:widowControl w:val="0"/>
        <w:ind w:left="170"/>
        <w:jc w:val="both"/>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24" w:unhideWhenUsed="1" w:qFormat="1"/>
    <w:lsdException w:name="footer" w:semiHidden="1" w:uiPriority="24"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qFormat="1"/>
    <w:lsdException w:name="List Bullet" w:semiHidden="1" w:unhideWhenUsed="1"/>
    <w:lsdException w:name="List Number" w:semiHidden="1" w:unhideWhenUsed="1"/>
    <w:lsdException w:name="List 2" w:semiHidden="1" w:uiPriority="7" w:unhideWhenUsed="1"/>
    <w:lsdException w:name="List 3" w:semiHidden="1" w:uiPriority="7" w:unhideWhenUsed="1"/>
    <w:lsdException w:name="List 4" w:semiHidden="1" w:uiPriority="7" w:unhideWhenUsed="1"/>
    <w:lsdException w:name="List 5" w:semiHidden="1" w:uiPriority="7"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iPriority="74"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widowControl/>
      <w:spacing w:line="280" w:lineRule="exact"/>
      <w:ind w:left="0"/>
    </w:pPr>
    <w:rPr>
      <w:rFonts w:ascii="Gentium" w:eastAsiaTheme="minorEastAsia" w:hAnsi="Gentium" w:cs="Tiro Devanagari Sanskrit"/>
      <w:kern w:val="2"/>
      <w:sz w:val="22"/>
      <w:szCs w:val="22"/>
      <w:lang w:eastAsia="zh-TW"/>
      <w14:ligatures w14:val="standardContextual"/>
    </w:rPr>
  </w:style>
  <w:style w:type="paragraph" w:styleId="Cmsor1">
    <w:name w:val="heading 1"/>
    <w:basedOn w:val="Norml"/>
    <w:next w:val="Norml"/>
    <w:link w:val="Cmsor1Char"/>
    <w:uiPriority w:val="4"/>
    <w:qFormat/>
    <w:pPr>
      <w:keepNext/>
      <w:pageBreakBefore/>
      <w:numPr>
        <w:numId w:val="9"/>
      </w:numPr>
      <w:pBdr>
        <w:bottom w:val="thinThickMediumGap" w:sz="24" w:space="1" w:color="auto"/>
      </w:pBdr>
      <w:tabs>
        <w:tab w:val="left" w:pos="425"/>
      </w:tabs>
      <w:autoSpaceDE w:val="0"/>
      <w:autoSpaceDN w:val="0"/>
      <w:spacing w:before="240" w:after="240" w:line="360" w:lineRule="exact"/>
      <w:jc w:val="center"/>
      <w:outlineLvl w:val="0"/>
    </w:pPr>
    <w:rPr>
      <w:rFonts w:ascii="Calibri" w:eastAsia="Arial Unicode MS" w:hAnsi="Calibri"/>
      <w:b/>
      <w:bCs/>
      <w:kern w:val="32"/>
      <w:sz w:val="32"/>
      <w:szCs w:val="30"/>
      <w:lang w:eastAsia="en-US" w:bidi="ar-SA"/>
      <w14:ligatures w14:val="none"/>
    </w:rPr>
  </w:style>
  <w:style w:type="paragraph" w:styleId="Cmsor2">
    <w:name w:val="heading 2"/>
    <w:basedOn w:val="Cmsor1"/>
    <w:next w:val="Norml"/>
    <w:link w:val="Cmsor2Char"/>
    <w:uiPriority w:val="4"/>
    <w:qFormat/>
    <w:pPr>
      <w:pageBreakBefore w:val="0"/>
      <w:numPr>
        <w:ilvl w:val="1"/>
      </w:numPr>
      <w:pBdr>
        <w:bottom w:val="double" w:sz="12" w:space="1" w:color="auto"/>
      </w:pBdr>
      <w:tabs>
        <w:tab w:val="left" w:pos="567"/>
      </w:tabs>
      <w:jc w:val="left"/>
      <w:outlineLvl w:val="1"/>
    </w:pPr>
    <w:rPr>
      <w:b w:val="0"/>
      <w:bCs w:val="0"/>
      <w:sz w:val="28"/>
      <w:szCs w:val="26"/>
    </w:rPr>
  </w:style>
  <w:style w:type="paragraph" w:styleId="Cmsor3">
    <w:name w:val="heading 3"/>
    <w:basedOn w:val="Cmsor1"/>
    <w:next w:val="Norml"/>
    <w:link w:val="Cmsor3Char"/>
    <w:uiPriority w:val="4"/>
    <w:qFormat/>
    <w:pPr>
      <w:pageBreakBefore w:val="0"/>
      <w:numPr>
        <w:ilvl w:val="2"/>
      </w:numPr>
      <w:pBdr>
        <w:bottom w:val="single" w:sz="12" w:space="1" w:color="auto"/>
      </w:pBdr>
      <w:tabs>
        <w:tab w:val="left" w:pos="709"/>
      </w:tabs>
      <w:spacing w:before="120" w:after="120" w:line="320" w:lineRule="exact"/>
      <w:jc w:val="left"/>
      <w:outlineLvl w:val="2"/>
    </w:pPr>
    <w:rPr>
      <w:b w:val="0"/>
      <w:bCs w:val="0"/>
      <w:sz w:val="24"/>
      <w:szCs w:val="24"/>
    </w:rPr>
  </w:style>
  <w:style w:type="paragraph" w:styleId="Cmsor4">
    <w:name w:val="heading 4"/>
    <w:basedOn w:val="Cmsor3"/>
    <w:next w:val="Norml"/>
    <w:link w:val="Cmsor4Char"/>
    <w:uiPriority w:val="4"/>
    <w:qFormat/>
    <w:pPr>
      <w:numPr>
        <w:ilvl w:val="3"/>
      </w:numPr>
      <w:pBdr>
        <w:bottom w:val="single" w:sz="4" w:space="1" w:color="auto"/>
      </w:pBdr>
      <w:spacing w:before="240" w:after="60" w:line="280" w:lineRule="exact"/>
      <w:outlineLvl w:val="3"/>
    </w:pPr>
    <w:rPr>
      <w:sz w:val="22"/>
    </w:rPr>
  </w:style>
  <w:style w:type="paragraph" w:styleId="Cmsor5">
    <w:name w:val="heading 5"/>
    <w:basedOn w:val="Norml"/>
    <w:next w:val="Cmsor3"/>
    <w:link w:val="Cmsor5Char"/>
    <w:uiPriority w:val="4"/>
    <w:qFormat/>
    <w:pPr>
      <w:numPr>
        <w:ilvl w:val="4"/>
        <w:numId w:val="9"/>
      </w:numPr>
      <w:autoSpaceDE w:val="0"/>
      <w:autoSpaceDN w:val="0"/>
      <w:spacing w:before="120" w:after="60"/>
      <w:outlineLvl w:val="4"/>
    </w:pPr>
    <w:rPr>
      <w:rFonts w:ascii="Tahoma" w:eastAsia="Arial Unicode MS" w:hAnsi="Tahoma"/>
      <w:kern w:val="0"/>
      <w:lang w:val="hu-HU" w:eastAsia="en-US" w:bidi="ar-SA"/>
      <w14:ligatures w14:val="none"/>
    </w:rPr>
  </w:style>
  <w:style w:type="paragraph" w:styleId="Cmsor6">
    <w:name w:val="heading 6"/>
    <w:basedOn w:val="Norml"/>
    <w:next w:val="Norml"/>
    <w:uiPriority w:val="9"/>
    <w:semiHidden/>
    <w:unhideWhenUsed/>
    <w:qFormat/>
    <w:pPr>
      <w:keepNext/>
      <w:keepLines/>
      <w:autoSpaceDE w:val="0"/>
      <w:autoSpaceDN w:val="0"/>
      <w:spacing w:before="200" w:after="40"/>
      <w:outlineLvl w:val="5"/>
    </w:pPr>
    <w:rPr>
      <w:rFonts w:eastAsia="Arial Unicode MS"/>
      <w:b/>
      <w:kern w:val="0"/>
      <w:sz w:val="20"/>
      <w:szCs w:val="20"/>
      <w:lang w:eastAsia="en-US" w:bidi="ar-SA"/>
      <w14:ligatures w14:val="none"/>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4"/>
    <w:rPr>
      <w:rFonts w:ascii="Calibri" w:eastAsia="Arial Unicode MS" w:hAnsi="Calibri" w:cs="Tiro Devanagari Sanskrit"/>
      <w:b/>
      <w:bCs/>
      <w:kern w:val="32"/>
      <w:sz w:val="32"/>
      <w:szCs w:val="30"/>
      <w:lang w:eastAsia="en-US" w:bidi="ar-SA"/>
    </w:rPr>
  </w:style>
  <w:style w:type="character" w:customStyle="1" w:styleId="Cmsor2Char">
    <w:name w:val="Címsor 2 Char"/>
    <w:basedOn w:val="Bekezdsalapbettpusa"/>
    <w:link w:val="Cmsor2"/>
    <w:uiPriority w:val="4"/>
    <w:rPr>
      <w:rFonts w:ascii="Calibri" w:eastAsia="Arial Unicode MS" w:hAnsi="Calibri" w:cs="Tiro Devanagari Sanskrit"/>
      <w:kern w:val="32"/>
      <w:sz w:val="28"/>
      <w:szCs w:val="26"/>
      <w:lang w:eastAsia="en-US" w:bidi="ar-SA"/>
    </w:rPr>
  </w:style>
  <w:style w:type="character" w:customStyle="1" w:styleId="Cmsor3Char">
    <w:name w:val="Címsor 3 Char"/>
    <w:basedOn w:val="Bekezdsalapbettpusa"/>
    <w:link w:val="Cmsor3"/>
    <w:uiPriority w:val="4"/>
    <w:rPr>
      <w:rFonts w:ascii="Calibri" w:eastAsia="Arial Unicode MS" w:hAnsi="Calibri" w:cs="Tiro Devanagari Sanskrit"/>
      <w:kern w:val="32"/>
      <w:lang w:eastAsia="en-US" w:bidi="ar-SA"/>
    </w:rPr>
  </w:style>
  <w:style w:type="character" w:customStyle="1" w:styleId="Cmsor4Char">
    <w:name w:val="Címsor 4 Char"/>
    <w:basedOn w:val="Bekezdsalapbettpusa"/>
    <w:link w:val="Cmsor4"/>
    <w:uiPriority w:val="4"/>
    <w:rPr>
      <w:rFonts w:ascii="Calibri" w:eastAsia="Arial Unicode MS" w:hAnsi="Calibri" w:cs="Tiro Devanagari Sanskrit"/>
      <w:kern w:val="32"/>
      <w:sz w:val="22"/>
      <w:lang w:eastAsia="en-US" w:bidi="ar-SA"/>
    </w:rPr>
  </w:style>
  <w:style w:type="character" w:customStyle="1" w:styleId="Cmsor5Char">
    <w:name w:val="Címsor 5 Char"/>
    <w:basedOn w:val="Bekezdsalapbettpusa"/>
    <w:link w:val="Cmsor5"/>
    <w:uiPriority w:val="4"/>
    <w:rPr>
      <w:rFonts w:ascii="Tahoma" w:eastAsia="Arial Unicode MS" w:hAnsi="Tahoma" w:cs="Tiro Devanagari Sanskrit"/>
      <w:sz w:val="22"/>
      <w:szCs w:val="22"/>
      <w:lang w:val="hu-HU" w:eastAsia="en-US" w:bidi="ar-SA"/>
    </w:rPr>
  </w:style>
  <w:style w:type="table" w:customStyle="1" w:styleId="TableNormal">
    <w:name w:val="Table Normal"/>
    <w:pPr>
      <w:ind w:left="0"/>
    </w:pPr>
    <w:rPr>
      <w:rFonts w:ascii="Gentium Plus" w:eastAsia="Arial Unicode MS" w:hAnsi="Gentium Plus" w:cs="Murty Sanskrit"/>
      <w:lang w:eastAsia="zh-TW"/>
    </w:rPr>
    <w:tblPr>
      <w:tblCellMar>
        <w:top w:w="0" w:type="dxa"/>
        <w:left w:w="0" w:type="dxa"/>
        <w:bottom w:w="0" w:type="dxa"/>
        <w:right w:w="0" w:type="dxa"/>
      </w:tblCellMar>
    </w:tblPr>
  </w:style>
  <w:style w:type="paragraph" w:styleId="Cm">
    <w:name w:val="Title"/>
    <w:basedOn w:val="Norml"/>
    <w:link w:val="CmChar"/>
    <w:uiPriority w:val="9"/>
    <w:qFormat/>
    <w:pPr>
      <w:pageBreakBefore/>
      <w:autoSpaceDE w:val="0"/>
      <w:autoSpaceDN w:val="0"/>
      <w:spacing w:after="240" w:line="240" w:lineRule="auto"/>
      <w:jc w:val="center"/>
      <w:outlineLvl w:val="0"/>
    </w:pPr>
    <w:rPr>
      <w:rFonts w:ascii="Calibri" w:eastAsia="Arial Unicode MS" w:hAnsi="Calibri"/>
      <w:b/>
      <w:bCs/>
      <w:kern w:val="28"/>
      <w:sz w:val="96"/>
      <w:szCs w:val="32"/>
      <w:lang w:eastAsia="en-US" w:bidi="ar-SA"/>
      <w14:ligatures w14:val="none"/>
    </w:rPr>
  </w:style>
  <w:style w:type="character" w:customStyle="1" w:styleId="CmChar">
    <w:name w:val="Cím Char"/>
    <w:basedOn w:val="Bekezdsalapbettpusa"/>
    <w:link w:val="Cm"/>
    <w:uiPriority w:val="9"/>
    <w:rPr>
      <w:rFonts w:ascii="Calibri" w:eastAsia="Arial Unicode MS" w:hAnsi="Calibri" w:cs="Tiro Devanagari Sanskrit"/>
      <w:b/>
      <w:bCs/>
      <w:kern w:val="28"/>
      <w:sz w:val="96"/>
      <w:szCs w:val="32"/>
      <w:lang w:eastAsia="en-US" w:bidi="ar-SA"/>
    </w:rPr>
  </w:style>
  <w:style w:type="paragraph" w:styleId="Alcm">
    <w:name w:val="Subtitle"/>
    <w:basedOn w:val="Norml"/>
    <w:link w:val="AlcmChar"/>
    <w:uiPriority w:val="9"/>
    <w:qFormat/>
    <w:pPr>
      <w:spacing w:before="120" w:after="120"/>
      <w:jc w:val="center"/>
      <w:outlineLvl w:val="1"/>
    </w:pPr>
    <w:rPr>
      <w:rFonts w:ascii="Tahoma" w:hAnsi="Tahoma"/>
      <w:sz w:val="28"/>
      <w:szCs w:val="26"/>
    </w:rPr>
  </w:style>
  <w:style w:type="character" w:customStyle="1" w:styleId="AlcmChar">
    <w:name w:val="Alcím Char"/>
    <w:basedOn w:val="Bekezdsalapbettpusa"/>
    <w:link w:val="Alcm"/>
    <w:uiPriority w:val="9"/>
    <w:rPr>
      <w:rFonts w:ascii="Tahoma" w:eastAsiaTheme="minorEastAsia" w:hAnsi="Tahoma" w:cs="Tiro Devanagari Sanskrit"/>
      <w:kern w:val="2"/>
      <w:sz w:val="28"/>
      <w:szCs w:val="26"/>
      <w:lang w:eastAsia="zh-TW"/>
      <w14:ligatures w14:val="standardContextual"/>
    </w:r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Jegyzetszveg">
    <w:name w:val="annotation text"/>
    <w:basedOn w:val="Norml"/>
    <w:link w:val="JegyzetszvegChar"/>
    <w:uiPriority w:val="99"/>
    <w:unhideWhenUsed/>
    <w:rPr>
      <w:rFonts w:cs="Murty Sanskrit"/>
      <w:sz w:val="20"/>
      <w:szCs w:val="18"/>
    </w:rPr>
  </w:style>
  <w:style w:type="character" w:customStyle="1" w:styleId="JegyzetszvegChar">
    <w:name w:val="Jegyzetszöveg Char"/>
    <w:basedOn w:val="Bekezdsalapbettpusa"/>
    <w:link w:val="Jegyzetszveg"/>
    <w:uiPriority w:val="99"/>
    <w:rPr>
      <w:rFonts w:ascii="Gentium" w:eastAsiaTheme="minorEastAsia" w:hAnsi="Gentium" w:cs="Murty Sanskrit"/>
      <w:kern w:val="2"/>
      <w:sz w:val="20"/>
      <w:szCs w:val="18"/>
      <w:lang w:eastAsia="zh-TW"/>
      <w14:ligatures w14:val="standardContextual"/>
    </w:rPr>
  </w:style>
  <w:style w:type="character" w:styleId="Jegyzethivatkozs">
    <w:name w:val="annotation reference"/>
    <w:basedOn w:val="Bekezdsalapbettpusa"/>
    <w:uiPriority w:val="99"/>
    <w:semiHidden/>
    <w:unhideWhenUsed/>
    <w:rPr>
      <w:sz w:val="16"/>
      <w:szCs w:val="16"/>
    </w:rPr>
  </w:style>
  <w:style w:type="paragraph" w:styleId="Buborkszveg">
    <w:name w:val="Balloon Text"/>
    <w:basedOn w:val="Norml"/>
    <w:link w:val="BuborkszvegChar"/>
    <w:uiPriority w:val="99"/>
    <w:semiHidden/>
    <w:unhideWhenUsed/>
    <w:rPr>
      <w:rFonts w:ascii="Segoe UI" w:hAnsi="Segoe UI" w:cs="Murty Sanskrit"/>
      <w:sz w:val="18"/>
      <w:szCs w:val="16"/>
    </w:rPr>
  </w:style>
  <w:style w:type="character" w:customStyle="1" w:styleId="BuborkszvegChar">
    <w:name w:val="Buborékszöveg Char"/>
    <w:basedOn w:val="Bekezdsalapbettpusa"/>
    <w:link w:val="Buborkszveg"/>
    <w:uiPriority w:val="99"/>
    <w:semiHidden/>
    <w:rPr>
      <w:rFonts w:ascii="Segoe UI" w:eastAsiaTheme="minorEastAsia" w:hAnsi="Segoe UI" w:cs="Murty Sanskrit"/>
      <w:kern w:val="2"/>
      <w:sz w:val="18"/>
      <w:szCs w:val="16"/>
      <w:lang w:eastAsia="zh-TW"/>
      <w14:ligatures w14:val="standardContextual"/>
    </w:rPr>
  </w:style>
  <w:style w:type="paragraph" w:styleId="llb">
    <w:name w:val="footer"/>
    <w:basedOn w:val="Norml"/>
    <w:link w:val="llbChar"/>
    <w:uiPriority w:val="24"/>
    <w:pPr>
      <w:tabs>
        <w:tab w:val="center" w:pos="4536"/>
        <w:tab w:val="right" w:pos="9072"/>
      </w:tabs>
    </w:pPr>
  </w:style>
  <w:style w:type="character" w:customStyle="1" w:styleId="llbChar">
    <w:name w:val="Élőláb Char"/>
    <w:basedOn w:val="Bekezdsalapbettpusa"/>
    <w:link w:val="llb"/>
    <w:uiPriority w:val="24"/>
    <w:rPr>
      <w:rFonts w:ascii="Gentium" w:eastAsiaTheme="minorEastAsia" w:hAnsi="Gentium" w:cs="Tiro Devanagari Sanskrit"/>
      <w:kern w:val="2"/>
      <w:sz w:val="22"/>
      <w:szCs w:val="22"/>
      <w:lang w:eastAsia="zh-TW"/>
      <w14:ligatures w14:val="standardContextual"/>
    </w:rPr>
  </w:style>
  <w:style w:type="character" w:customStyle="1" w:styleId="Foreign">
    <w:name w:val="Foreign"/>
    <w:basedOn w:val="Bekezdsalapbettpusa"/>
    <w:uiPriority w:val="1"/>
    <w:rPr>
      <w:i/>
      <w:iCs/>
      <w:noProof/>
    </w:rPr>
  </w:style>
  <w:style w:type="paragraph" w:styleId="Lista">
    <w:name w:val="List"/>
    <w:basedOn w:val="Norml"/>
    <w:uiPriority w:val="7"/>
    <w:qFormat/>
    <w:pPr>
      <w:numPr>
        <w:numId w:val="2"/>
      </w:numPr>
      <w:suppressAutoHyphens/>
      <w:jc w:val="left"/>
    </w:pPr>
  </w:style>
  <w:style w:type="paragraph" w:styleId="Lista2">
    <w:name w:val="List 2"/>
    <w:basedOn w:val="Lista"/>
    <w:uiPriority w:val="7"/>
    <w:pPr>
      <w:numPr>
        <w:ilvl w:val="1"/>
      </w:numPr>
    </w:pPr>
  </w:style>
  <w:style w:type="paragraph" w:styleId="Lista3">
    <w:name w:val="List 3"/>
    <w:basedOn w:val="Lista"/>
    <w:uiPriority w:val="7"/>
    <w:pPr>
      <w:numPr>
        <w:ilvl w:val="2"/>
      </w:numPr>
    </w:pPr>
  </w:style>
  <w:style w:type="paragraph" w:styleId="Lista4">
    <w:name w:val="List 4"/>
    <w:basedOn w:val="Lista"/>
    <w:uiPriority w:val="7"/>
    <w:pPr>
      <w:numPr>
        <w:ilvl w:val="3"/>
      </w:numPr>
    </w:pPr>
  </w:style>
  <w:style w:type="paragraph" w:styleId="Lista5">
    <w:name w:val="List 5"/>
    <w:basedOn w:val="Lista"/>
    <w:uiPriority w:val="7"/>
    <w:pPr>
      <w:numPr>
        <w:ilvl w:val="4"/>
      </w:numPr>
    </w:pPr>
  </w:style>
  <w:style w:type="character" w:customStyle="1" w:styleId="Nv">
    <w:name w:val="Név"/>
    <w:basedOn w:val="Bekezdsalapbettpusa"/>
    <w:uiPriority w:val="1"/>
    <w:rPr>
      <w:smallCaps/>
      <w:noProof/>
    </w:rPr>
  </w:style>
  <w:style w:type="paragraph" w:styleId="lfej">
    <w:name w:val="header"/>
    <w:basedOn w:val="Norml"/>
    <w:link w:val="lfejChar"/>
    <w:uiPriority w:val="24"/>
    <w:qFormat/>
    <w:pPr>
      <w:tabs>
        <w:tab w:val="center" w:pos="4536"/>
        <w:tab w:val="right" w:pos="9072"/>
      </w:tabs>
    </w:pPr>
  </w:style>
  <w:style w:type="character" w:customStyle="1" w:styleId="lfejChar">
    <w:name w:val="Élőfej Char"/>
    <w:basedOn w:val="Bekezdsalapbettpusa"/>
    <w:link w:val="lfej"/>
    <w:uiPriority w:val="24"/>
    <w:rPr>
      <w:rFonts w:ascii="Gentium" w:eastAsiaTheme="minorEastAsia" w:hAnsi="Gentium" w:cs="Tiro Devanagari Sanskrit"/>
      <w:kern w:val="2"/>
      <w:sz w:val="22"/>
      <w:szCs w:val="22"/>
      <w:lang w:eastAsia="zh-TW"/>
      <w14:ligatures w14:val="standardContextual"/>
    </w:rPr>
  </w:style>
  <w:style w:type="paragraph" w:styleId="Irodalomjegyzk">
    <w:name w:val="Bibliography"/>
    <w:aliases w:val="Bibliography"/>
    <w:basedOn w:val="Norml"/>
    <w:uiPriority w:val="37"/>
    <w:pPr>
      <w:spacing w:line="300" w:lineRule="exact"/>
      <w:ind w:left="720" w:hanging="720"/>
      <w:jc w:val="left"/>
    </w:pPr>
  </w:style>
  <w:style w:type="character" w:customStyle="1" w:styleId="Code">
    <w:name w:val="Code"/>
    <w:uiPriority w:val="1"/>
    <w:qFormat/>
    <w:rPr>
      <w:rFonts w:ascii="Consolas" w:hAnsi="Consolas" w:cs="Consolas"/>
      <w:noProof/>
      <w:color w:val="002060"/>
      <w:bdr w:val="none" w:sz="0" w:space="0" w:color="auto"/>
      <w:shd w:val="clear" w:color="auto" w:fill="F2F2F2" w:themeFill="background1" w:themeFillShade="F2"/>
    </w:rPr>
  </w:style>
  <w:style w:type="character" w:customStyle="1" w:styleId="Comment">
    <w:name w:val="Comment"/>
    <w:basedOn w:val="Bekezdsalapbettpusa"/>
    <w:uiPriority w:val="1"/>
    <w:qFormat/>
    <w:rPr>
      <w:rFonts w:ascii="Tahoma" w:hAnsi="Tahoma"/>
      <w:noProof/>
      <w:color w:val="00B050"/>
      <w:sz w:val="20"/>
    </w:rPr>
  </w:style>
  <w:style w:type="paragraph" w:styleId="Lbjegyzetszveg">
    <w:name w:val="footnote text"/>
    <w:basedOn w:val="Norml"/>
    <w:link w:val="LbjegyzetszvegChar"/>
    <w:pPr>
      <w:tabs>
        <w:tab w:val="right" w:pos="227"/>
        <w:tab w:val="left" w:pos="284"/>
      </w:tabs>
      <w:spacing w:line="240" w:lineRule="exact"/>
      <w:ind w:left="284" w:hanging="284"/>
      <w:jc w:val="left"/>
    </w:pPr>
    <w:rPr>
      <w:sz w:val="20"/>
      <w:szCs w:val="20"/>
    </w:rPr>
  </w:style>
  <w:style w:type="character" w:customStyle="1" w:styleId="LbjegyzetszvegChar">
    <w:name w:val="Lábjegyzetszöveg Char"/>
    <w:basedOn w:val="Bekezdsalapbettpusa"/>
    <w:link w:val="Lbjegyzetszveg"/>
    <w:rPr>
      <w:rFonts w:ascii="Gentium" w:eastAsiaTheme="minorEastAsia" w:hAnsi="Gentium" w:cs="Tiro Devanagari Sanskrit"/>
      <w:kern w:val="2"/>
      <w:sz w:val="20"/>
      <w:szCs w:val="20"/>
      <w:lang w:eastAsia="zh-TW"/>
      <w14:ligatures w14:val="standardContextual"/>
    </w:rPr>
  </w:style>
  <w:style w:type="character" w:styleId="Lbjegyzet-hivatkozs">
    <w:name w:val="footnote reference"/>
    <w:basedOn w:val="Bekezdsalapbettpusa"/>
    <w:uiPriority w:val="99"/>
    <w:unhideWhenUsed/>
    <w:rPr>
      <w:vertAlign w:val="superscript"/>
    </w:rPr>
  </w:style>
  <w:style w:type="character" w:customStyle="1" w:styleId="ForeignKannadaScript">
    <w:name w:val="Foreign: KannadaScript"/>
    <w:basedOn w:val="Foreign"/>
    <w:uiPriority w:val="1"/>
    <w:qFormat/>
    <w:rPr>
      <w:rFonts w:ascii="Tiro Kannada" w:hAnsi="Tiro Kannada" w:cs="Tiro Kannada"/>
      <w:b w:val="0"/>
      <w:bCs w:val="0"/>
      <w:i w:val="0"/>
      <w:iCs w:val="0"/>
      <w:noProof/>
    </w:rPr>
  </w:style>
  <w:style w:type="character" w:customStyle="1" w:styleId="ForeignTamilScript">
    <w:name w:val="Foreign: TamilScript"/>
    <w:basedOn w:val="Foreign"/>
    <w:uiPriority w:val="1"/>
    <w:qFormat/>
    <w:rPr>
      <w:rFonts w:ascii="Tiro Tamil" w:hAnsi="Tiro Tamil" w:cs="Tiro Tamil"/>
      <w:b w:val="0"/>
      <w:bCs w:val="0"/>
      <w:i w:val="0"/>
      <w:iCs w:val="0"/>
      <w:noProof/>
      <w:szCs w:val="24"/>
    </w:rPr>
  </w:style>
  <w:style w:type="character" w:customStyle="1" w:styleId="ForeignBalineseScript">
    <w:name w:val="Foreign: BalineseScript"/>
    <w:basedOn w:val="Foreign"/>
    <w:uiPriority w:val="1"/>
    <w:qFormat/>
    <w:rPr>
      <w:rFonts w:ascii="Noto Sans Balinese" w:hAnsi="Noto Sans Balinese" w:cs="Noto Sans Balinese"/>
      <w:b w:val="0"/>
      <w:bCs w:val="0"/>
      <w:i w:val="0"/>
      <w:iCs w:val="0"/>
      <w:noProof/>
      <w:position w:val="0"/>
      <w:szCs w:val="24"/>
    </w:rPr>
  </w:style>
  <w:style w:type="character" w:customStyle="1" w:styleId="ForeignThaiScript">
    <w:name w:val="Foreign: ThaiScript"/>
    <w:basedOn w:val="Foreign"/>
    <w:uiPriority w:val="1"/>
    <w:qFormat/>
    <w:rPr>
      <w:rFonts w:ascii="Leelawadee UI" w:hAnsi="Leelawadee UI" w:cs="Leelawadee UI"/>
      <w:b w:val="0"/>
      <w:bCs w:val="0"/>
      <w:i w:val="0"/>
      <w:iCs w:val="0"/>
      <w:noProof/>
    </w:rPr>
  </w:style>
  <w:style w:type="character" w:customStyle="1" w:styleId="ForeignBrahmiScript">
    <w:name w:val="Foreign: BrahmiScript"/>
    <w:basedOn w:val="Foreign"/>
    <w:uiPriority w:val="1"/>
    <w:qFormat/>
    <w:rPr>
      <w:rFonts w:ascii="Segoe UI Historic" w:hAnsi="Segoe UI Historic" w:cs="Segoe UI Historic"/>
      <w:b w:val="0"/>
      <w:bCs w:val="0"/>
      <w:i w:val="0"/>
      <w:iCs w:val="0"/>
      <w:noProof/>
    </w:rPr>
  </w:style>
  <w:style w:type="character" w:customStyle="1" w:styleId="ForeignOriyaScript">
    <w:name w:val="Foreign: OriyaScript"/>
    <w:basedOn w:val="Foreign"/>
    <w:uiPriority w:val="1"/>
    <w:qFormat/>
    <w:rPr>
      <w:rFonts w:ascii="Arial Unicode MS" w:eastAsia="Arial Unicode MS" w:hAnsi="Arial Unicode MS" w:cs="Arial Unicode MS"/>
      <w:b w:val="0"/>
      <w:bCs w:val="0"/>
      <w:i w:val="0"/>
      <w:iCs w:val="0"/>
      <w:noProof/>
    </w:rPr>
  </w:style>
  <w:style w:type="paragraph" w:styleId="NormlWeb">
    <w:name w:val="Normal (Web)"/>
    <w:basedOn w:val="Norml"/>
    <w:uiPriority w:val="99"/>
    <w:semiHidden/>
    <w:unhideWhenUsed/>
    <w:pPr>
      <w:spacing w:before="100" w:beforeAutospacing="1" w:after="100" w:afterAutospacing="1" w:line="240" w:lineRule="auto"/>
    </w:pPr>
    <w:rPr>
      <w:rFonts w:ascii="Times New Roman" w:hAnsi="Times New Roman" w:cs="Times New Roman"/>
      <w:szCs w:val="24"/>
    </w:rPr>
  </w:style>
  <w:style w:type="paragraph" w:customStyle="1" w:styleId="Legend">
    <w:name w:val="Legend"/>
    <w:basedOn w:val="Norml"/>
    <w:qFormat/>
    <w:pPr>
      <w:tabs>
        <w:tab w:val="right" w:pos="851"/>
        <w:tab w:val="left" w:pos="1134"/>
      </w:tabs>
      <w:jc w:val="left"/>
    </w:pPr>
  </w:style>
  <w:style w:type="character" w:styleId="Hiperhivatkozs">
    <w:name w:val="Hyperlink"/>
    <w:basedOn w:val="Bekezdsalapbettpusa"/>
    <w:uiPriority w:val="99"/>
    <w:unhideWhenUsed/>
    <w:rPr>
      <w:color w:val="002060"/>
      <w:u w:val="single"/>
    </w:rPr>
  </w:style>
  <w:style w:type="character" w:styleId="Feloldatlanmegemlts">
    <w:name w:val="Unresolved Mention"/>
    <w:basedOn w:val="Bekezdsalapbettpusa"/>
    <w:uiPriority w:val="99"/>
    <w:semiHidden/>
    <w:unhideWhenUsed/>
    <w:rPr>
      <w:color w:val="605E5C"/>
      <w:shd w:val="clear" w:color="auto" w:fill="E1DFDD"/>
    </w:rPr>
  </w:style>
  <w:style w:type="character" w:styleId="Mrltotthiperhivatkozs">
    <w:name w:val="FollowedHyperlink"/>
    <w:basedOn w:val="Bekezdsalapbettpusa"/>
    <w:uiPriority w:val="99"/>
    <w:semiHidden/>
    <w:unhideWhenUsed/>
    <w:rPr>
      <w:color w:val="002060"/>
      <w:u w:val="single"/>
    </w:rPr>
  </w:style>
  <w:style w:type="table" w:styleId="Rcsostblzat">
    <w:name w:val="Table Grid"/>
    <w:basedOn w:val="Normltblzat"/>
    <w:uiPriority w:val="39"/>
    <w:pPr>
      <w:ind w:left="0" w:firstLine="567"/>
    </w:pPr>
    <w:rPr>
      <w:rFonts w:ascii="Gentium Plus" w:eastAsia="Arial Unicode MS" w:hAnsi="Gentium Plus" w:cs="Gentium Plus"/>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text"/>
    <w:basedOn w:val="Norml"/>
    <w:qFormat/>
    <w:pPr>
      <w:spacing w:line="240" w:lineRule="auto"/>
      <w:jc w:val="left"/>
    </w:pPr>
    <w:rPr>
      <w:rFonts w:ascii="Calibri" w:hAnsi="Calibri"/>
      <w:sz w:val="20"/>
      <w:szCs w:val="20"/>
    </w:rPr>
  </w:style>
  <w:style w:type="table" w:customStyle="1" w:styleId="FigureTable">
    <w:name w:val="FigureTable"/>
    <w:basedOn w:val="CodeSampleTable"/>
    <w:uiPriority w:val="99"/>
    <w:tblPr>
      <w:tblCellMar>
        <w:top w:w="57" w:type="dxa"/>
        <w:left w:w="57" w:type="dxa"/>
        <w:bottom w:w="57" w:type="dxa"/>
        <w:right w:w="57" w:type="dxa"/>
      </w:tblCellMar>
    </w:tblPr>
    <w:tblStylePr w:type="firstRow">
      <w:rPr>
        <w:rFonts w:asciiTheme="majorHAnsi" w:hAnsiTheme="majorHAnsi"/>
        <w:sz w:val="18"/>
      </w:rPr>
      <w:tblPr/>
      <w:tcPr>
        <w:shd w:val="clear" w:color="auto" w:fill="F0F7D7"/>
      </w:tcPr>
    </w:tblStylePr>
  </w:style>
  <w:style w:type="character" w:customStyle="1" w:styleId="ForeignKhmerScript">
    <w:name w:val="Foreign: KhmerScript"/>
    <w:basedOn w:val="Bekezdsalapbettpusa"/>
    <w:uiPriority w:val="1"/>
    <w:qFormat/>
    <w:rPr>
      <w:rFonts w:ascii="DaunPenh" w:hAnsi="DaunPenh" w:cs="DaunPenh"/>
      <w:bCs w:val="0"/>
      <w:iCs w:val="0"/>
      <w:szCs w:val="36"/>
      <w:lang w:bidi="km-KH"/>
    </w:rPr>
  </w:style>
  <w:style w:type="character" w:customStyle="1" w:styleId="MetreCode">
    <w:name w:val="MetreCode"/>
    <w:basedOn w:val="Bekezdsalapbettpusa"/>
    <w:uiPriority w:val="1"/>
    <w:qFormat/>
    <w:rPr>
      <w:rFonts w:ascii="Cardo" w:hAnsi="Cardo" w:cs="Murty Sanskrit"/>
      <w:spacing w:val="30"/>
    </w:rPr>
  </w:style>
  <w:style w:type="paragraph" w:styleId="Tartalomjegyzkcmsora">
    <w:name w:val="TOC Heading"/>
    <w:basedOn w:val="Cmsor1"/>
    <w:next w:val="Norml"/>
    <w:uiPriority w:val="39"/>
    <w:unhideWhenUsed/>
    <w:qFormat/>
    <w:pPr>
      <w:spacing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J1">
    <w:name w:val="toc 1"/>
    <w:basedOn w:val="Norml"/>
    <w:next w:val="Norml"/>
    <w:uiPriority w:val="39"/>
    <w:unhideWhenUsed/>
    <w:pPr>
      <w:pBdr>
        <w:bottom w:val="single" w:sz="12" w:space="1" w:color="auto"/>
      </w:pBdr>
      <w:tabs>
        <w:tab w:val="left" w:pos="284"/>
        <w:tab w:val="right" w:pos="9639"/>
      </w:tabs>
      <w:spacing w:before="60" w:line="240" w:lineRule="exact"/>
    </w:pPr>
    <w:rPr>
      <w:rFonts w:ascii="Calibri" w:hAnsi="Calibri"/>
      <w:b/>
    </w:rPr>
  </w:style>
  <w:style w:type="paragraph" w:styleId="TJ2">
    <w:name w:val="toc 2"/>
    <w:basedOn w:val="Norml"/>
    <w:next w:val="Norml"/>
    <w:uiPriority w:val="39"/>
    <w:unhideWhenUsed/>
    <w:pPr>
      <w:tabs>
        <w:tab w:val="left" w:pos="567"/>
        <w:tab w:val="right" w:leader="dot" w:pos="9639"/>
      </w:tabs>
      <w:spacing w:line="220" w:lineRule="exact"/>
      <w:ind w:left="227"/>
    </w:pPr>
    <w:rPr>
      <w:rFonts w:asciiTheme="majorHAnsi" w:hAnsiTheme="majorHAnsi"/>
      <w:sz w:val="18"/>
      <w:szCs w:val="18"/>
    </w:rPr>
  </w:style>
  <w:style w:type="paragraph" w:styleId="TJ3">
    <w:name w:val="toc 3"/>
    <w:basedOn w:val="Norml"/>
    <w:next w:val="Norml"/>
    <w:uiPriority w:val="39"/>
    <w:unhideWhenUsed/>
    <w:pPr>
      <w:tabs>
        <w:tab w:val="left" w:pos="1134"/>
        <w:tab w:val="right" w:leader="dot" w:pos="9639"/>
      </w:tabs>
      <w:spacing w:line="220" w:lineRule="exact"/>
      <w:ind w:left="567"/>
    </w:pPr>
    <w:rPr>
      <w:rFonts w:asciiTheme="majorHAnsi" w:hAnsiTheme="majorHAnsi"/>
      <w:sz w:val="18"/>
    </w:rPr>
  </w:style>
  <w:style w:type="paragraph" w:styleId="Vltozat">
    <w:name w:val="Revision"/>
    <w:hidden/>
    <w:uiPriority w:val="99"/>
    <w:semiHidden/>
    <w:pPr>
      <w:widowControl/>
      <w:ind w:left="0"/>
      <w:jc w:val="left"/>
    </w:pPr>
    <w:rPr>
      <w:rFonts w:ascii="Gentium Plus" w:eastAsia="Arial Unicode MS" w:hAnsi="Gentium Plus" w:cs="Gentium Plus"/>
      <w:szCs w:val="22"/>
      <w:lang w:eastAsia="zh-TW"/>
    </w:rPr>
  </w:style>
  <w:style w:type="character" w:customStyle="1" w:styleId="Codeattribute">
    <w:name w:val="Code_attribute"/>
    <w:basedOn w:val="Code"/>
    <w:uiPriority w:val="1"/>
    <w:qFormat/>
    <w:rPr>
      <w:rFonts w:ascii="Consolas" w:hAnsi="Consolas" w:cs="Consolas"/>
      <w:noProof/>
      <w:color w:val="008080"/>
      <w:bdr w:val="none" w:sz="0" w:space="0" w:color="auto"/>
      <w:shd w:val="clear" w:color="auto" w:fill="F2F2F2" w:themeFill="background1" w:themeFillShade="F2"/>
    </w:rPr>
  </w:style>
  <w:style w:type="character" w:customStyle="1" w:styleId="Codevalue">
    <w:name w:val="Code_value"/>
    <w:basedOn w:val="Code"/>
    <w:uiPriority w:val="1"/>
    <w:qFormat/>
    <w:rPr>
      <w:rFonts w:ascii="Consolas" w:eastAsia="Consolas" w:hAnsi="Consolas" w:cs="Consolas"/>
      <w:noProof/>
      <w:color w:val="C00000"/>
      <w:bdr w:val="none" w:sz="0" w:space="0" w:color="auto"/>
      <w:shd w:val="clear" w:color="auto" w:fill="F2F2F2" w:themeFill="background1" w:themeFillShade="F2"/>
    </w:rPr>
  </w:style>
  <w:style w:type="character" w:customStyle="1" w:styleId="Codecomment">
    <w:name w:val="Code_comment"/>
    <w:basedOn w:val="Code"/>
    <w:uiPriority w:val="1"/>
    <w:qFormat/>
    <w:rPr>
      <w:rFonts w:ascii="Consolas" w:eastAsia="Consolas" w:hAnsi="Consolas" w:cs="Consolas"/>
      <w:i/>
      <w:iCs/>
      <w:noProof/>
      <w:color w:val="999988"/>
      <w:bdr w:val="none" w:sz="0" w:space="0" w:color="auto"/>
      <w:shd w:val="clear" w:color="auto" w:fill="F2F2F2" w:themeFill="background1" w:themeFillShade="F2"/>
    </w:rPr>
  </w:style>
  <w:style w:type="character" w:customStyle="1" w:styleId="Codeinstruction">
    <w:name w:val="Code_instruction"/>
    <w:basedOn w:val="Code"/>
    <w:uiPriority w:val="1"/>
    <w:qFormat/>
    <w:rPr>
      <w:rFonts w:ascii="Consolas" w:eastAsia="Consolas" w:hAnsi="Consolas" w:cs="Consolas"/>
      <w:b/>
      <w:bCs/>
      <w:noProof/>
      <w:color w:val="969696"/>
      <w:bdr w:val="none" w:sz="0" w:space="0" w:color="auto"/>
      <w:shd w:val="clear" w:color="auto" w:fill="F2F2F2" w:themeFill="background1" w:themeFillShade="F2"/>
    </w:rPr>
  </w:style>
  <w:style w:type="character" w:customStyle="1" w:styleId="Codetext">
    <w:name w:val="Code_text"/>
    <w:basedOn w:val="Code"/>
    <w:uiPriority w:val="1"/>
    <w:qFormat/>
    <w:rPr>
      <w:rFonts w:ascii="Consolas" w:hAnsi="Consolas" w:cs="Consolas"/>
      <w:noProof/>
      <w:color w:val="000000" w:themeColor="text1"/>
      <w:bdr w:val="none" w:sz="0" w:space="0" w:color="auto"/>
      <w:shd w:val="clear" w:color="auto" w:fill="F2F2F2" w:themeFill="background1" w:themeFillShade="F2"/>
    </w:rPr>
  </w:style>
  <w:style w:type="paragraph" w:styleId="Kpalrs">
    <w:name w:val="caption"/>
    <w:basedOn w:val="Norml"/>
    <w:next w:val="Norml"/>
    <w:uiPriority w:val="35"/>
    <w:qFormat/>
    <w:pPr>
      <w:keepNext/>
      <w:spacing w:before="120" w:line="240" w:lineRule="auto"/>
      <w:jc w:val="center"/>
    </w:pPr>
    <w:rPr>
      <w:i/>
      <w:iCs/>
      <w:sz w:val="20"/>
      <w:szCs w:val="18"/>
    </w:rPr>
  </w:style>
  <w:style w:type="table" w:customStyle="1" w:styleId="CodeSampleTable">
    <w:name w:val="CodeSampleTable"/>
    <w:basedOn w:val="Normltblzat"/>
    <w:uiPriority w:val="99"/>
    <w:pPr>
      <w:widowControl/>
      <w:ind w:left="0"/>
      <w:jc w:val="left"/>
    </w:pPr>
    <w:rPr>
      <w:rFonts w:ascii="Gentium Plus" w:eastAsia="Arial Unicode MS" w:hAnsi="Gentium Plus" w:cs="Gentium Plus"/>
      <w:sz w:val="18"/>
      <w:lang w:eastAsia="zh-TW"/>
    </w:rPr>
    <w:tblPr>
      <w:tblBorders>
        <w:top w:val="single" w:sz="4" w:space="0" w:color="auto"/>
        <w:left w:val="single" w:sz="4" w:space="0" w:color="auto"/>
        <w:bottom w:val="single" w:sz="4" w:space="0" w:color="auto"/>
        <w:right w:val="single" w:sz="4" w:space="0" w:color="auto"/>
        <w:insideH w:val="single" w:sz="4" w:space="0" w:color="auto"/>
      </w:tblBorders>
      <w:tblCellMar>
        <w:left w:w="0" w:type="dxa"/>
        <w:right w:w="0" w:type="dxa"/>
      </w:tblCellMar>
    </w:tblPr>
    <w:trPr>
      <w:cantSplit/>
    </w:trPr>
    <w:tcPr>
      <w:shd w:val="clear" w:color="auto" w:fill="auto"/>
    </w:tcPr>
    <w:tblStylePr w:type="firstRow">
      <w:rPr>
        <w:rFonts w:asciiTheme="majorHAnsi" w:hAnsiTheme="majorHAnsi"/>
        <w:sz w:val="18"/>
      </w:rPr>
      <w:tblPr/>
      <w:tcPr>
        <w:shd w:val="clear" w:color="auto" w:fill="F0F7D7"/>
      </w:tcPr>
    </w:tblStylePr>
  </w:style>
  <w:style w:type="paragraph" w:customStyle="1" w:styleId="CodeParagraph">
    <w:name w:val="CodeParagraph"/>
    <w:basedOn w:val="Norml"/>
    <w:qFormat/>
    <w:pPr>
      <w:shd w:val="clear" w:color="auto" w:fill="F2F2F2" w:themeFill="background1" w:themeFillShade="F2"/>
      <w:spacing w:line="220" w:lineRule="exact"/>
      <w:jc w:val="left"/>
    </w:pPr>
    <w:rPr>
      <w:sz w:val="18"/>
      <w:szCs w:val="18"/>
    </w:rPr>
  </w:style>
  <w:style w:type="paragraph" w:customStyle="1" w:styleId="TableNote">
    <w:name w:val="TableNote"/>
    <w:basedOn w:val="Tabletext"/>
    <w:qFormat/>
    <w:pPr>
      <w:numPr>
        <w:numId w:val="4"/>
      </w:numPr>
      <w:spacing w:before="60"/>
      <w:contextualSpacing/>
    </w:pPr>
  </w:style>
  <w:style w:type="character" w:customStyle="1" w:styleId="ForeignTamilGrantha">
    <w:name w:val="Foreign:TamilGrantha"/>
    <w:basedOn w:val="ForeignTamilScript"/>
    <w:uiPriority w:val="1"/>
    <w:qFormat/>
    <w:rPr>
      <w:rFonts w:ascii="Noto Sans Grantha" w:hAnsi="Noto Sans Grantha" w:cs="Noto Sans Grantha"/>
      <w:b w:val="0"/>
      <w:bCs w:val="0"/>
      <w:i w:val="0"/>
      <w:iCs w:val="0"/>
      <w:noProof/>
      <w:szCs w:val="24"/>
    </w:rPr>
  </w:style>
  <w:style w:type="character" w:customStyle="1" w:styleId="ForeignDevanagariScript">
    <w:name w:val="Foreign:DevanagariScript"/>
    <w:basedOn w:val="ForeignKannadaScript"/>
    <w:uiPriority w:val="1"/>
    <w:qFormat/>
    <w:rPr>
      <w:rFonts w:ascii="Murty Sanskrit" w:hAnsi="Murty Sanskrit" w:cs="Murty Sanskrit"/>
      <w:b w:val="0"/>
      <w:bCs w:val="0"/>
      <w:i w:val="0"/>
      <w:iCs w:val="0"/>
      <w:noProof/>
    </w:rPr>
  </w:style>
  <w:style w:type="paragraph" w:styleId="TJ4">
    <w:name w:val="toc 4"/>
    <w:basedOn w:val="TJ3"/>
    <w:next w:val="Norml"/>
    <w:autoRedefine/>
    <w:uiPriority w:val="39"/>
    <w:unhideWhenUsed/>
    <w:pPr>
      <w:tabs>
        <w:tab w:val="clear" w:pos="1134"/>
      </w:tabs>
      <w:ind w:left="1021"/>
    </w:pPr>
  </w:style>
  <w:style w:type="paragraph" w:styleId="TJ5">
    <w:name w:val="toc 5"/>
    <w:basedOn w:val="Norml"/>
    <w:next w:val="Norml"/>
    <w:autoRedefine/>
    <w:uiPriority w:val="39"/>
    <w:unhideWhenUsed/>
    <w:pPr>
      <w:spacing w:after="100" w:line="259" w:lineRule="auto"/>
      <w:ind w:left="880"/>
    </w:pPr>
    <w:rPr>
      <w:rFonts w:asciiTheme="minorHAnsi" w:hAnsiTheme="minorHAnsi" w:cstheme="minorBidi"/>
      <w:szCs w:val="20"/>
    </w:rPr>
  </w:style>
  <w:style w:type="paragraph" w:styleId="TJ6">
    <w:name w:val="toc 6"/>
    <w:basedOn w:val="Norml"/>
    <w:next w:val="Norml"/>
    <w:autoRedefine/>
    <w:uiPriority w:val="39"/>
    <w:unhideWhenUsed/>
    <w:pPr>
      <w:spacing w:after="100" w:line="259" w:lineRule="auto"/>
      <w:ind w:left="1100"/>
    </w:pPr>
    <w:rPr>
      <w:rFonts w:asciiTheme="minorHAnsi" w:hAnsiTheme="minorHAnsi" w:cstheme="minorBidi"/>
      <w:szCs w:val="20"/>
    </w:rPr>
  </w:style>
  <w:style w:type="paragraph" w:styleId="TJ7">
    <w:name w:val="toc 7"/>
    <w:basedOn w:val="Norml"/>
    <w:next w:val="Norml"/>
    <w:autoRedefine/>
    <w:uiPriority w:val="39"/>
    <w:unhideWhenUsed/>
    <w:pPr>
      <w:spacing w:after="100" w:line="259" w:lineRule="auto"/>
      <w:ind w:left="1320"/>
    </w:pPr>
    <w:rPr>
      <w:rFonts w:asciiTheme="minorHAnsi" w:hAnsiTheme="minorHAnsi" w:cstheme="minorBidi"/>
      <w:szCs w:val="20"/>
    </w:rPr>
  </w:style>
  <w:style w:type="paragraph" w:styleId="TJ8">
    <w:name w:val="toc 8"/>
    <w:basedOn w:val="Norml"/>
    <w:next w:val="Norml"/>
    <w:autoRedefine/>
    <w:uiPriority w:val="39"/>
    <w:unhideWhenUsed/>
    <w:pPr>
      <w:spacing w:after="100" w:line="259" w:lineRule="auto"/>
      <w:ind w:left="1540"/>
    </w:pPr>
    <w:rPr>
      <w:rFonts w:asciiTheme="minorHAnsi" w:hAnsiTheme="minorHAnsi" w:cstheme="minorBidi"/>
      <w:szCs w:val="20"/>
    </w:rPr>
  </w:style>
  <w:style w:type="paragraph" w:styleId="TJ9">
    <w:name w:val="toc 9"/>
    <w:basedOn w:val="Norml"/>
    <w:next w:val="Norml"/>
    <w:autoRedefine/>
    <w:uiPriority w:val="39"/>
    <w:unhideWhenUsed/>
    <w:pPr>
      <w:spacing w:after="100" w:line="259" w:lineRule="auto"/>
      <w:ind w:left="1760"/>
    </w:pPr>
    <w:rPr>
      <w:rFonts w:asciiTheme="minorHAnsi" w:hAnsiTheme="minorHAnsi" w:cstheme="minorBidi"/>
      <w:szCs w:val="20"/>
    </w:rPr>
  </w:style>
  <w:style w:type="paragraph" w:customStyle="1" w:styleId="Frontmatter">
    <w:name w:val="Frontmatter"/>
    <w:basedOn w:val="Norml"/>
    <w:qFormat/>
    <w:pPr>
      <w:spacing w:line="360" w:lineRule="exact"/>
      <w:jc w:val="center"/>
    </w:pPr>
    <w:rPr>
      <w:rFonts w:ascii="Calibri" w:hAnsi="Calibri"/>
      <w:sz w:val="28"/>
      <w:szCs w:val="28"/>
    </w:rPr>
  </w:style>
  <w:style w:type="paragraph" w:styleId="Megjegyzstrgya">
    <w:name w:val="annotation subject"/>
    <w:basedOn w:val="Jegyzetszveg"/>
    <w:next w:val="Jegyzetszveg"/>
    <w:link w:val="MegjegyzstrgyaChar"/>
    <w:uiPriority w:val="99"/>
    <w:semiHidden/>
    <w:unhideWhenUsed/>
    <w:pPr>
      <w:spacing w:line="240" w:lineRule="auto"/>
    </w:pPr>
    <w:rPr>
      <w:b/>
      <w:bCs/>
      <w:szCs w:val="20"/>
    </w:rPr>
  </w:style>
  <w:style w:type="character" w:customStyle="1" w:styleId="MegjegyzstrgyaChar">
    <w:name w:val="Megjegyzés tárgya Char"/>
    <w:basedOn w:val="JegyzetszvegChar"/>
    <w:link w:val="Megjegyzstrgya"/>
    <w:uiPriority w:val="99"/>
    <w:semiHidden/>
    <w:rPr>
      <w:rFonts w:ascii="Gentium" w:eastAsiaTheme="minorEastAsia" w:hAnsi="Gentium" w:cs="Murty Sanskrit"/>
      <w:b/>
      <w:bCs/>
      <w:kern w:val="2"/>
      <w:sz w:val="20"/>
      <w:szCs w:val="20"/>
      <w:lang w:eastAsia="zh-TW"/>
      <w14:ligatures w14:val="standardContextual"/>
    </w:rPr>
  </w:style>
  <w:style w:type="character" w:customStyle="1" w:styleId="Metrum">
    <w:name w:val="Metrum"/>
    <w:rPr>
      <w:rFonts w:ascii="Cardo" w:hAnsi="Cardo"/>
      <w:noProof/>
    </w:rPr>
  </w:style>
  <w:style w:type="character" w:customStyle="1" w:styleId="ForeignBurmeseScript">
    <w:name w:val="Foreign: BurmeseScript"/>
    <w:basedOn w:val="Foreign"/>
    <w:uiPriority w:val="1"/>
    <w:qFormat/>
    <w:rPr>
      <w:rFonts w:ascii="Myanmar Text" w:hAnsi="Myanmar Text" w:cs="Myanmar Text"/>
      <w:bCs w:val="0"/>
      <w:i w:val="0"/>
      <w:iCs w:val="0"/>
      <w:noProof/>
    </w:rPr>
  </w:style>
  <w:style w:type="character" w:styleId="Vgjegyzet-hivatkozs">
    <w:name w:val="endnote reference"/>
    <w:basedOn w:val="Bekezdsalapbettpusa"/>
    <w:uiPriority w:val="99"/>
    <w:semiHidden/>
    <w:unhideWhenUsed/>
    <w:rPr>
      <w:vertAlign w:val="superscript"/>
    </w:rPr>
  </w:style>
  <w:style w:type="paragraph" w:customStyle="1" w:styleId="BlockImage">
    <w:name w:val="BlockImage"/>
    <w:basedOn w:val="Norml"/>
    <w:qFormat/>
    <w:pPr>
      <w:spacing w:line="240" w:lineRule="auto"/>
      <w:jc w:val="center"/>
    </w:pPr>
    <w:rPr>
      <w:noProof/>
    </w:rPr>
  </w:style>
  <w:style w:type="paragraph" w:customStyle="1" w:styleId="Image">
    <w:name w:val="Image"/>
    <w:basedOn w:val="Norml"/>
    <w:qFormat/>
    <w:pPr>
      <w:keepNext/>
      <w:widowControl w:val="0"/>
      <w:spacing w:before="60" w:after="60" w:line="240" w:lineRule="auto"/>
      <w:jc w:val="center"/>
    </w:pPr>
    <w:rPr>
      <w:noProof/>
      <w:sz w:val="20"/>
    </w:rPr>
  </w:style>
  <w:style w:type="paragraph" w:styleId="Szvegtrzs">
    <w:name w:val="Body Text"/>
    <w:basedOn w:val="Norml"/>
    <w:link w:val="SzvegtrzsChar"/>
    <w:uiPriority w:val="74"/>
    <w:pPr>
      <w:spacing w:before="120" w:after="120"/>
      <w:ind w:left="567" w:right="567"/>
      <w:contextualSpacing/>
    </w:pPr>
  </w:style>
  <w:style w:type="character" w:customStyle="1" w:styleId="SzvegtrzsChar">
    <w:name w:val="Szövegtörzs Char"/>
    <w:basedOn w:val="Bekezdsalapbettpusa"/>
    <w:link w:val="Szvegtrzs"/>
    <w:uiPriority w:val="74"/>
    <w:rPr>
      <w:rFonts w:ascii="Gentium" w:eastAsiaTheme="minorEastAsia" w:hAnsi="Gentium" w:cs="Tiro Devanagari Sanskrit"/>
      <w:kern w:val="2"/>
      <w:sz w:val="22"/>
      <w:szCs w:val="22"/>
      <w:lang w:eastAsia="zh-TW"/>
      <w14:ligatures w14:val="standardContextual"/>
    </w:rPr>
  </w:style>
  <w:style w:type="character" w:customStyle="1" w:styleId="ForeignIndic">
    <w:name w:val="Foreign: Indic"/>
    <w:basedOn w:val="Foreign"/>
    <w:uiPriority w:val="1"/>
    <w:qFormat/>
    <w:rPr>
      <w:i w:val="0"/>
      <w:iCs w:val="0"/>
      <w:noProof/>
    </w:rPr>
  </w:style>
  <w:style w:type="paragraph" w:styleId="Idzet">
    <w:name w:val="Quote"/>
    <w:basedOn w:val="Norml"/>
    <w:next w:val="Norml"/>
    <w:link w:val="IdzetChar"/>
    <w:uiPriority w:val="29"/>
    <w:unhideWhenUsed/>
    <w:pPr>
      <w:spacing w:before="120" w:after="120"/>
      <w:ind w:left="567" w:right="567"/>
    </w:pPr>
  </w:style>
  <w:style w:type="character" w:customStyle="1" w:styleId="IdzetChar">
    <w:name w:val="Idézet Char"/>
    <w:basedOn w:val="Bekezdsalapbettpusa"/>
    <w:link w:val="Idzet"/>
    <w:uiPriority w:val="29"/>
    <w:rPr>
      <w:rFonts w:ascii="Gentium" w:eastAsiaTheme="minorEastAsia" w:hAnsi="Gentium" w:cs="Tiro Devanagari Sanskrit"/>
      <w:kern w:val="2"/>
      <w:sz w:val="22"/>
      <w:szCs w:val="22"/>
      <w:lang w:eastAsia="zh-TW"/>
      <w14:ligatures w14:val="standardContextual"/>
    </w:rPr>
  </w:style>
  <w:style w:type="paragraph" w:styleId="Normlbehzs">
    <w:name w:val="Normal Indent"/>
    <w:basedOn w:val="Norml"/>
    <w:uiPriority w:val="99"/>
    <w:unhideWhenUsed/>
    <w:pPr>
      <w:ind w:firstLine="425"/>
    </w:pPr>
  </w:style>
  <w:style w:type="character" w:customStyle="1" w:styleId="ImageInsetSundanese">
    <w:name w:val="ImageInsetSundanese"/>
    <w:basedOn w:val="Bekezdsalapbettpusa"/>
    <w:uiPriority w:val="1"/>
    <w:qFormat/>
    <w:rPr>
      <w:noProof/>
      <w:position w:val="-10"/>
    </w:rPr>
  </w:style>
  <w:style w:type="paragraph" w:customStyle="1" w:styleId="TableHead">
    <w:name w:val="TableHead"/>
    <w:basedOn w:val="Norml"/>
    <w:qFormat/>
    <w:pPr>
      <w:jc w:val="left"/>
    </w:pPr>
  </w:style>
  <w:style w:type="table" w:customStyle="1" w:styleId="Stlus1">
    <w:name w:val="Stílus1"/>
    <w:basedOn w:val="CodeSampleTable"/>
    <w:uiPriority w:val="99"/>
    <w:tblPr>
      <w:tblCellMar>
        <w:top w:w="57" w:type="dxa"/>
        <w:bottom w:w="57" w:type="dxa"/>
      </w:tblCellMar>
    </w:tblPr>
    <w:tblStylePr w:type="firstRow">
      <w:rPr>
        <w:rFonts w:asciiTheme="majorHAnsi" w:hAnsiTheme="majorHAnsi"/>
        <w:sz w:val="18"/>
      </w:rPr>
      <w:tblPr/>
      <w:tcPr>
        <w:tcBorders>
          <w:bottom w:val="nil"/>
        </w:tcBorders>
        <w:shd w:val="clear" w:color="auto" w:fill="EAF1DD" w:themeFill="accent3" w:themeFillTint="33"/>
      </w:tcPr>
    </w:tblStylePr>
  </w:style>
  <w:style w:type="character" w:customStyle="1" w:styleId="ForeignDevanagariAlt">
    <w:name w:val="Foreign: DevanagariAlt"/>
    <w:basedOn w:val="Bekezdsalapbettpusa"/>
    <w:uiPriority w:val="1"/>
    <w:qFormat/>
    <w:rPr>
      <w:rFonts w:ascii="Uttara" w:hAnsi="Uttara" w:cs="Uttara"/>
      <w:b w:val="0"/>
      <w:bCs w:val="0"/>
      <w:i w:val="0"/>
      <w:iCs w:val="0"/>
      <w:noProof/>
      <w14:ligatures w14:val="all"/>
    </w:rPr>
  </w:style>
  <w:style w:type="character" w:customStyle="1" w:styleId="ForeignDevanagariScript0">
    <w:name w:val="Foreign: DevanagariScript"/>
    <w:basedOn w:val="ForeignKannadaScript"/>
    <w:uiPriority w:val="1"/>
    <w:qFormat/>
    <w:rPr>
      <w:rFonts w:ascii="Tiro Devanagari Sanskrit" w:hAnsi="Tiro Devanagari Sanskrit" w:cs="Tiro Devanagari Sanskrit"/>
      <w:b w:val="0"/>
      <w:bCs w:val="0"/>
      <w:i w:val="0"/>
      <w:iCs w:val="0"/>
      <w:noProof/>
    </w:rPr>
  </w:style>
  <w:style w:type="character" w:customStyle="1" w:styleId="ForeignBengaliScript">
    <w:name w:val="Foreign: BengaliScript"/>
    <w:basedOn w:val="ForeignDevanagariScript0"/>
    <w:uiPriority w:val="1"/>
    <w:qFormat/>
    <w:rPr>
      <w:rFonts w:ascii="Tiro Devanagari Sanskrit" w:hAnsi="Tiro Devanagari Sanskrit" w:cs="Tiro Devanagari Sanskrit"/>
      <w:b w:val="0"/>
      <w:bCs w:val="0"/>
      <w:i w:val="0"/>
      <w:iCs w:val="0"/>
      <w:noProof/>
    </w:rPr>
  </w:style>
  <w:style w:type="character" w:customStyle="1" w:styleId="ForeignTamilGrantha0">
    <w:name w:val="Foreign: TamilGrantha"/>
    <w:basedOn w:val="ForeignTamilScript"/>
    <w:uiPriority w:val="1"/>
    <w:qFormat/>
    <w:rPr>
      <w:rFonts w:ascii="Noto Sans Grantha" w:hAnsi="Noto Sans Grantha" w:cs="Noto Sans Grantha"/>
      <w:b w:val="0"/>
      <w:bCs w:val="0"/>
      <w:i w:val="0"/>
      <w:iCs w:val="0"/>
      <w:noProof/>
      <w:szCs w:val="24"/>
    </w:rPr>
  </w:style>
  <w:style w:type="table" w:customStyle="1" w:styleId="TGtableblank">
    <w:name w:val="TG table blank"/>
    <w:basedOn w:val="Normltblzat"/>
    <w:uiPriority w:val="99"/>
    <w:pPr>
      <w:widowControl/>
      <w:ind w:left="0"/>
      <w:jc w:val="left"/>
    </w:pPr>
    <w:rPr>
      <w:rFonts w:ascii="Gentium Plus" w:eastAsia="Arial Unicode MS" w:hAnsi="Gentium Plus" w:cs="Gentium Plus"/>
      <w:lang w:eastAsia="zh-TW"/>
    </w:rPr>
    <w:tblPr/>
  </w:style>
  <w:style w:type="character" w:customStyle="1" w:styleId="TG-Label">
    <w:name w:val="TG-Label"/>
    <w:basedOn w:val="Code"/>
    <w:uiPriority w:val="1"/>
    <w:qFormat/>
    <w:rPr>
      <w:rFonts w:ascii="Calibri" w:hAnsi="Calibri" w:cs="Consolas"/>
      <w:noProof/>
      <w:color w:val="0000FF"/>
      <w:bdr w:val="single" w:sz="4" w:space="0" w:color="auto"/>
      <w:shd w:val="clear" w:color="auto" w:fill="auto"/>
    </w:rPr>
  </w:style>
  <w:style w:type="character" w:customStyle="1" w:styleId="LabelEmph">
    <w:name w:val="LabelEmph"/>
    <w:basedOn w:val="TG-Label"/>
    <w:uiPriority w:val="1"/>
    <w:qFormat/>
    <w:rPr>
      <w:rFonts w:ascii="Calibri" w:hAnsi="Calibri" w:cs="Consolas"/>
      <w:noProof/>
      <w:color w:val="FF0000"/>
      <w:bdr w:val="single" w:sz="4" w:space="0" w:color="auto"/>
      <w:shd w:val="clear" w:color="auto" w:fill="auto"/>
    </w:rPr>
  </w:style>
  <w:style w:type="character" w:customStyle="1" w:styleId="Label">
    <w:name w:val="Label"/>
    <w:basedOn w:val="Code"/>
    <w:uiPriority w:val="1"/>
    <w:qFormat/>
    <w:rPr>
      <w:rFonts w:ascii="Calibri" w:hAnsi="Calibri" w:cs="Consolas"/>
      <w:noProof/>
      <w:color w:val="0000FF"/>
      <w:bdr w:val="single" w:sz="4" w:space="0" w:color="auto"/>
      <w:shd w:val="clear" w:color="auto" w:fill="auto"/>
    </w:rPr>
  </w:style>
  <w:style w:type="character" w:customStyle="1" w:styleId="ForeignTeluguScript">
    <w:name w:val="Foreign: TeluguScript"/>
    <w:basedOn w:val="ForeignKannadaScript"/>
    <w:uiPriority w:val="1"/>
    <w:qFormat/>
    <w:rPr>
      <w:rFonts w:ascii="Tiro Telugu" w:hAnsi="Tiro Telugu" w:cs="Nirmala UI"/>
      <w:b w:val="0"/>
      <w:bCs w:val="0"/>
      <w:i w:val="0"/>
      <w:iCs w:val="0"/>
      <w:noProof/>
    </w:rPr>
  </w:style>
  <w:style w:type="character" w:customStyle="1" w:styleId="ForeignJavaneseScript">
    <w:name w:val="Foreign: JavaneseScript"/>
    <w:basedOn w:val="ForeignBalineseScript"/>
    <w:uiPriority w:val="1"/>
    <w:qFormat/>
    <w:rPr>
      <w:rFonts w:ascii="Javanese Text" w:hAnsi="Javanese Text" w:cs="Javanese Text"/>
      <w:b w:val="0"/>
      <w:bCs w:val="0"/>
      <w:i w:val="0"/>
      <w:iCs w:val="0"/>
      <w:noProof/>
      <w:position w:val="0"/>
      <w:szCs w:val="24"/>
    </w:rPr>
  </w:style>
  <w:style w:type="character" w:customStyle="1" w:styleId="LabelGreen">
    <w:name w:val="LabelGreen"/>
    <w:basedOn w:val="Label"/>
    <w:uiPriority w:val="1"/>
    <w:qFormat/>
    <w:rPr>
      <w:rFonts w:ascii="Calibri" w:hAnsi="Calibri" w:cs="Consolas"/>
      <w:noProof/>
      <w:color w:val="4F6228" w:themeColor="accent3" w:themeShade="80"/>
      <w:bdr w:val="single" w:sz="4" w:space="0" w:color="auto"/>
      <w:shd w:val="clear" w:color="auto" w:fill="auto"/>
    </w:rPr>
  </w:style>
  <w:style w:type="character" w:customStyle="1" w:styleId="ForeignSharadaScript">
    <w:name w:val="Foreign: SharadaScript"/>
    <w:basedOn w:val="ForeignDevanagariScript0"/>
    <w:uiPriority w:val="1"/>
    <w:qFormat/>
    <w:rPr>
      <w:rFonts w:ascii="Satisar Sharada" w:hAnsi="Satisar Sharada" w:cs="Tiro Devanagari Sanskrit"/>
      <w:b w:val="0"/>
      <w:bCs w:val="0"/>
      <w:i w:val="0"/>
      <w:iCs w:val="0"/>
      <w:noProof/>
    </w:rPr>
  </w:style>
  <w:style w:type="character" w:customStyle="1" w:styleId="LabelInformal">
    <w:name w:val="LabelInformal"/>
    <w:basedOn w:val="Code"/>
    <w:uiPriority w:val="1"/>
    <w:qFormat/>
    <w:rPr>
      <w:rFonts w:ascii="Calibri" w:hAnsi="Calibri" w:cs="Consolas"/>
      <w:noProof/>
      <w:color w:val="7F7F7F" w:themeColor="text1" w:themeTint="80"/>
      <w:bdr w:val="single" w:sz="4" w:space="0" w:color="auto"/>
      <w:shd w:val="clear" w:color="auto" w:fill="auto"/>
    </w:rPr>
  </w:style>
  <w:style w:type="character" w:customStyle="1" w:styleId="ForeignGurmukhiScript">
    <w:name w:val="Foreign: GurmukhiScript"/>
    <w:basedOn w:val="ForeignDevanagariScript0"/>
    <w:uiPriority w:val="1"/>
    <w:qFormat/>
    <w:rPr>
      <w:rFonts w:ascii="Raavi" w:hAnsi="Raavi" w:cs="Raavi"/>
      <w:b w:val="0"/>
      <w:bCs w:val="0"/>
      <w:i w:val="0"/>
      <w:iCs w:val="0"/>
      <w:noProof/>
      <w:lang w:bidi="pa-IN"/>
    </w:rPr>
  </w:style>
  <w:style w:type="character" w:customStyle="1" w:styleId="ForeignDingbat">
    <w:name w:val="Foreign: Dingbat"/>
    <w:basedOn w:val="ForeignDevanagariScript0"/>
    <w:uiPriority w:val="1"/>
    <w:qFormat/>
    <w:rPr>
      <w:rFonts w:ascii="Segoe UI Symbol" w:hAnsi="Segoe UI Symbol" w:cs="Cambria Math"/>
      <w:b w:val="0"/>
      <w:bCs w:val="0"/>
      <w:i w:val="0"/>
      <w:iCs w:val="0"/>
      <w:noProof/>
      <w:lang w:eastAsia="en-US" w:bidi="ar-SA"/>
    </w:rPr>
  </w:style>
  <w:style w:type="paragraph" w:styleId="Listaszerbekezds">
    <w:name w:val="List Paragraph"/>
    <w:basedOn w:val="Norml"/>
    <w:uiPriority w:val="34"/>
    <w:qFormat/>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290">
      <w:bodyDiv w:val="1"/>
      <w:marLeft w:val="0"/>
      <w:marRight w:val="0"/>
      <w:marTop w:val="0"/>
      <w:marBottom w:val="0"/>
      <w:divBdr>
        <w:top w:val="none" w:sz="0" w:space="0" w:color="auto"/>
        <w:left w:val="none" w:sz="0" w:space="0" w:color="auto"/>
        <w:bottom w:val="none" w:sz="0" w:space="0" w:color="auto"/>
        <w:right w:val="none" w:sz="0" w:space="0" w:color="auto"/>
      </w:divBdr>
    </w:div>
    <w:div w:id="45421345">
      <w:bodyDiv w:val="1"/>
      <w:marLeft w:val="0"/>
      <w:marRight w:val="0"/>
      <w:marTop w:val="0"/>
      <w:marBottom w:val="0"/>
      <w:divBdr>
        <w:top w:val="none" w:sz="0" w:space="0" w:color="auto"/>
        <w:left w:val="none" w:sz="0" w:space="0" w:color="auto"/>
        <w:bottom w:val="none" w:sz="0" w:space="0" w:color="auto"/>
        <w:right w:val="none" w:sz="0" w:space="0" w:color="auto"/>
      </w:divBdr>
    </w:div>
    <w:div w:id="102959600">
      <w:bodyDiv w:val="1"/>
      <w:marLeft w:val="0"/>
      <w:marRight w:val="0"/>
      <w:marTop w:val="0"/>
      <w:marBottom w:val="0"/>
      <w:divBdr>
        <w:top w:val="none" w:sz="0" w:space="0" w:color="auto"/>
        <w:left w:val="none" w:sz="0" w:space="0" w:color="auto"/>
        <w:bottom w:val="none" w:sz="0" w:space="0" w:color="auto"/>
        <w:right w:val="none" w:sz="0" w:space="0" w:color="auto"/>
      </w:divBdr>
    </w:div>
    <w:div w:id="105395730">
      <w:bodyDiv w:val="1"/>
      <w:marLeft w:val="0"/>
      <w:marRight w:val="0"/>
      <w:marTop w:val="0"/>
      <w:marBottom w:val="0"/>
      <w:divBdr>
        <w:top w:val="none" w:sz="0" w:space="0" w:color="auto"/>
        <w:left w:val="none" w:sz="0" w:space="0" w:color="auto"/>
        <w:bottom w:val="none" w:sz="0" w:space="0" w:color="auto"/>
        <w:right w:val="none" w:sz="0" w:space="0" w:color="auto"/>
      </w:divBdr>
    </w:div>
    <w:div w:id="109521671">
      <w:bodyDiv w:val="1"/>
      <w:marLeft w:val="0"/>
      <w:marRight w:val="0"/>
      <w:marTop w:val="0"/>
      <w:marBottom w:val="0"/>
      <w:divBdr>
        <w:top w:val="none" w:sz="0" w:space="0" w:color="auto"/>
        <w:left w:val="none" w:sz="0" w:space="0" w:color="auto"/>
        <w:bottom w:val="none" w:sz="0" w:space="0" w:color="auto"/>
        <w:right w:val="none" w:sz="0" w:space="0" w:color="auto"/>
      </w:divBdr>
    </w:div>
    <w:div w:id="110049882">
      <w:bodyDiv w:val="1"/>
      <w:marLeft w:val="0"/>
      <w:marRight w:val="0"/>
      <w:marTop w:val="0"/>
      <w:marBottom w:val="0"/>
      <w:divBdr>
        <w:top w:val="none" w:sz="0" w:space="0" w:color="auto"/>
        <w:left w:val="none" w:sz="0" w:space="0" w:color="auto"/>
        <w:bottom w:val="none" w:sz="0" w:space="0" w:color="auto"/>
        <w:right w:val="none" w:sz="0" w:space="0" w:color="auto"/>
      </w:divBdr>
    </w:div>
    <w:div w:id="132603217">
      <w:bodyDiv w:val="1"/>
      <w:marLeft w:val="0"/>
      <w:marRight w:val="0"/>
      <w:marTop w:val="0"/>
      <w:marBottom w:val="0"/>
      <w:divBdr>
        <w:top w:val="none" w:sz="0" w:space="0" w:color="auto"/>
        <w:left w:val="none" w:sz="0" w:space="0" w:color="auto"/>
        <w:bottom w:val="none" w:sz="0" w:space="0" w:color="auto"/>
        <w:right w:val="none" w:sz="0" w:space="0" w:color="auto"/>
      </w:divBdr>
    </w:div>
    <w:div w:id="141891137">
      <w:bodyDiv w:val="1"/>
      <w:marLeft w:val="0"/>
      <w:marRight w:val="0"/>
      <w:marTop w:val="0"/>
      <w:marBottom w:val="0"/>
      <w:divBdr>
        <w:top w:val="none" w:sz="0" w:space="0" w:color="auto"/>
        <w:left w:val="none" w:sz="0" w:space="0" w:color="auto"/>
        <w:bottom w:val="none" w:sz="0" w:space="0" w:color="auto"/>
        <w:right w:val="none" w:sz="0" w:space="0" w:color="auto"/>
      </w:divBdr>
    </w:div>
    <w:div w:id="145973143">
      <w:bodyDiv w:val="1"/>
      <w:marLeft w:val="0"/>
      <w:marRight w:val="0"/>
      <w:marTop w:val="0"/>
      <w:marBottom w:val="0"/>
      <w:divBdr>
        <w:top w:val="none" w:sz="0" w:space="0" w:color="auto"/>
        <w:left w:val="none" w:sz="0" w:space="0" w:color="auto"/>
        <w:bottom w:val="none" w:sz="0" w:space="0" w:color="auto"/>
        <w:right w:val="none" w:sz="0" w:space="0" w:color="auto"/>
      </w:divBdr>
    </w:div>
    <w:div w:id="157312634">
      <w:bodyDiv w:val="1"/>
      <w:marLeft w:val="0"/>
      <w:marRight w:val="0"/>
      <w:marTop w:val="0"/>
      <w:marBottom w:val="0"/>
      <w:divBdr>
        <w:top w:val="none" w:sz="0" w:space="0" w:color="auto"/>
        <w:left w:val="none" w:sz="0" w:space="0" w:color="auto"/>
        <w:bottom w:val="none" w:sz="0" w:space="0" w:color="auto"/>
        <w:right w:val="none" w:sz="0" w:space="0" w:color="auto"/>
      </w:divBdr>
    </w:div>
    <w:div w:id="183329715">
      <w:bodyDiv w:val="1"/>
      <w:marLeft w:val="0"/>
      <w:marRight w:val="0"/>
      <w:marTop w:val="0"/>
      <w:marBottom w:val="0"/>
      <w:divBdr>
        <w:top w:val="none" w:sz="0" w:space="0" w:color="auto"/>
        <w:left w:val="none" w:sz="0" w:space="0" w:color="auto"/>
        <w:bottom w:val="none" w:sz="0" w:space="0" w:color="auto"/>
        <w:right w:val="none" w:sz="0" w:space="0" w:color="auto"/>
      </w:divBdr>
    </w:div>
    <w:div w:id="193005767">
      <w:bodyDiv w:val="1"/>
      <w:marLeft w:val="0"/>
      <w:marRight w:val="0"/>
      <w:marTop w:val="0"/>
      <w:marBottom w:val="0"/>
      <w:divBdr>
        <w:top w:val="none" w:sz="0" w:space="0" w:color="auto"/>
        <w:left w:val="none" w:sz="0" w:space="0" w:color="auto"/>
        <w:bottom w:val="none" w:sz="0" w:space="0" w:color="auto"/>
        <w:right w:val="none" w:sz="0" w:space="0" w:color="auto"/>
      </w:divBdr>
    </w:div>
    <w:div w:id="211619433">
      <w:bodyDiv w:val="1"/>
      <w:marLeft w:val="0"/>
      <w:marRight w:val="0"/>
      <w:marTop w:val="0"/>
      <w:marBottom w:val="0"/>
      <w:divBdr>
        <w:top w:val="none" w:sz="0" w:space="0" w:color="auto"/>
        <w:left w:val="none" w:sz="0" w:space="0" w:color="auto"/>
        <w:bottom w:val="none" w:sz="0" w:space="0" w:color="auto"/>
        <w:right w:val="none" w:sz="0" w:space="0" w:color="auto"/>
      </w:divBdr>
      <w:divsChild>
        <w:div w:id="11954811">
          <w:marLeft w:val="480"/>
          <w:marRight w:val="0"/>
          <w:marTop w:val="0"/>
          <w:marBottom w:val="0"/>
          <w:divBdr>
            <w:top w:val="none" w:sz="0" w:space="0" w:color="auto"/>
            <w:left w:val="none" w:sz="0" w:space="0" w:color="auto"/>
            <w:bottom w:val="none" w:sz="0" w:space="0" w:color="auto"/>
            <w:right w:val="none" w:sz="0" w:space="0" w:color="auto"/>
          </w:divBdr>
          <w:divsChild>
            <w:div w:id="24210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2970">
      <w:bodyDiv w:val="1"/>
      <w:marLeft w:val="0"/>
      <w:marRight w:val="0"/>
      <w:marTop w:val="0"/>
      <w:marBottom w:val="0"/>
      <w:divBdr>
        <w:top w:val="none" w:sz="0" w:space="0" w:color="auto"/>
        <w:left w:val="none" w:sz="0" w:space="0" w:color="auto"/>
        <w:bottom w:val="none" w:sz="0" w:space="0" w:color="auto"/>
        <w:right w:val="none" w:sz="0" w:space="0" w:color="auto"/>
      </w:divBdr>
    </w:div>
    <w:div w:id="264776259">
      <w:bodyDiv w:val="1"/>
      <w:marLeft w:val="0"/>
      <w:marRight w:val="0"/>
      <w:marTop w:val="0"/>
      <w:marBottom w:val="0"/>
      <w:divBdr>
        <w:top w:val="none" w:sz="0" w:space="0" w:color="auto"/>
        <w:left w:val="none" w:sz="0" w:space="0" w:color="auto"/>
        <w:bottom w:val="none" w:sz="0" w:space="0" w:color="auto"/>
        <w:right w:val="none" w:sz="0" w:space="0" w:color="auto"/>
      </w:divBdr>
    </w:div>
    <w:div w:id="279192214">
      <w:bodyDiv w:val="1"/>
      <w:marLeft w:val="0"/>
      <w:marRight w:val="0"/>
      <w:marTop w:val="0"/>
      <w:marBottom w:val="0"/>
      <w:divBdr>
        <w:top w:val="none" w:sz="0" w:space="0" w:color="auto"/>
        <w:left w:val="none" w:sz="0" w:space="0" w:color="auto"/>
        <w:bottom w:val="none" w:sz="0" w:space="0" w:color="auto"/>
        <w:right w:val="none" w:sz="0" w:space="0" w:color="auto"/>
      </w:divBdr>
    </w:div>
    <w:div w:id="315038910">
      <w:bodyDiv w:val="1"/>
      <w:marLeft w:val="0"/>
      <w:marRight w:val="0"/>
      <w:marTop w:val="0"/>
      <w:marBottom w:val="0"/>
      <w:divBdr>
        <w:top w:val="none" w:sz="0" w:space="0" w:color="auto"/>
        <w:left w:val="none" w:sz="0" w:space="0" w:color="auto"/>
        <w:bottom w:val="none" w:sz="0" w:space="0" w:color="auto"/>
        <w:right w:val="none" w:sz="0" w:space="0" w:color="auto"/>
      </w:divBdr>
    </w:div>
    <w:div w:id="403528943">
      <w:bodyDiv w:val="1"/>
      <w:marLeft w:val="0"/>
      <w:marRight w:val="0"/>
      <w:marTop w:val="0"/>
      <w:marBottom w:val="0"/>
      <w:divBdr>
        <w:top w:val="none" w:sz="0" w:space="0" w:color="auto"/>
        <w:left w:val="none" w:sz="0" w:space="0" w:color="auto"/>
        <w:bottom w:val="none" w:sz="0" w:space="0" w:color="auto"/>
        <w:right w:val="none" w:sz="0" w:space="0" w:color="auto"/>
      </w:divBdr>
    </w:div>
    <w:div w:id="430588830">
      <w:bodyDiv w:val="1"/>
      <w:marLeft w:val="0"/>
      <w:marRight w:val="0"/>
      <w:marTop w:val="0"/>
      <w:marBottom w:val="0"/>
      <w:divBdr>
        <w:top w:val="none" w:sz="0" w:space="0" w:color="auto"/>
        <w:left w:val="none" w:sz="0" w:space="0" w:color="auto"/>
        <w:bottom w:val="none" w:sz="0" w:space="0" w:color="auto"/>
        <w:right w:val="none" w:sz="0" w:space="0" w:color="auto"/>
      </w:divBdr>
    </w:div>
    <w:div w:id="437071191">
      <w:bodyDiv w:val="1"/>
      <w:marLeft w:val="0"/>
      <w:marRight w:val="0"/>
      <w:marTop w:val="0"/>
      <w:marBottom w:val="0"/>
      <w:divBdr>
        <w:top w:val="none" w:sz="0" w:space="0" w:color="auto"/>
        <w:left w:val="none" w:sz="0" w:space="0" w:color="auto"/>
        <w:bottom w:val="none" w:sz="0" w:space="0" w:color="auto"/>
        <w:right w:val="none" w:sz="0" w:space="0" w:color="auto"/>
      </w:divBdr>
    </w:div>
    <w:div w:id="471562700">
      <w:bodyDiv w:val="1"/>
      <w:marLeft w:val="0"/>
      <w:marRight w:val="0"/>
      <w:marTop w:val="0"/>
      <w:marBottom w:val="0"/>
      <w:divBdr>
        <w:top w:val="none" w:sz="0" w:space="0" w:color="auto"/>
        <w:left w:val="none" w:sz="0" w:space="0" w:color="auto"/>
        <w:bottom w:val="none" w:sz="0" w:space="0" w:color="auto"/>
        <w:right w:val="none" w:sz="0" w:space="0" w:color="auto"/>
      </w:divBdr>
    </w:div>
    <w:div w:id="485707158">
      <w:bodyDiv w:val="1"/>
      <w:marLeft w:val="0"/>
      <w:marRight w:val="0"/>
      <w:marTop w:val="0"/>
      <w:marBottom w:val="0"/>
      <w:divBdr>
        <w:top w:val="none" w:sz="0" w:space="0" w:color="auto"/>
        <w:left w:val="none" w:sz="0" w:space="0" w:color="auto"/>
        <w:bottom w:val="none" w:sz="0" w:space="0" w:color="auto"/>
        <w:right w:val="none" w:sz="0" w:space="0" w:color="auto"/>
      </w:divBdr>
    </w:div>
    <w:div w:id="509568200">
      <w:bodyDiv w:val="1"/>
      <w:marLeft w:val="0"/>
      <w:marRight w:val="0"/>
      <w:marTop w:val="0"/>
      <w:marBottom w:val="0"/>
      <w:divBdr>
        <w:top w:val="none" w:sz="0" w:space="0" w:color="auto"/>
        <w:left w:val="none" w:sz="0" w:space="0" w:color="auto"/>
        <w:bottom w:val="none" w:sz="0" w:space="0" w:color="auto"/>
        <w:right w:val="none" w:sz="0" w:space="0" w:color="auto"/>
      </w:divBdr>
    </w:div>
    <w:div w:id="540214831">
      <w:bodyDiv w:val="1"/>
      <w:marLeft w:val="0"/>
      <w:marRight w:val="0"/>
      <w:marTop w:val="0"/>
      <w:marBottom w:val="0"/>
      <w:divBdr>
        <w:top w:val="none" w:sz="0" w:space="0" w:color="auto"/>
        <w:left w:val="none" w:sz="0" w:space="0" w:color="auto"/>
        <w:bottom w:val="none" w:sz="0" w:space="0" w:color="auto"/>
        <w:right w:val="none" w:sz="0" w:space="0" w:color="auto"/>
      </w:divBdr>
    </w:div>
    <w:div w:id="565577944">
      <w:bodyDiv w:val="1"/>
      <w:marLeft w:val="0"/>
      <w:marRight w:val="0"/>
      <w:marTop w:val="0"/>
      <w:marBottom w:val="0"/>
      <w:divBdr>
        <w:top w:val="none" w:sz="0" w:space="0" w:color="auto"/>
        <w:left w:val="none" w:sz="0" w:space="0" w:color="auto"/>
        <w:bottom w:val="none" w:sz="0" w:space="0" w:color="auto"/>
        <w:right w:val="none" w:sz="0" w:space="0" w:color="auto"/>
      </w:divBdr>
    </w:div>
    <w:div w:id="574362720">
      <w:bodyDiv w:val="1"/>
      <w:marLeft w:val="0"/>
      <w:marRight w:val="0"/>
      <w:marTop w:val="0"/>
      <w:marBottom w:val="0"/>
      <w:divBdr>
        <w:top w:val="none" w:sz="0" w:space="0" w:color="auto"/>
        <w:left w:val="none" w:sz="0" w:space="0" w:color="auto"/>
        <w:bottom w:val="none" w:sz="0" w:space="0" w:color="auto"/>
        <w:right w:val="none" w:sz="0" w:space="0" w:color="auto"/>
      </w:divBdr>
    </w:div>
    <w:div w:id="575744209">
      <w:bodyDiv w:val="1"/>
      <w:marLeft w:val="0"/>
      <w:marRight w:val="0"/>
      <w:marTop w:val="0"/>
      <w:marBottom w:val="0"/>
      <w:divBdr>
        <w:top w:val="none" w:sz="0" w:space="0" w:color="auto"/>
        <w:left w:val="none" w:sz="0" w:space="0" w:color="auto"/>
        <w:bottom w:val="none" w:sz="0" w:space="0" w:color="auto"/>
        <w:right w:val="none" w:sz="0" w:space="0" w:color="auto"/>
      </w:divBdr>
    </w:div>
    <w:div w:id="597524147">
      <w:bodyDiv w:val="1"/>
      <w:marLeft w:val="0"/>
      <w:marRight w:val="0"/>
      <w:marTop w:val="0"/>
      <w:marBottom w:val="0"/>
      <w:divBdr>
        <w:top w:val="none" w:sz="0" w:space="0" w:color="auto"/>
        <w:left w:val="none" w:sz="0" w:space="0" w:color="auto"/>
        <w:bottom w:val="none" w:sz="0" w:space="0" w:color="auto"/>
        <w:right w:val="none" w:sz="0" w:space="0" w:color="auto"/>
      </w:divBdr>
    </w:div>
    <w:div w:id="609238002">
      <w:bodyDiv w:val="1"/>
      <w:marLeft w:val="0"/>
      <w:marRight w:val="0"/>
      <w:marTop w:val="0"/>
      <w:marBottom w:val="0"/>
      <w:divBdr>
        <w:top w:val="none" w:sz="0" w:space="0" w:color="auto"/>
        <w:left w:val="none" w:sz="0" w:space="0" w:color="auto"/>
        <w:bottom w:val="none" w:sz="0" w:space="0" w:color="auto"/>
        <w:right w:val="none" w:sz="0" w:space="0" w:color="auto"/>
      </w:divBdr>
    </w:div>
    <w:div w:id="612976669">
      <w:bodyDiv w:val="1"/>
      <w:marLeft w:val="0"/>
      <w:marRight w:val="0"/>
      <w:marTop w:val="0"/>
      <w:marBottom w:val="0"/>
      <w:divBdr>
        <w:top w:val="none" w:sz="0" w:space="0" w:color="auto"/>
        <w:left w:val="none" w:sz="0" w:space="0" w:color="auto"/>
        <w:bottom w:val="none" w:sz="0" w:space="0" w:color="auto"/>
        <w:right w:val="none" w:sz="0" w:space="0" w:color="auto"/>
      </w:divBdr>
      <w:divsChild>
        <w:div w:id="23212860">
          <w:marLeft w:val="480"/>
          <w:marRight w:val="0"/>
          <w:marTop w:val="0"/>
          <w:marBottom w:val="0"/>
          <w:divBdr>
            <w:top w:val="none" w:sz="0" w:space="0" w:color="auto"/>
            <w:left w:val="none" w:sz="0" w:space="0" w:color="auto"/>
            <w:bottom w:val="none" w:sz="0" w:space="0" w:color="auto"/>
            <w:right w:val="none" w:sz="0" w:space="0" w:color="auto"/>
          </w:divBdr>
          <w:divsChild>
            <w:div w:id="19344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6736">
      <w:bodyDiv w:val="1"/>
      <w:marLeft w:val="0"/>
      <w:marRight w:val="0"/>
      <w:marTop w:val="0"/>
      <w:marBottom w:val="0"/>
      <w:divBdr>
        <w:top w:val="none" w:sz="0" w:space="0" w:color="auto"/>
        <w:left w:val="none" w:sz="0" w:space="0" w:color="auto"/>
        <w:bottom w:val="none" w:sz="0" w:space="0" w:color="auto"/>
        <w:right w:val="none" w:sz="0" w:space="0" w:color="auto"/>
      </w:divBdr>
    </w:div>
    <w:div w:id="665136187">
      <w:bodyDiv w:val="1"/>
      <w:marLeft w:val="0"/>
      <w:marRight w:val="0"/>
      <w:marTop w:val="0"/>
      <w:marBottom w:val="0"/>
      <w:divBdr>
        <w:top w:val="none" w:sz="0" w:space="0" w:color="auto"/>
        <w:left w:val="none" w:sz="0" w:space="0" w:color="auto"/>
        <w:bottom w:val="none" w:sz="0" w:space="0" w:color="auto"/>
        <w:right w:val="none" w:sz="0" w:space="0" w:color="auto"/>
      </w:divBdr>
    </w:div>
    <w:div w:id="696613784">
      <w:bodyDiv w:val="1"/>
      <w:marLeft w:val="0"/>
      <w:marRight w:val="0"/>
      <w:marTop w:val="0"/>
      <w:marBottom w:val="0"/>
      <w:divBdr>
        <w:top w:val="none" w:sz="0" w:space="0" w:color="auto"/>
        <w:left w:val="none" w:sz="0" w:space="0" w:color="auto"/>
        <w:bottom w:val="none" w:sz="0" w:space="0" w:color="auto"/>
        <w:right w:val="none" w:sz="0" w:space="0" w:color="auto"/>
      </w:divBdr>
    </w:div>
    <w:div w:id="704526947">
      <w:bodyDiv w:val="1"/>
      <w:marLeft w:val="0"/>
      <w:marRight w:val="0"/>
      <w:marTop w:val="0"/>
      <w:marBottom w:val="0"/>
      <w:divBdr>
        <w:top w:val="none" w:sz="0" w:space="0" w:color="auto"/>
        <w:left w:val="none" w:sz="0" w:space="0" w:color="auto"/>
        <w:bottom w:val="none" w:sz="0" w:space="0" w:color="auto"/>
        <w:right w:val="none" w:sz="0" w:space="0" w:color="auto"/>
      </w:divBdr>
    </w:div>
    <w:div w:id="725030592">
      <w:bodyDiv w:val="1"/>
      <w:marLeft w:val="0"/>
      <w:marRight w:val="0"/>
      <w:marTop w:val="0"/>
      <w:marBottom w:val="0"/>
      <w:divBdr>
        <w:top w:val="none" w:sz="0" w:space="0" w:color="auto"/>
        <w:left w:val="none" w:sz="0" w:space="0" w:color="auto"/>
        <w:bottom w:val="none" w:sz="0" w:space="0" w:color="auto"/>
        <w:right w:val="none" w:sz="0" w:space="0" w:color="auto"/>
      </w:divBdr>
    </w:div>
    <w:div w:id="757599133">
      <w:bodyDiv w:val="1"/>
      <w:marLeft w:val="0"/>
      <w:marRight w:val="0"/>
      <w:marTop w:val="0"/>
      <w:marBottom w:val="0"/>
      <w:divBdr>
        <w:top w:val="none" w:sz="0" w:space="0" w:color="auto"/>
        <w:left w:val="none" w:sz="0" w:space="0" w:color="auto"/>
        <w:bottom w:val="none" w:sz="0" w:space="0" w:color="auto"/>
        <w:right w:val="none" w:sz="0" w:space="0" w:color="auto"/>
      </w:divBdr>
    </w:div>
    <w:div w:id="801309072">
      <w:bodyDiv w:val="1"/>
      <w:marLeft w:val="0"/>
      <w:marRight w:val="0"/>
      <w:marTop w:val="0"/>
      <w:marBottom w:val="0"/>
      <w:divBdr>
        <w:top w:val="none" w:sz="0" w:space="0" w:color="auto"/>
        <w:left w:val="none" w:sz="0" w:space="0" w:color="auto"/>
        <w:bottom w:val="none" w:sz="0" w:space="0" w:color="auto"/>
        <w:right w:val="none" w:sz="0" w:space="0" w:color="auto"/>
      </w:divBdr>
    </w:div>
    <w:div w:id="819157559">
      <w:bodyDiv w:val="1"/>
      <w:marLeft w:val="0"/>
      <w:marRight w:val="0"/>
      <w:marTop w:val="0"/>
      <w:marBottom w:val="0"/>
      <w:divBdr>
        <w:top w:val="none" w:sz="0" w:space="0" w:color="auto"/>
        <w:left w:val="none" w:sz="0" w:space="0" w:color="auto"/>
        <w:bottom w:val="none" w:sz="0" w:space="0" w:color="auto"/>
        <w:right w:val="none" w:sz="0" w:space="0" w:color="auto"/>
      </w:divBdr>
    </w:div>
    <w:div w:id="882331959">
      <w:bodyDiv w:val="1"/>
      <w:marLeft w:val="0"/>
      <w:marRight w:val="0"/>
      <w:marTop w:val="0"/>
      <w:marBottom w:val="0"/>
      <w:divBdr>
        <w:top w:val="none" w:sz="0" w:space="0" w:color="auto"/>
        <w:left w:val="none" w:sz="0" w:space="0" w:color="auto"/>
        <w:bottom w:val="none" w:sz="0" w:space="0" w:color="auto"/>
        <w:right w:val="none" w:sz="0" w:space="0" w:color="auto"/>
      </w:divBdr>
    </w:div>
    <w:div w:id="916087369">
      <w:bodyDiv w:val="1"/>
      <w:marLeft w:val="0"/>
      <w:marRight w:val="0"/>
      <w:marTop w:val="0"/>
      <w:marBottom w:val="0"/>
      <w:divBdr>
        <w:top w:val="none" w:sz="0" w:space="0" w:color="auto"/>
        <w:left w:val="none" w:sz="0" w:space="0" w:color="auto"/>
        <w:bottom w:val="none" w:sz="0" w:space="0" w:color="auto"/>
        <w:right w:val="none" w:sz="0" w:space="0" w:color="auto"/>
      </w:divBdr>
    </w:div>
    <w:div w:id="948009768">
      <w:bodyDiv w:val="1"/>
      <w:marLeft w:val="0"/>
      <w:marRight w:val="0"/>
      <w:marTop w:val="0"/>
      <w:marBottom w:val="0"/>
      <w:divBdr>
        <w:top w:val="none" w:sz="0" w:space="0" w:color="auto"/>
        <w:left w:val="none" w:sz="0" w:space="0" w:color="auto"/>
        <w:bottom w:val="none" w:sz="0" w:space="0" w:color="auto"/>
        <w:right w:val="none" w:sz="0" w:space="0" w:color="auto"/>
      </w:divBdr>
    </w:div>
    <w:div w:id="972053480">
      <w:bodyDiv w:val="1"/>
      <w:marLeft w:val="0"/>
      <w:marRight w:val="0"/>
      <w:marTop w:val="0"/>
      <w:marBottom w:val="0"/>
      <w:divBdr>
        <w:top w:val="none" w:sz="0" w:space="0" w:color="auto"/>
        <w:left w:val="none" w:sz="0" w:space="0" w:color="auto"/>
        <w:bottom w:val="none" w:sz="0" w:space="0" w:color="auto"/>
        <w:right w:val="none" w:sz="0" w:space="0" w:color="auto"/>
      </w:divBdr>
    </w:div>
    <w:div w:id="997810290">
      <w:bodyDiv w:val="1"/>
      <w:marLeft w:val="0"/>
      <w:marRight w:val="0"/>
      <w:marTop w:val="0"/>
      <w:marBottom w:val="0"/>
      <w:divBdr>
        <w:top w:val="none" w:sz="0" w:space="0" w:color="auto"/>
        <w:left w:val="none" w:sz="0" w:space="0" w:color="auto"/>
        <w:bottom w:val="none" w:sz="0" w:space="0" w:color="auto"/>
        <w:right w:val="none" w:sz="0" w:space="0" w:color="auto"/>
      </w:divBdr>
      <w:divsChild>
        <w:div w:id="1052116420">
          <w:marLeft w:val="480"/>
          <w:marRight w:val="0"/>
          <w:marTop w:val="0"/>
          <w:marBottom w:val="0"/>
          <w:divBdr>
            <w:top w:val="none" w:sz="0" w:space="0" w:color="auto"/>
            <w:left w:val="none" w:sz="0" w:space="0" w:color="auto"/>
            <w:bottom w:val="none" w:sz="0" w:space="0" w:color="auto"/>
            <w:right w:val="none" w:sz="0" w:space="0" w:color="auto"/>
          </w:divBdr>
          <w:divsChild>
            <w:div w:id="36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901293">
      <w:bodyDiv w:val="1"/>
      <w:marLeft w:val="0"/>
      <w:marRight w:val="0"/>
      <w:marTop w:val="0"/>
      <w:marBottom w:val="0"/>
      <w:divBdr>
        <w:top w:val="none" w:sz="0" w:space="0" w:color="auto"/>
        <w:left w:val="none" w:sz="0" w:space="0" w:color="auto"/>
        <w:bottom w:val="none" w:sz="0" w:space="0" w:color="auto"/>
        <w:right w:val="none" w:sz="0" w:space="0" w:color="auto"/>
      </w:divBdr>
    </w:div>
    <w:div w:id="1007513102">
      <w:bodyDiv w:val="1"/>
      <w:marLeft w:val="0"/>
      <w:marRight w:val="0"/>
      <w:marTop w:val="0"/>
      <w:marBottom w:val="0"/>
      <w:divBdr>
        <w:top w:val="none" w:sz="0" w:space="0" w:color="auto"/>
        <w:left w:val="none" w:sz="0" w:space="0" w:color="auto"/>
        <w:bottom w:val="none" w:sz="0" w:space="0" w:color="auto"/>
        <w:right w:val="none" w:sz="0" w:space="0" w:color="auto"/>
      </w:divBdr>
    </w:div>
    <w:div w:id="1065179567">
      <w:bodyDiv w:val="1"/>
      <w:marLeft w:val="0"/>
      <w:marRight w:val="0"/>
      <w:marTop w:val="0"/>
      <w:marBottom w:val="0"/>
      <w:divBdr>
        <w:top w:val="none" w:sz="0" w:space="0" w:color="auto"/>
        <w:left w:val="none" w:sz="0" w:space="0" w:color="auto"/>
        <w:bottom w:val="none" w:sz="0" w:space="0" w:color="auto"/>
        <w:right w:val="none" w:sz="0" w:space="0" w:color="auto"/>
      </w:divBdr>
    </w:div>
    <w:div w:id="1129861277">
      <w:bodyDiv w:val="1"/>
      <w:marLeft w:val="0"/>
      <w:marRight w:val="0"/>
      <w:marTop w:val="0"/>
      <w:marBottom w:val="0"/>
      <w:divBdr>
        <w:top w:val="none" w:sz="0" w:space="0" w:color="auto"/>
        <w:left w:val="none" w:sz="0" w:space="0" w:color="auto"/>
        <w:bottom w:val="none" w:sz="0" w:space="0" w:color="auto"/>
        <w:right w:val="none" w:sz="0" w:space="0" w:color="auto"/>
      </w:divBdr>
    </w:div>
    <w:div w:id="1132090427">
      <w:bodyDiv w:val="1"/>
      <w:marLeft w:val="0"/>
      <w:marRight w:val="0"/>
      <w:marTop w:val="0"/>
      <w:marBottom w:val="0"/>
      <w:divBdr>
        <w:top w:val="none" w:sz="0" w:space="0" w:color="auto"/>
        <w:left w:val="none" w:sz="0" w:space="0" w:color="auto"/>
        <w:bottom w:val="none" w:sz="0" w:space="0" w:color="auto"/>
        <w:right w:val="none" w:sz="0" w:space="0" w:color="auto"/>
      </w:divBdr>
    </w:div>
    <w:div w:id="1142430154">
      <w:bodyDiv w:val="1"/>
      <w:marLeft w:val="0"/>
      <w:marRight w:val="0"/>
      <w:marTop w:val="0"/>
      <w:marBottom w:val="0"/>
      <w:divBdr>
        <w:top w:val="none" w:sz="0" w:space="0" w:color="auto"/>
        <w:left w:val="none" w:sz="0" w:space="0" w:color="auto"/>
        <w:bottom w:val="none" w:sz="0" w:space="0" w:color="auto"/>
        <w:right w:val="none" w:sz="0" w:space="0" w:color="auto"/>
      </w:divBdr>
    </w:div>
    <w:div w:id="1166827826">
      <w:bodyDiv w:val="1"/>
      <w:marLeft w:val="0"/>
      <w:marRight w:val="0"/>
      <w:marTop w:val="0"/>
      <w:marBottom w:val="0"/>
      <w:divBdr>
        <w:top w:val="none" w:sz="0" w:space="0" w:color="auto"/>
        <w:left w:val="none" w:sz="0" w:space="0" w:color="auto"/>
        <w:bottom w:val="none" w:sz="0" w:space="0" w:color="auto"/>
        <w:right w:val="none" w:sz="0" w:space="0" w:color="auto"/>
      </w:divBdr>
    </w:div>
    <w:div w:id="1181776373">
      <w:bodyDiv w:val="1"/>
      <w:marLeft w:val="0"/>
      <w:marRight w:val="0"/>
      <w:marTop w:val="0"/>
      <w:marBottom w:val="0"/>
      <w:divBdr>
        <w:top w:val="none" w:sz="0" w:space="0" w:color="auto"/>
        <w:left w:val="none" w:sz="0" w:space="0" w:color="auto"/>
        <w:bottom w:val="none" w:sz="0" w:space="0" w:color="auto"/>
        <w:right w:val="none" w:sz="0" w:space="0" w:color="auto"/>
      </w:divBdr>
    </w:div>
    <w:div w:id="1186793211">
      <w:bodyDiv w:val="1"/>
      <w:marLeft w:val="0"/>
      <w:marRight w:val="0"/>
      <w:marTop w:val="0"/>
      <w:marBottom w:val="0"/>
      <w:divBdr>
        <w:top w:val="none" w:sz="0" w:space="0" w:color="auto"/>
        <w:left w:val="none" w:sz="0" w:space="0" w:color="auto"/>
        <w:bottom w:val="none" w:sz="0" w:space="0" w:color="auto"/>
        <w:right w:val="none" w:sz="0" w:space="0" w:color="auto"/>
      </w:divBdr>
      <w:divsChild>
        <w:div w:id="1690522852">
          <w:marLeft w:val="-20"/>
          <w:marRight w:val="0"/>
          <w:marTop w:val="0"/>
          <w:marBottom w:val="0"/>
          <w:divBdr>
            <w:top w:val="none" w:sz="0" w:space="0" w:color="auto"/>
            <w:left w:val="none" w:sz="0" w:space="0" w:color="auto"/>
            <w:bottom w:val="none" w:sz="0" w:space="0" w:color="auto"/>
            <w:right w:val="none" w:sz="0" w:space="0" w:color="auto"/>
          </w:divBdr>
        </w:div>
      </w:divsChild>
    </w:div>
    <w:div w:id="1200823290">
      <w:bodyDiv w:val="1"/>
      <w:marLeft w:val="0"/>
      <w:marRight w:val="0"/>
      <w:marTop w:val="0"/>
      <w:marBottom w:val="0"/>
      <w:divBdr>
        <w:top w:val="none" w:sz="0" w:space="0" w:color="auto"/>
        <w:left w:val="none" w:sz="0" w:space="0" w:color="auto"/>
        <w:bottom w:val="none" w:sz="0" w:space="0" w:color="auto"/>
        <w:right w:val="none" w:sz="0" w:space="0" w:color="auto"/>
      </w:divBdr>
    </w:div>
    <w:div w:id="1204363142">
      <w:bodyDiv w:val="1"/>
      <w:marLeft w:val="0"/>
      <w:marRight w:val="0"/>
      <w:marTop w:val="0"/>
      <w:marBottom w:val="0"/>
      <w:divBdr>
        <w:top w:val="none" w:sz="0" w:space="0" w:color="auto"/>
        <w:left w:val="none" w:sz="0" w:space="0" w:color="auto"/>
        <w:bottom w:val="none" w:sz="0" w:space="0" w:color="auto"/>
        <w:right w:val="none" w:sz="0" w:space="0" w:color="auto"/>
      </w:divBdr>
    </w:div>
    <w:div w:id="1224608296">
      <w:bodyDiv w:val="1"/>
      <w:marLeft w:val="0"/>
      <w:marRight w:val="0"/>
      <w:marTop w:val="0"/>
      <w:marBottom w:val="0"/>
      <w:divBdr>
        <w:top w:val="none" w:sz="0" w:space="0" w:color="auto"/>
        <w:left w:val="none" w:sz="0" w:space="0" w:color="auto"/>
        <w:bottom w:val="none" w:sz="0" w:space="0" w:color="auto"/>
        <w:right w:val="none" w:sz="0" w:space="0" w:color="auto"/>
      </w:divBdr>
    </w:div>
    <w:div w:id="1247305847">
      <w:bodyDiv w:val="1"/>
      <w:marLeft w:val="0"/>
      <w:marRight w:val="0"/>
      <w:marTop w:val="0"/>
      <w:marBottom w:val="0"/>
      <w:divBdr>
        <w:top w:val="none" w:sz="0" w:space="0" w:color="auto"/>
        <w:left w:val="none" w:sz="0" w:space="0" w:color="auto"/>
        <w:bottom w:val="none" w:sz="0" w:space="0" w:color="auto"/>
        <w:right w:val="none" w:sz="0" w:space="0" w:color="auto"/>
      </w:divBdr>
    </w:div>
    <w:div w:id="1250115219">
      <w:bodyDiv w:val="1"/>
      <w:marLeft w:val="0"/>
      <w:marRight w:val="0"/>
      <w:marTop w:val="0"/>
      <w:marBottom w:val="0"/>
      <w:divBdr>
        <w:top w:val="none" w:sz="0" w:space="0" w:color="auto"/>
        <w:left w:val="none" w:sz="0" w:space="0" w:color="auto"/>
        <w:bottom w:val="none" w:sz="0" w:space="0" w:color="auto"/>
        <w:right w:val="none" w:sz="0" w:space="0" w:color="auto"/>
      </w:divBdr>
    </w:div>
    <w:div w:id="1279488718">
      <w:bodyDiv w:val="1"/>
      <w:marLeft w:val="0"/>
      <w:marRight w:val="0"/>
      <w:marTop w:val="0"/>
      <w:marBottom w:val="0"/>
      <w:divBdr>
        <w:top w:val="none" w:sz="0" w:space="0" w:color="auto"/>
        <w:left w:val="none" w:sz="0" w:space="0" w:color="auto"/>
        <w:bottom w:val="none" w:sz="0" w:space="0" w:color="auto"/>
        <w:right w:val="none" w:sz="0" w:space="0" w:color="auto"/>
      </w:divBdr>
    </w:div>
    <w:div w:id="1291745147">
      <w:bodyDiv w:val="1"/>
      <w:marLeft w:val="0"/>
      <w:marRight w:val="0"/>
      <w:marTop w:val="0"/>
      <w:marBottom w:val="0"/>
      <w:divBdr>
        <w:top w:val="none" w:sz="0" w:space="0" w:color="auto"/>
        <w:left w:val="none" w:sz="0" w:space="0" w:color="auto"/>
        <w:bottom w:val="none" w:sz="0" w:space="0" w:color="auto"/>
        <w:right w:val="none" w:sz="0" w:space="0" w:color="auto"/>
      </w:divBdr>
    </w:div>
    <w:div w:id="1315719046">
      <w:bodyDiv w:val="1"/>
      <w:marLeft w:val="0"/>
      <w:marRight w:val="0"/>
      <w:marTop w:val="0"/>
      <w:marBottom w:val="0"/>
      <w:divBdr>
        <w:top w:val="none" w:sz="0" w:space="0" w:color="auto"/>
        <w:left w:val="none" w:sz="0" w:space="0" w:color="auto"/>
        <w:bottom w:val="none" w:sz="0" w:space="0" w:color="auto"/>
        <w:right w:val="none" w:sz="0" w:space="0" w:color="auto"/>
      </w:divBdr>
    </w:div>
    <w:div w:id="1327708922">
      <w:bodyDiv w:val="1"/>
      <w:marLeft w:val="0"/>
      <w:marRight w:val="0"/>
      <w:marTop w:val="0"/>
      <w:marBottom w:val="0"/>
      <w:divBdr>
        <w:top w:val="none" w:sz="0" w:space="0" w:color="auto"/>
        <w:left w:val="none" w:sz="0" w:space="0" w:color="auto"/>
        <w:bottom w:val="none" w:sz="0" w:space="0" w:color="auto"/>
        <w:right w:val="none" w:sz="0" w:space="0" w:color="auto"/>
      </w:divBdr>
    </w:div>
    <w:div w:id="1329554844">
      <w:bodyDiv w:val="1"/>
      <w:marLeft w:val="0"/>
      <w:marRight w:val="0"/>
      <w:marTop w:val="0"/>
      <w:marBottom w:val="0"/>
      <w:divBdr>
        <w:top w:val="none" w:sz="0" w:space="0" w:color="auto"/>
        <w:left w:val="none" w:sz="0" w:space="0" w:color="auto"/>
        <w:bottom w:val="none" w:sz="0" w:space="0" w:color="auto"/>
        <w:right w:val="none" w:sz="0" w:space="0" w:color="auto"/>
      </w:divBdr>
    </w:div>
    <w:div w:id="1352874006">
      <w:bodyDiv w:val="1"/>
      <w:marLeft w:val="0"/>
      <w:marRight w:val="0"/>
      <w:marTop w:val="0"/>
      <w:marBottom w:val="0"/>
      <w:divBdr>
        <w:top w:val="none" w:sz="0" w:space="0" w:color="auto"/>
        <w:left w:val="none" w:sz="0" w:space="0" w:color="auto"/>
        <w:bottom w:val="none" w:sz="0" w:space="0" w:color="auto"/>
        <w:right w:val="none" w:sz="0" w:space="0" w:color="auto"/>
      </w:divBdr>
    </w:div>
    <w:div w:id="1368872382">
      <w:bodyDiv w:val="1"/>
      <w:marLeft w:val="0"/>
      <w:marRight w:val="0"/>
      <w:marTop w:val="0"/>
      <w:marBottom w:val="0"/>
      <w:divBdr>
        <w:top w:val="none" w:sz="0" w:space="0" w:color="auto"/>
        <w:left w:val="none" w:sz="0" w:space="0" w:color="auto"/>
        <w:bottom w:val="none" w:sz="0" w:space="0" w:color="auto"/>
        <w:right w:val="none" w:sz="0" w:space="0" w:color="auto"/>
      </w:divBdr>
    </w:div>
    <w:div w:id="1402944226">
      <w:bodyDiv w:val="1"/>
      <w:marLeft w:val="0"/>
      <w:marRight w:val="0"/>
      <w:marTop w:val="0"/>
      <w:marBottom w:val="0"/>
      <w:divBdr>
        <w:top w:val="none" w:sz="0" w:space="0" w:color="auto"/>
        <w:left w:val="none" w:sz="0" w:space="0" w:color="auto"/>
        <w:bottom w:val="none" w:sz="0" w:space="0" w:color="auto"/>
        <w:right w:val="none" w:sz="0" w:space="0" w:color="auto"/>
      </w:divBdr>
    </w:div>
    <w:div w:id="1414426317">
      <w:bodyDiv w:val="1"/>
      <w:marLeft w:val="0"/>
      <w:marRight w:val="0"/>
      <w:marTop w:val="0"/>
      <w:marBottom w:val="0"/>
      <w:divBdr>
        <w:top w:val="none" w:sz="0" w:space="0" w:color="auto"/>
        <w:left w:val="none" w:sz="0" w:space="0" w:color="auto"/>
        <w:bottom w:val="none" w:sz="0" w:space="0" w:color="auto"/>
        <w:right w:val="none" w:sz="0" w:space="0" w:color="auto"/>
      </w:divBdr>
    </w:div>
    <w:div w:id="1423448894">
      <w:bodyDiv w:val="1"/>
      <w:marLeft w:val="0"/>
      <w:marRight w:val="0"/>
      <w:marTop w:val="0"/>
      <w:marBottom w:val="0"/>
      <w:divBdr>
        <w:top w:val="none" w:sz="0" w:space="0" w:color="auto"/>
        <w:left w:val="none" w:sz="0" w:space="0" w:color="auto"/>
        <w:bottom w:val="none" w:sz="0" w:space="0" w:color="auto"/>
        <w:right w:val="none" w:sz="0" w:space="0" w:color="auto"/>
      </w:divBdr>
    </w:div>
    <w:div w:id="1449007817">
      <w:bodyDiv w:val="1"/>
      <w:marLeft w:val="0"/>
      <w:marRight w:val="0"/>
      <w:marTop w:val="0"/>
      <w:marBottom w:val="0"/>
      <w:divBdr>
        <w:top w:val="none" w:sz="0" w:space="0" w:color="auto"/>
        <w:left w:val="none" w:sz="0" w:space="0" w:color="auto"/>
        <w:bottom w:val="none" w:sz="0" w:space="0" w:color="auto"/>
        <w:right w:val="none" w:sz="0" w:space="0" w:color="auto"/>
      </w:divBdr>
    </w:div>
    <w:div w:id="1467510145">
      <w:bodyDiv w:val="1"/>
      <w:marLeft w:val="0"/>
      <w:marRight w:val="0"/>
      <w:marTop w:val="0"/>
      <w:marBottom w:val="0"/>
      <w:divBdr>
        <w:top w:val="none" w:sz="0" w:space="0" w:color="auto"/>
        <w:left w:val="none" w:sz="0" w:space="0" w:color="auto"/>
        <w:bottom w:val="none" w:sz="0" w:space="0" w:color="auto"/>
        <w:right w:val="none" w:sz="0" w:space="0" w:color="auto"/>
      </w:divBdr>
    </w:div>
    <w:div w:id="1491628735">
      <w:bodyDiv w:val="1"/>
      <w:marLeft w:val="0"/>
      <w:marRight w:val="0"/>
      <w:marTop w:val="0"/>
      <w:marBottom w:val="0"/>
      <w:divBdr>
        <w:top w:val="none" w:sz="0" w:space="0" w:color="auto"/>
        <w:left w:val="none" w:sz="0" w:space="0" w:color="auto"/>
        <w:bottom w:val="none" w:sz="0" w:space="0" w:color="auto"/>
        <w:right w:val="none" w:sz="0" w:space="0" w:color="auto"/>
      </w:divBdr>
    </w:div>
    <w:div w:id="1554464516">
      <w:bodyDiv w:val="1"/>
      <w:marLeft w:val="0"/>
      <w:marRight w:val="0"/>
      <w:marTop w:val="0"/>
      <w:marBottom w:val="0"/>
      <w:divBdr>
        <w:top w:val="none" w:sz="0" w:space="0" w:color="auto"/>
        <w:left w:val="none" w:sz="0" w:space="0" w:color="auto"/>
        <w:bottom w:val="none" w:sz="0" w:space="0" w:color="auto"/>
        <w:right w:val="none" w:sz="0" w:space="0" w:color="auto"/>
      </w:divBdr>
      <w:divsChild>
        <w:div w:id="128253981">
          <w:marLeft w:val="480"/>
          <w:marRight w:val="0"/>
          <w:marTop w:val="0"/>
          <w:marBottom w:val="0"/>
          <w:divBdr>
            <w:top w:val="none" w:sz="0" w:space="0" w:color="auto"/>
            <w:left w:val="none" w:sz="0" w:space="0" w:color="auto"/>
            <w:bottom w:val="none" w:sz="0" w:space="0" w:color="auto"/>
            <w:right w:val="none" w:sz="0" w:space="0" w:color="auto"/>
          </w:divBdr>
          <w:divsChild>
            <w:div w:id="9211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96009">
      <w:bodyDiv w:val="1"/>
      <w:marLeft w:val="0"/>
      <w:marRight w:val="0"/>
      <w:marTop w:val="0"/>
      <w:marBottom w:val="0"/>
      <w:divBdr>
        <w:top w:val="none" w:sz="0" w:space="0" w:color="auto"/>
        <w:left w:val="none" w:sz="0" w:space="0" w:color="auto"/>
        <w:bottom w:val="none" w:sz="0" w:space="0" w:color="auto"/>
        <w:right w:val="none" w:sz="0" w:space="0" w:color="auto"/>
      </w:divBdr>
      <w:divsChild>
        <w:div w:id="603348450">
          <w:marLeft w:val="480"/>
          <w:marRight w:val="0"/>
          <w:marTop w:val="0"/>
          <w:marBottom w:val="0"/>
          <w:divBdr>
            <w:top w:val="none" w:sz="0" w:space="0" w:color="auto"/>
            <w:left w:val="none" w:sz="0" w:space="0" w:color="auto"/>
            <w:bottom w:val="none" w:sz="0" w:space="0" w:color="auto"/>
            <w:right w:val="none" w:sz="0" w:space="0" w:color="auto"/>
          </w:divBdr>
          <w:divsChild>
            <w:div w:id="29217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72174">
      <w:bodyDiv w:val="1"/>
      <w:marLeft w:val="0"/>
      <w:marRight w:val="0"/>
      <w:marTop w:val="0"/>
      <w:marBottom w:val="0"/>
      <w:divBdr>
        <w:top w:val="none" w:sz="0" w:space="0" w:color="auto"/>
        <w:left w:val="none" w:sz="0" w:space="0" w:color="auto"/>
        <w:bottom w:val="none" w:sz="0" w:space="0" w:color="auto"/>
        <w:right w:val="none" w:sz="0" w:space="0" w:color="auto"/>
      </w:divBdr>
    </w:div>
    <w:div w:id="1606696698">
      <w:bodyDiv w:val="1"/>
      <w:marLeft w:val="0"/>
      <w:marRight w:val="0"/>
      <w:marTop w:val="0"/>
      <w:marBottom w:val="0"/>
      <w:divBdr>
        <w:top w:val="none" w:sz="0" w:space="0" w:color="auto"/>
        <w:left w:val="none" w:sz="0" w:space="0" w:color="auto"/>
        <w:bottom w:val="none" w:sz="0" w:space="0" w:color="auto"/>
        <w:right w:val="none" w:sz="0" w:space="0" w:color="auto"/>
      </w:divBdr>
    </w:div>
    <w:div w:id="1621692634">
      <w:bodyDiv w:val="1"/>
      <w:marLeft w:val="0"/>
      <w:marRight w:val="0"/>
      <w:marTop w:val="0"/>
      <w:marBottom w:val="0"/>
      <w:divBdr>
        <w:top w:val="none" w:sz="0" w:space="0" w:color="auto"/>
        <w:left w:val="none" w:sz="0" w:space="0" w:color="auto"/>
        <w:bottom w:val="none" w:sz="0" w:space="0" w:color="auto"/>
        <w:right w:val="none" w:sz="0" w:space="0" w:color="auto"/>
      </w:divBdr>
    </w:div>
    <w:div w:id="1634603264">
      <w:bodyDiv w:val="1"/>
      <w:marLeft w:val="0"/>
      <w:marRight w:val="0"/>
      <w:marTop w:val="0"/>
      <w:marBottom w:val="0"/>
      <w:divBdr>
        <w:top w:val="none" w:sz="0" w:space="0" w:color="auto"/>
        <w:left w:val="none" w:sz="0" w:space="0" w:color="auto"/>
        <w:bottom w:val="none" w:sz="0" w:space="0" w:color="auto"/>
        <w:right w:val="none" w:sz="0" w:space="0" w:color="auto"/>
      </w:divBdr>
    </w:div>
    <w:div w:id="1655404465">
      <w:bodyDiv w:val="1"/>
      <w:marLeft w:val="0"/>
      <w:marRight w:val="0"/>
      <w:marTop w:val="0"/>
      <w:marBottom w:val="0"/>
      <w:divBdr>
        <w:top w:val="none" w:sz="0" w:space="0" w:color="auto"/>
        <w:left w:val="none" w:sz="0" w:space="0" w:color="auto"/>
        <w:bottom w:val="none" w:sz="0" w:space="0" w:color="auto"/>
        <w:right w:val="none" w:sz="0" w:space="0" w:color="auto"/>
      </w:divBdr>
    </w:div>
    <w:div w:id="1656567996">
      <w:bodyDiv w:val="1"/>
      <w:marLeft w:val="0"/>
      <w:marRight w:val="0"/>
      <w:marTop w:val="0"/>
      <w:marBottom w:val="0"/>
      <w:divBdr>
        <w:top w:val="none" w:sz="0" w:space="0" w:color="auto"/>
        <w:left w:val="none" w:sz="0" w:space="0" w:color="auto"/>
        <w:bottom w:val="none" w:sz="0" w:space="0" w:color="auto"/>
        <w:right w:val="none" w:sz="0" w:space="0" w:color="auto"/>
      </w:divBdr>
    </w:div>
    <w:div w:id="1693602554">
      <w:bodyDiv w:val="1"/>
      <w:marLeft w:val="0"/>
      <w:marRight w:val="0"/>
      <w:marTop w:val="0"/>
      <w:marBottom w:val="0"/>
      <w:divBdr>
        <w:top w:val="none" w:sz="0" w:space="0" w:color="auto"/>
        <w:left w:val="none" w:sz="0" w:space="0" w:color="auto"/>
        <w:bottom w:val="none" w:sz="0" w:space="0" w:color="auto"/>
        <w:right w:val="none" w:sz="0" w:space="0" w:color="auto"/>
      </w:divBdr>
      <w:divsChild>
        <w:div w:id="1184594118">
          <w:marLeft w:val="-20"/>
          <w:marRight w:val="0"/>
          <w:marTop w:val="0"/>
          <w:marBottom w:val="0"/>
          <w:divBdr>
            <w:top w:val="none" w:sz="0" w:space="0" w:color="auto"/>
            <w:left w:val="none" w:sz="0" w:space="0" w:color="auto"/>
            <w:bottom w:val="none" w:sz="0" w:space="0" w:color="auto"/>
            <w:right w:val="none" w:sz="0" w:space="0" w:color="auto"/>
          </w:divBdr>
        </w:div>
      </w:divsChild>
    </w:div>
    <w:div w:id="1706369682">
      <w:bodyDiv w:val="1"/>
      <w:marLeft w:val="0"/>
      <w:marRight w:val="0"/>
      <w:marTop w:val="0"/>
      <w:marBottom w:val="0"/>
      <w:divBdr>
        <w:top w:val="none" w:sz="0" w:space="0" w:color="auto"/>
        <w:left w:val="none" w:sz="0" w:space="0" w:color="auto"/>
        <w:bottom w:val="none" w:sz="0" w:space="0" w:color="auto"/>
        <w:right w:val="none" w:sz="0" w:space="0" w:color="auto"/>
      </w:divBdr>
    </w:div>
    <w:div w:id="1712076084">
      <w:bodyDiv w:val="1"/>
      <w:marLeft w:val="0"/>
      <w:marRight w:val="0"/>
      <w:marTop w:val="0"/>
      <w:marBottom w:val="0"/>
      <w:divBdr>
        <w:top w:val="none" w:sz="0" w:space="0" w:color="auto"/>
        <w:left w:val="none" w:sz="0" w:space="0" w:color="auto"/>
        <w:bottom w:val="none" w:sz="0" w:space="0" w:color="auto"/>
        <w:right w:val="none" w:sz="0" w:space="0" w:color="auto"/>
      </w:divBdr>
    </w:div>
    <w:div w:id="1714883744">
      <w:bodyDiv w:val="1"/>
      <w:marLeft w:val="0"/>
      <w:marRight w:val="0"/>
      <w:marTop w:val="0"/>
      <w:marBottom w:val="0"/>
      <w:divBdr>
        <w:top w:val="none" w:sz="0" w:space="0" w:color="auto"/>
        <w:left w:val="none" w:sz="0" w:space="0" w:color="auto"/>
        <w:bottom w:val="none" w:sz="0" w:space="0" w:color="auto"/>
        <w:right w:val="none" w:sz="0" w:space="0" w:color="auto"/>
      </w:divBdr>
    </w:div>
    <w:div w:id="1721052387">
      <w:bodyDiv w:val="1"/>
      <w:marLeft w:val="0"/>
      <w:marRight w:val="0"/>
      <w:marTop w:val="0"/>
      <w:marBottom w:val="0"/>
      <w:divBdr>
        <w:top w:val="none" w:sz="0" w:space="0" w:color="auto"/>
        <w:left w:val="none" w:sz="0" w:space="0" w:color="auto"/>
        <w:bottom w:val="none" w:sz="0" w:space="0" w:color="auto"/>
        <w:right w:val="none" w:sz="0" w:space="0" w:color="auto"/>
      </w:divBdr>
    </w:div>
    <w:div w:id="1740402044">
      <w:bodyDiv w:val="1"/>
      <w:marLeft w:val="0"/>
      <w:marRight w:val="0"/>
      <w:marTop w:val="0"/>
      <w:marBottom w:val="0"/>
      <w:divBdr>
        <w:top w:val="none" w:sz="0" w:space="0" w:color="auto"/>
        <w:left w:val="none" w:sz="0" w:space="0" w:color="auto"/>
        <w:bottom w:val="none" w:sz="0" w:space="0" w:color="auto"/>
        <w:right w:val="none" w:sz="0" w:space="0" w:color="auto"/>
      </w:divBdr>
    </w:div>
    <w:div w:id="1760788204">
      <w:bodyDiv w:val="1"/>
      <w:marLeft w:val="0"/>
      <w:marRight w:val="0"/>
      <w:marTop w:val="0"/>
      <w:marBottom w:val="0"/>
      <w:divBdr>
        <w:top w:val="none" w:sz="0" w:space="0" w:color="auto"/>
        <w:left w:val="none" w:sz="0" w:space="0" w:color="auto"/>
        <w:bottom w:val="none" w:sz="0" w:space="0" w:color="auto"/>
        <w:right w:val="none" w:sz="0" w:space="0" w:color="auto"/>
      </w:divBdr>
    </w:div>
    <w:div w:id="1784615747">
      <w:bodyDiv w:val="1"/>
      <w:marLeft w:val="0"/>
      <w:marRight w:val="0"/>
      <w:marTop w:val="0"/>
      <w:marBottom w:val="0"/>
      <w:divBdr>
        <w:top w:val="none" w:sz="0" w:space="0" w:color="auto"/>
        <w:left w:val="none" w:sz="0" w:space="0" w:color="auto"/>
        <w:bottom w:val="none" w:sz="0" w:space="0" w:color="auto"/>
        <w:right w:val="none" w:sz="0" w:space="0" w:color="auto"/>
      </w:divBdr>
    </w:div>
    <w:div w:id="1794323378">
      <w:bodyDiv w:val="1"/>
      <w:marLeft w:val="0"/>
      <w:marRight w:val="0"/>
      <w:marTop w:val="0"/>
      <w:marBottom w:val="0"/>
      <w:divBdr>
        <w:top w:val="none" w:sz="0" w:space="0" w:color="auto"/>
        <w:left w:val="none" w:sz="0" w:space="0" w:color="auto"/>
        <w:bottom w:val="none" w:sz="0" w:space="0" w:color="auto"/>
        <w:right w:val="none" w:sz="0" w:space="0" w:color="auto"/>
      </w:divBdr>
    </w:div>
    <w:div w:id="1796369480">
      <w:bodyDiv w:val="1"/>
      <w:marLeft w:val="0"/>
      <w:marRight w:val="0"/>
      <w:marTop w:val="0"/>
      <w:marBottom w:val="0"/>
      <w:divBdr>
        <w:top w:val="none" w:sz="0" w:space="0" w:color="auto"/>
        <w:left w:val="none" w:sz="0" w:space="0" w:color="auto"/>
        <w:bottom w:val="none" w:sz="0" w:space="0" w:color="auto"/>
        <w:right w:val="none" w:sz="0" w:space="0" w:color="auto"/>
      </w:divBdr>
      <w:divsChild>
        <w:div w:id="727264499">
          <w:marLeft w:val="480"/>
          <w:marRight w:val="0"/>
          <w:marTop w:val="0"/>
          <w:marBottom w:val="0"/>
          <w:divBdr>
            <w:top w:val="none" w:sz="0" w:space="0" w:color="auto"/>
            <w:left w:val="none" w:sz="0" w:space="0" w:color="auto"/>
            <w:bottom w:val="none" w:sz="0" w:space="0" w:color="auto"/>
            <w:right w:val="none" w:sz="0" w:space="0" w:color="auto"/>
          </w:divBdr>
          <w:divsChild>
            <w:div w:id="4387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01580">
      <w:bodyDiv w:val="1"/>
      <w:marLeft w:val="0"/>
      <w:marRight w:val="0"/>
      <w:marTop w:val="0"/>
      <w:marBottom w:val="0"/>
      <w:divBdr>
        <w:top w:val="none" w:sz="0" w:space="0" w:color="auto"/>
        <w:left w:val="none" w:sz="0" w:space="0" w:color="auto"/>
        <w:bottom w:val="none" w:sz="0" w:space="0" w:color="auto"/>
        <w:right w:val="none" w:sz="0" w:space="0" w:color="auto"/>
      </w:divBdr>
    </w:div>
    <w:div w:id="1820341092">
      <w:bodyDiv w:val="1"/>
      <w:marLeft w:val="0"/>
      <w:marRight w:val="0"/>
      <w:marTop w:val="0"/>
      <w:marBottom w:val="0"/>
      <w:divBdr>
        <w:top w:val="none" w:sz="0" w:space="0" w:color="auto"/>
        <w:left w:val="none" w:sz="0" w:space="0" w:color="auto"/>
        <w:bottom w:val="none" w:sz="0" w:space="0" w:color="auto"/>
        <w:right w:val="none" w:sz="0" w:space="0" w:color="auto"/>
      </w:divBdr>
    </w:div>
    <w:div w:id="1820657246">
      <w:bodyDiv w:val="1"/>
      <w:marLeft w:val="0"/>
      <w:marRight w:val="0"/>
      <w:marTop w:val="0"/>
      <w:marBottom w:val="0"/>
      <w:divBdr>
        <w:top w:val="none" w:sz="0" w:space="0" w:color="auto"/>
        <w:left w:val="none" w:sz="0" w:space="0" w:color="auto"/>
        <w:bottom w:val="none" w:sz="0" w:space="0" w:color="auto"/>
        <w:right w:val="none" w:sz="0" w:space="0" w:color="auto"/>
      </w:divBdr>
    </w:div>
    <w:div w:id="1836450937">
      <w:bodyDiv w:val="1"/>
      <w:marLeft w:val="0"/>
      <w:marRight w:val="0"/>
      <w:marTop w:val="0"/>
      <w:marBottom w:val="0"/>
      <w:divBdr>
        <w:top w:val="none" w:sz="0" w:space="0" w:color="auto"/>
        <w:left w:val="none" w:sz="0" w:space="0" w:color="auto"/>
        <w:bottom w:val="none" w:sz="0" w:space="0" w:color="auto"/>
        <w:right w:val="none" w:sz="0" w:space="0" w:color="auto"/>
      </w:divBdr>
    </w:div>
    <w:div w:id="1841893421">
      <w:bodyDiv w:val="1"/>
      <w:marLeft w:val="0"/>
      <w:marRight w:val="0"/>
      <w:marTop w:val="0"/>
      <w:marBottom w:val="0"/>
      <w:divBdr>
        <w:top w:val="none" w:sz="0" w:space="0" w:color="auto"/>
        <w:left w:val="none" w:sz="0" w:space="0" w:color="auto"/>
        <w:bottom w:val="none" w:sz="0" w:space="0" w:color="auto"/>
        <w:right w:val="none" w:sz="0" w:space="0" w:color="auto"/>
      </w:divBdr>
    </w:div>
    <w:div w:id="1912227252">
      <w:bodyDiv w:val="1"/>
      <w:marLeft w:val="0"/>
      <w:marRight w:val="0"/>
      <w:marTop w:val="0"/>
      <w:marBottom w:val="0"/>
      <w:divBdr>
        <w:top w:val="none" w:sz="0" w:space="0" w:color="auto"/>
        <w:left w:val="none" w:sz="0" w:space="0" w:color="auto"/>
        <w:bottom w:val="none" w:sz="0" w:space="0" w:color="auto"/>
        <w:right w:val="none" w:sz="0" w:space="0" w:color="auto"/>
      </w:divBdr>
    </w:div>
    <w:div w:id="1914268656">
      <w:bodyDiv w:val="1"/>
      <w:marLeft w:val="0"/>
      <w:marRight w:val="0"/>
      <w:marTop w:val="0"/>
      <w:marBottom w:val="0"/>
      <w:divBdr>
        <w:top w:val="none" w:sz="0" w:space="0" w:color="auto"/>
        <w:left w:val="none" w:sz="0" w:space="0" w:color="auto"/>
        <w:bottom w:val="none" w:sz="0" w:space="0" w:color="auto"/>
        <w:right w:val="none" w:sz="0" w:space="0" w:color="auto"/>
      </w:divBdr>
      <w:divsChild>
        <w:div w:id="1476070971">
          <w:marLeft w:val="480"/>
          <w:marRight w:val="0"/>
          <w:marTop w:val="0"/>
          <w:marBottom w:val="0"/>
          <w:divBdr>
            <w:top w:val="none" w:sz="0" w:space="0" w:color="auto"/>
            <w:left w:val="none" w:sz="0" w:space="0" w:color="auto"/>
            <w:bottom w:val="none" w:sz="0" w:space="0" w:color="auto"/>
            <w:right w:val="none" w:sz="0" w:space="0" w:color="auto"/>
          </w:divBdr>
          <w:divsChild>
            <w:div w:id="71388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07623">
      <w:bodyDiv w:val="1"/>
      <w:marLeft w:val="0"/>
      <w:marRight w:val="0"/>
      <w:marTop w:val="0"/>
      <w:marBottom w:val="0"/>
      <w:divBdr>
        <w:top w:val="none" w:sz="0" w:space="0" w:color="auto"/>
        <w:left w:val="none" w:sz="0" w:space="0" w:color="auto"/>
        <w:bottom w:val="none" w:sz="0" w:space="0" w:color="auto"/>
        <w:right w:val="none" w:sz="0" w:space="0" w:color="auto"/>
      </w:divBdr>
    </w:div>
    <w:div w:id="1957102964">
      <w:bodyDiv w:val="1"/>
      <w:marLeft w:val="0"/>
      <w:marRight w:val="0"/>
      <w:marTop w:val="0"/>
      <w:marBottom w:val="0"/>
      <w:divBdr>
        <w:top w:val="none" w:sz="0" w:space="0" w:color="auto"/>
        <w:left w:val="none" w:sz="0" w:space="0" w:color="auto"/>
        <w:bottom w:val="none" w:sz="0" w:space="0" w:color="auto"/>
        <w:right w:val="none" w:sz="0" w:space="0" w:color="auto"/>
      </w:divBdr>
    </w:div>
    <w:div w:id="1963343730">
      <w:bodyDiv w:val="1"/>
      <w:marLeft w:val="0"/>
      <w:marRight w:val="0"/>
      <w:marTop w:val="0"/>
      <w:marBottom w:val="0"/>
      <w:divBdr>
        <w:top w:val="none" w:sz="0" w:space="0" w:color="auto"/>
        <w:left w:val="none" w:sz="0" w:space="0" w:color="auto"/>
        <w:bottom w:val="none" w:sz="0" w:space="0" w:color="auto"/>
        <w:right w:val="none" w:sz="0" w:space="0" w:color="auto"/>
      </w:divBdr>
    </w:div>
    <w:div w:id="1968389594">
      <w:bodyDiv w:val="1"/>
      <w:marLeft w:val="0"/>
      <w:marRight w:val="0"/>
      <w:marTop w:val="0"/>
      <w:marBottom w:val="0"/>
      <w:divBdr>
        <w:top w:val="none" w:sz="0" w:space="0" w:color="auto"/>
        <w:left w:val="none" w:sz="0" w:space="0" w:color="auto"/>
        <w:bottom w:val="none" w:sz="0" w:space="0" w:color="auto"/>
        <w:right w:val="none" w:sz="0" w:space="0" w:color="auto"/>
      </w:divBdr>
    </w:div>
    <w:div w:id="2036802956">
      <w:bodyDiv w:val="1"/>
      <w:marLeft w:val="0"/>
      <w:marRight w:val="0"/>
      <w:marTop w:val="0"/>
      <w:marBottom w:val="0"/>
      <w:divBdr>
        <w:top w:val="none" w:sz="0" w:space="0" w:color="auto"/>
        <w:left w:val="none" w:sz="0" w:space="0" w:color="auto"/>
        <w:bottom w:val="none" w:sz="0" w:space="0" w:color="auto"/>
        <w:right w:val="none" w:sz="0" w:space="0" w:color="auto"/>
      </w:divBdr>
    </w:div>
    <w:div w:id="2041934335">
      <w:bodyDiv w:val="1"/>
      <w:marLeft w:val="0"/>
      <w:marRight w:val="0"/>
      <w:marTop w:val="0"/>
      <w:marBottom w:val="0"/>
      <w:divBdr>
        <w:top w:val="none" w:sz="0" w:space="0" w:color="auto"/>
        <w:left w:val="none" w:sz="0" w:space="0" w:color="auto"/>
        <w:bottom w:val="none" w:sz="0" w:space="0" w:color="auto"/>
        <w:right w:val="none" w:sz="0" w:space="0" w:color="auto"/>
      </w:divBdr>
    </w:div>
    <w:div w:id="2087265611">
      <w:bodyDiv w:val="1"/>
      <w:marLeft w:val="0"/>
      <w:marRight w:val="0"/>
      <w:marTop w:val="0"/>
      <w:marBottom w:val="0"/>
      <w:divBdr>
        <w:top w:val="none" w:sz="0" w:space="0" w:color="auto"/>
        <w:left w:val="none" w:sz="0" w:space="0" w:color="auto"/>
        <w:bottom w:val="none" w:sz="0" w:space="0" w:color="auto"/>
        <w:right w:val="none" w:sz="0" w:space="0" w:color="auto"/>
      </w:divBdr>
    </w:div>
    <w:div w:id="2104183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1.jpe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png"/><Relationship Id="rId84" Type="http://schemas.openxmlformats.org/officeDocument/2006/relationships/image" Target="media/image70.jpeg"/><Relationship Id="rId89" Type="http://schemas.openxmlformats.org/officeDocument/2006/relationships/hyperlink" Target="https://epidoc.stoa.org/gl/latest/intro-eps.html" TargetMode="External"/><Relationship Id="rId16" Type="http://schemas.openxmlformats.org/officeDocument/2006/relationships/image" Target="media/image6.jpg"/><Relationship Id="rId11" Type="http://schemas.openxmlformats.org/officeDocument/2006/relationships/hyperlink" Target="https://github.com/erc-dharma/project-documentation/blob/master/stylesheets/README.md" TargetMode="External"/><Relationship Id="rId32" Type="http://schemas.openxmlformats.org/officeDocument/2006/relationships/image" Target="media/image22.jpeg"/><Relationship Id="rId37" Type="http://schemas.openxmlformats.org/officeDocument/2006/relationships/image" Target="media/image27.pn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hyperlink" Target="https://dharmalekha.info/contributors" TargetMode="External"/><Relationship Id="rId5" Type="http://schemas.openxmlformats.org/officeDocument/2006/relationships/webSettings" Target="webSettings.xml"/><Relationship Id="rId90" Type="http://schemas.openxmlformats.org/officeDocument/2006/relationships/hyperlink" Target="http://www.tei-c.org/Guidelines/P5/" TargetMode="External"/><Relationship Id="rId22" Type="http://schemas.openxmlformats.org/officeDocument/2006/relationships/image" Target="media/image12.png"/><Relationship Id="rId27" Type="http://schemas.openxmlformats.org/officeDocument/2006/relationships/image" Target="media/image17.jpeg"/><Relationship Id="rId43" Type="http://schemas.openxmlformats.org/officeDocument/2006/relationships/image" Target="media/image33.jpg"/><Relationship Id="rId48" Type="http://schemas.openxmlformats.org/officeDocument/2006/relationships/image" Target="media/image38.png"/><Relationship Id="rId64" Type="http://schemas.openxmlformats.org/officeDocument/2006/relationships/image" Target="media/image54.jpeg"/><Relationship Id="rId69" Type="http://schemas.openxmlformats.org/officeDocument/2006/relationships/image" Target="media/image59.png"/><Relationship Id="rId8" Type="http://schemas.openxmlformats.org/officeDocument/2006/relationships/image" Target="media/image1.emf"/><Relationship Id="rId51" Type="http://schemas.openxmlformats.org/officeDocument/2006/relationships/image" Target="media/image41.jpeg"/><Relationship Id="rId72" Type="http://schemas.openxmlformats.org/officeDocument/2006/relationships/image" Target="media/image62.jpg"/><Relationship Id="rId80" Type="http://schemas.openxmlformats.org/officeDocument/2006/relationships/hyperlink" Target="https://dharmalekha.info/contributors" TargetMode="External"/><Relationship Id="rId85" Type="http://schemas.openxmlformats.org/officeDocument/2006/relationships/image" Target="media/image71.jp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rc-dharma.github.io/project-documentation/visual-code/UsingVS_v01" TargetMode="External"/><Relationship Id="rId17" Type="http://schemas.openxmlformats.org/officeDocument/2006/relationships/image" Target="media/image7.jp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tiff"/><Relationship Id="rId67" Type="http://schemas.openxmlformats.org/officeDocument/2006/relationships/image" Target="media/image57.png"/><Relationship Id="rId20" Type="http://schemas.openxmlformats.org/officeDocument/2006/relationships/image" Target="media/image10.jp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69.jpeg"/><Relationship Id="rId88" Type="http://schemas.openxmlformats.org/officeDocument/2006/relationships/hyperlink" Target="https://blog.stoa.org/files/2010/09/Chapter05_EpiDoc_Bodard.pdf" TargetMode="External"/><Relationship Id="rId9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hyperlink" Target="https://github.com/erc-dharma/project-documentation/blob/66167c20f4be621256460be1640cb7a727104854/schema/README.md" TargetMode="External"/><Relationship Id="rId31" Type="http://schemas.openxmlformats.org/officeDocument/2006/relationships/image" Target="media/image21.jpe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hyperlink" Target="https://github.com/erc-dharma/project-documentation/blob/master/DHARMA_languages.tsv" TargetMode="External"/><Relationship Id="rId81" Type="http://schemas.openxmlformats.org/officeDocument/2006/relationships/hyperlink" Target="https://dharmalekha.info/contributors" TargetMode="External"/><Relationship Id="rId86" Type="http://schemas.openxmlformats.org/officeDocument/2006/relationships/image" Target="media/image72.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wmf"/><Relationship Id="rId18" Type="http://schemas.openxmlformats.org/officeDocument/2006/relationships/image" Target="media/image8.jp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jpe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jpeg"/><Relationship Id="rId40" Type="http://schemas.openxmlformats.org/officeDocument/2006/relationships/image" Target="media/image30.jpe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hyperlink" Target="http://dh.obdurodon.org/what-is-xml.xhtml" TargetMode="External"/><Relationship Id="rId61" Type="http://schemas.openxmlformats.org/officeDocument/2006/relationships/image" Target="media/image51.jpeg"/><Relationship Id="rId82" Type="http://schemas.openxmlformats.org/officeDocument/2006/relationships/image" Target="media/image68.jpeg"/><Relationship Id="rId19" Type="http://schemas.openxmlformats.org/officeDocument/2006/relationships/image" Target="media/image9.jpeg"/><Relationship Id="rId14" Type="http://schemas.openxmlformats.org/officeDocument/2006/relationships/image" Target="media/image4.wmf"/><Relationship Id="rId30" Type="http://schemas.openxmlformats.org/officeDocument/2006/relationships/image" Target="media/image20.jpg"/><Relationship Id="rId35" Type="http://schemas.openxmlformats.org/officeDocument/2006/relationships/image" Target="media/image25.jpeg"/><Relationship Id="rId56" Type="http://schemas.openxmlformats.org/officeDocument/2006/relationships/image" Target="media/image46.jpg"/><Relationship Id="rId77" Type="http://schemas.openxmlformats.org/officeDocument/2006/relationships/image" Target="media/image6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footnotes.xml.rels><?xml version="1.0" encoding="UTF-8" standalone="yes"?>
<Relationships xmlns="http://schemas.openxmlformats.org/package/2006/relationships"><Relationship Id="rId8" Type="http://schemas.openxmlformats.org/officeDocument/2006/relationships/hyperlink" Target="https://en.wiktionary.org/wiki/gaiji" TargetMode="External"/><Relationship Id="rId13" Type="http://schemas.openxmlformats.org/officeDocument/2006/relationships/hyperlink" Target="https://opentheso.huma-num.fr/opentheso/?idc=84156&amp;idt=th347" TargetMode="External"/><Relationship Id="rId18" Type="http://schemas.openxmlformats.org/officeDocument/2006/relationships/hyperlink" Target="https://wiki.tei-c.org/index.php/XML_Whitespace" TargetMode="External"/><Relationship Id="rId3" Type="http://schemas.openxmlformats.org/officeDocument/2006/relationships/hyperlink" Target="https://tei-c.org/release/doc/tei-p5-doc/en/html/index.html" TargetMode="External"/><Relationship Id="rId7" Type="http://schemas.openxmlformats.org/officeDocument/2006/relationships/hyperlink" Target="https://en.wiktionary.org/wiki/gaiji" TargetMode="External"/><Relationship Id="rId12" Type="http://schemas.openxmlformats.org/officeDocument/2006/relationships/hyperlink" Target="https://opentheso.huma-num.fr/opentheso/?idc=84154&amp;idt=th347" TargetMode="External"/><Relationship Id="rId17" Type="http://schemas.openxmlformats.org/officeDocument/2006/relationships/hyperlink" Target="https://en.wikipedia.org/wiki/ISO_15924" TargetMode="External"/><Relationship Id="rId2" Type="http://schemas.openxmlformats.org/officeDocument/2006/relationships/hyperlink" Target="https://epidoc.stoa.org/gl/latest/" TargetMode="External"/><Relationship Id="rId16" Type="http://schemas.openxmlformats.org/officeDocument/2006/relationships/hyperlink" Target="https://iso639-3.sil.org/code_tables/639/data" TargetMode="External"/><Relationship Id="rId1" Type="http://schemas.openxmlformats.org/officeDocument/2006/relationships/hyperlink" Target="https://docs.google.com/document/d/1hjWrrwRZQp4hmEqw4jBhhqoXdwJvRlw3EWboJteOPw0" TargetMode="External"/><Relationship Id="rId6" Type="http://schemas.openxmlformats.org/officeDocument/2006/relationships/hyperlink" Target="https://epidoc.stoa.org/gl/latest/trans-linebreak.html" TargetMode="External"/><Relationship Id="rId11" Type="http://schemas.openxmlformats.org/officeDocument/2006/relationships/hyperlink" Target="https://epidoc.stoa.org/gl/latest/trans-ambiguous.html" TargetMode="External"/><Relationship Id="rId5" Type="http://schemas.openxmlformats.org/officeDocument/2006/relationships/hyperlink" Target="https://dharmalekha.info/prosody" TargetMode="External"/><Relationship Id="rId15" Type="http://schemas.openxmlformats.org/officeDocument/2006/relationships/hyperlink" Target="https://epidoc.stoa.org/gl/latest/trans-numnoncongruent.html" TargetMode="External"/><Relationship Id="rId10" Type="http://schemas.openxmlformats.org/officeDocument/2006/relationships/hyperlink" Target="https://www.tei-c.org/release/doc/tei-p5-doc/en/html/PH.html" TargetMode="External"/><Relationship Id="rId4" Type="http://schemas.openxmlformats.org/officeDocument/2006/relationships/hyperlink" Target="https://github.com/erc-dharma/project-documentation/blob/master/templates/inscriptions/DHARMA_INSencodingTemplate.xml" TargetMode="External"/><Relationship Id="rId9" Type="http://schemas.openxmlformats.org/officeDocument/2006/relationships/hyperlink" Target="https://dharmalekha.info/glyphs" TargetMode="External"/><Relationship Id="rId14" Type="http://schemas.openxmlformats.org/officeDocument/2006/relationships/hyperlink" Target="https://www.tei-c.org/release/doc/tei-p5-doc/en/html/W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GoogleDrive\Handy%20stuff\Templates\DHARMA%20guide%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1C529-8F06-411A-BE2B-F56574124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DHARMA guide 2024.dotx</Template>
  <TotalTime>41</TotalTime>
  <Pages>214</Pages>
  <Words>102914</Words>
  <Characters>586616</Characters>
  <Application>Microsoft Office Word</Application>
  <DocSecurity>0</DocSecurity>
  <Lines>4888</Lines>
  <Paragraphs>1376</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688154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Dániel Balogh</dc:creator>
  <cp:keywords/>
  <dc:description/>
  <cp:lastModifiedBy>Dániel Balogh</cp:lastModifiedBy>
  <cp:revision>277</cp:revision>
  <cp:lastPrinted>2026-04-27T09:41:00Z</cp:lastPrinted>
  <dcterms:created xsi:type="dcterms:W3CDTF">2024-11-19T16:04:00Z</dcterms:created>
  <dcterms:modified xsi:type="dcterms:W3CDTF">2026-10-26T14:22:00Z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id="NxK2qKsS"/&gt;&lt;style id="" hasBibliography="0" bibliographyStyleHasBeenSet="0"/&gt;&lt;prefs/&gt;&lt;/data&gt;</vt:lpwstr>
  </property>
</Properties>
</file>