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A9273" w14:textId="77777777">
      <w:pPr>
        <w:pStyle w:val="Cm"/>
      </w:pPr>
      <w:r>
        <w:rPr>
          <w:noProof/>
        </w:rPr>
        <w:drawing>
          <wp:anchor distT="0" distB="0" distL="114300" distR="114300" simplePos="0" relativeHeight="251687936" behindDoc="0" locked="0" layoutInCell="1" allowOverlap="1" wp14:anchorId="34BDB84A" wp14:editId="6D53BAB5">
            <wp:simplePos x="905774" y="715992"/>
            <wp:positionH relativeFrom="margin">
              <wp:align>center</wp:align>
            </wp:positionH>
            <wp:positionV relativeFrom="margin">
              <wp:posOffset>0</wp:posOffset>
            </wp:positionV>
            <wp:extent cx="5000400" cy="3963600"/>
            <wp:effectExtent l="0" t="0" r="0" b="0"/>
            <wp:wrapTopAndBottom/>
            <wp:docPr id="35" name="Kép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00400" cy="3963600"/>
                    </a:xfrm>
                    <a:prstGeom prst="rect">
                      <a:avLst/>
                    </a:prstGeom>
                    <a:noFill/>
                    <a:ln>
                      <a:noFill/>
                    </a:ln>
                  </pic:spPr>
                </pic:pic>
              </a:graphicData>
            </a:graphic>
            <wp14:sizeRelH relativeFrom="margin">
              <wp14:pctWidth>0</wp14:pctWidth>
            </wp14:sizeRelH>
            <wp14:sizeRelV relativeFrom="margin">
              <wp14:pctHeight>0</wp14:pctHeight>
            </wp14:sizeRelV>
          </wp:anchor>
        </w:drawing>
      </w:r>
      <w:r>
        <w:t>Versification Guide</w:t>
      </w:r>
      <w:bookmarkStart w:id="0" w:name="_nlm3dlptfwlj" w:colFirst="0" w:colLast="0"/>
      <w:bookmarkStart w:id="1" w:name="_Hlk19355849"/>
      <w:bookmarkEnd w:id="0"/>
      <w:bookmarkEnd w:id="1"/>
    </w:p>
    <w:p w14:paraId="02110565" w14:textId="77777777">
      <w:pPr>
        <w:pStyle w:val="Frontmatter"/>
      </w:pPr>
      <w:r>
        <w:t>Dániel Balogh</w:t>
      </w:r>
    </w:p>
    <w:p w14:paraId="6208AF55" w14:textId="77777777">
      <w:pPr>
        <w:pStyle w:val="Frontmatter"/>
      </w:pPr>
    </w:p>
    <w:p w14:paraId="023B4034" w14:textId="77777777">
      <w:pPr>
        <w:pStyle w:val="Frontmatter"/>
      </w:pPr>
      <w:bookmarkStart w:id="2" w:name="_6uvsaj3wvd38" w:colFirst="0" w:colLast="0"/>
      <w:bookmarkStart w:id="3" w:name="_4s3elmevh075" w:colFirst="0" w:colLast="0"/>
      <w:bookmarkEnd w:id="2"/>
      <w:bookmarkEnd w:id="3"/>
      <w:r>
        <w:t xml:space="preserve"> Version 1</w:t>
      </w:r>
    </w:p>
    <w:p w14:paraId="361AB9B9" w14:textId="77777777">
      <w:pPr>
        <w:pStyle w:val="Frontmatter"/>
        <w:spacing w:before="200"/>
      </w:pPr>
      <w:r>
        <w:rPr>
          <w:noProof/>
        </w:rPr>
        <w:drawing>
          <wp:anchor distT="0" distB="0" distL="114300" distR="114300" simplePos="0" relativeHeight="251686912" behindDoc="1" locked="0" layoutInCell="1" allowOverlap="1" wp14:anchorId="402EAB10" wp14:editId="596561A6">
            <wp:simplePos x="0" y="0"/>
            <wp:positionH relativeFrom="margin">
              <wp:posOffset>1856105</wp:posOffset>
            </wp:positionH>
            <wp:positionV relativeFrom="bottomMargin">
              <wp:posOffset>-3363941</wp:posOffset>
            </wp:positionV>
            <wp:extent cx="2407920" cy="2415540"/>
            <wp:effectExtent l="0" t="0" r="0" b="3810"/>
            <wp:wrapNone/>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7920" cy="2415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53B5D7" w14:textId="77777777">
      <w:pPr>
        <w:pStyle w:val="Frontmatter"/>
        <w:spacing w:before="200"/>
      </w:pPr>
    </w:p>
    <w:p w14:paraId="3873DC76" w14:textId="77777777">
      <w:pPr>
        <w:pStyle w:val="Frontmatter"/>
        <w:spacing w:before="200"/>
      </w:pPr>
    </w:p>
    <w:p w14:paraId="4FDD6F29" w14:textId="77777777">
      <w:pPr>
        <w:pStyle w:val="Frontmatter"/>
      </w:pPr>
    </w:p>
    <w:p w14:paraId="7CFE5EFE" w14:textId="77777777">
      <w:pPr>
        <w:pStyle w:val="Frontmatter"/>
      </w:pPr>
    </w:p>
    <w:p w14:paraId="458F3414" w14:textId="77777777">
      <w:pPr>
        <w:pStyle w:val="Frontmatter"/>
      </w:pPr>
    </w:p>
    <w:p w14:paraId="21CDBC35" w14:textId="77777777">
      <w:pPr>
        <w:pStyle w:val="Frontmatter"/>
      </w:pPr>
    </w:p>
    <w:p w14:paraId="6CBA0808" w14:textId="77777777">
      <w:pPr>
        <w:pStyle w:val="Frontmatter"/>
      </w:pPr>
    </w:p>
    <w:p w14:paraId="37D2FF63" w14:textId="77777777">
      <w:pPr>
        <w:pStyle w:val="Frontmatter"/>
      </w:pPr>
    </w:p>
    <w:p w14:paraId="349C42C5" w14:textId="77777777">
      <w:pPr>
        <w:pStyle w:val="Frontmatter"/>
      </w:pPr>
    </w:p>
    <w:p w14:paraId="69BA562E" w14:textId="77777777">
      <w:pPr>
        <w:pStyle w:val="Frontmatter"/>
      </w:pPr>
    </w:p>
    <w:p w14:paraId="2C892204" w14:textId="77777777">
      <w:pPr>
        <w:pStyle w:val="Frontmatter"/>
      </w:pPr>
      <w:bookmarkStart w:id="4" w:name="_Hlk44316166"/>
      <w:r>
        <w:t>This project has received funding from the European Research Council (ERC)</w:t>
      </w:r>
      <w:r>
        <w:br/>
        <w:t>under the European Union’s Horizon 2020 research and innovation programme</w:t>
      </w:r>
      <w:r>
        <w:br/>
        <w:t>(grant agreement No 809994).</w:t>
      </w:r>
    </w:p>
    <w:p w14:paraId="23EABE3C" w14:textId="77777777">
      <w:pPr>
        <w:pStyle w:val="Cmsor1"/>
      </w:pPr>
      <w:bookmarkStart w:id="5" w:name="_62ze56ka8a10" w:colFirst="0" w:colLast="0"/>
      <w:bookmarkStart w:id="6" w:name="_qidxc825gutk" w:colFirst="0" w:colLast="0"/>
      <w:bookmarkEnd w:id="4"/>
      <w:bookmarkEnd w:id="5"/>
      <w:bookmarkEnd w:id="6"/>
      <w:r>
        <w:lastRenderedPageBreak/>
        <w:t>Introduction</w:t>
      </w:r>
    </w:p>
    <w:p w14:paraId="7F90C1E9" w14:textId="77777777">
      <w:pPr>
        <w:pStyle w:val="Cmsor2"/>
      </w:pPr>
      <w:bookmarkStart w:id="7" w:name="_3ig9fb4xl00q" w:colFirst="0" w:colLast="0"/>
      <w:bookmarkStart w:id="8" w:name="_Ref224804496"/>
      <w:bookmarkStart w:id="9" w:name="_Toc233988971"/>
      <w:bookmarkEnd w:id="7"/>
      <w:r>
        <w:t>About</w:t>
      </w:r>
    </w:p>
    <w:p w14:paraId="6F6BF7BC" w14:textId="604193FE">
      <w:pPr>
        <w:rPr>
          <w:lang w:eastAsia="en-US" w:bidi="ar-SA"/>
        </w:rPr>
      </w:pPr>
      <w:r>
        <w:rPr>
          <w:lang w:eastAsia="en-US" w:bidi="ar-SA"/>
        </w:rPr>
        <w:t xml:space="preserve">This is the first version of the standalone DHARMA </w:t>
      </w:r>
      <w:r>
        <w:t>Versification Guide</w:t>
      </w:r>
      <w:r>
        <w:rPr>
          <w:lang w:eastAsia="en-US" w:bidi="ar-SA"/>
        </w:rPr>
        <w:t>, which is a revised version of the former Appendix B of the DHARMA Encoding Guide for Diplomatic Editions. Because its relevance is broader than that specific Guide, it has been reworked into a separate document.</w:t>
      </w:r>
    </w:p>
    <w:p w14:paraId="1C0BDD50" w14:textId="77777777">
      <w:pPr>
        <w:pStyle w:val="Cmsor2"/>
      </w:pPr>
      <w:r>
        <w:t>Versification terminology</w:t>
      </w:r>
      <w:bookmarkEnd w:id="8"/>
      <w:bookmarkEnd w:id="9"/>
    </w:p>
    <w:p w14:paraId="0E35FCD7" w14:textId="77777777">
      <w:pPr>
        <w:pStyle w:val="Lista"/>
      </w:pPr>
      <w:r>
        <w:rPr>
          <w:b/>
          <w:bCs/>
        </w:rPr>
        <w:t>verse</w:t>
      </w:r>
      <w:r>
        <w:t xml:space="preserve">: used as an uncountable noun to refer to text characterised by rhythmically iterated units </w:t>
      </w:r>
      <w:r>
        <w:rPr>
          <w:noProof/>
        </w:rPr>
        <w:t>(</w:t>
      </w:r>
      <w:r>
        <w:t>generally prosodic units in our case)</w:t>
      </w:r>
    </w:p>
    <w:p w14:paraId="48316F1D" w14:textId="77777777">
      <w:pPr>
        <w:pStyle w:val="Lista2"/>
      </w:pPr>
      <w:r>
        <w:t xml:space="preserve">to avoid ambiguity, DHARMA guides never use “verse” as a countable noun meaning either “stanza” or “line” </w:t>
      </w:r>
      <w:r>
        <w:rPr>
          <w:noProof/>
        </w:rPr>
        <w:t>(</w:t>
      </w:r>
      <w:r>
        <w:t>as defined below), although both are legitimate meanings of this word in general usage</w:t>
      </w:r>
    </w:p>
    <w:p w14:paraId="2B808F6B" w14:textId="77777777">
      <w:pPr>
        <w:pStyle w:val="Lista"/>
      </w:pPr>
      <w:r>
        <w:rPr>
          <w:b/>
          <w:bCs/>
        </w:rPr>
        <w:t>stanza</w:t>
      </w:r>
      <w:r>
        <w:t xml:space="preserve">: a unit of verse characterised by a </w:t>
      </w:r>
      <w:r>
        <w:rPr>
          <w:noProof/>
        </w:rPr>
        <w:t xml:space="preserve">(usually </w:t>
      </w:r>
      <w:r>
        <w:t xml:space="preserve">prosodic) pattern and consisting of a number of smaller units </w:t>
      </w:r>
      <w:r>
        <w:rPr>
          <w:noProof/>
        </w:rPr>
        <w:t>(</w:t>
      </w:r>
      <w:r>
        <w:t>lines) that do not, as a rule, occur in less than a full stanza</w:t>
      </w:r>
    </w:p>
    <w:p w14:paraId="7E0AB437" w14:textId="77777777">
      <w:pPr>
        <w:pStyle w:val="Lista2"/>
      </w:pPr>
      <w:r>
        <w:t xml:space="preserve">in Sanskritic syllabo-quantitative verse, </w:t>
      </w:r>
      <w:r>
        <w:rPr>
          <w:rStyle w:val="Foreign"/>
        </w:rPr>
        <w:t>stanza</w:t>
      </w:r>
      <w:r>
        <w:t xml:space="preserve"> is usually equivalent to </w:t>
      </w:r>
      <w:r>
        <w:rPr>
          <w:rStyle w:val="Foreign"/>
        </w:rPr>
        <w:t>catuṣpadī</w:t>
      </w:r>
    </w:p>
    <w:p w14:paraId="7BB09298" w14:textId="77777777">
      <w:pPr>
        <w:pStyle w:val="Lista3"/>
      </w:pPr>
      <w:r>
        <w:t xml:space="preserve">the term </w:t>
      </w:r>
      <w:r>
        <w:rPr>
          <w:rStyle w:val="Foreign"/>
          <w:b/>
          <w:bCs/>
          <w:iCs w:val="0"/>
        </w:rPr>
        <w:t>quatrain</w:t>
      </w:r>
      <w:r>
        <w:t xml:space="preserve"> may be used as a synonym for a stanza consisting of four lines</w:t>
      </w:r>
    </w:p>
    <w:p w14:paraId="3FF4D1B9" w14:textId="77777777">
      <w:pPr>
        <w:pStyle w:val="Lista2"/>
      </w:pPr>
      <w:r>
        <w:t xml:space="preserve">in Tamil verse, a </w:t>
      </w:r>
      <w:r>
        <w:rPr>
          <w:rStyle w:val="Foreign"/>
        </w:rPr>
        <w:t>stanza</w:t>
      </w:r>
      <w:r>
        <w:t xml:space="preserve"> in the usage of DHARMA guides is equivalent to a “poem” </w:t>
      </w:r>
      <w:r>
        <w:rPr>
          <w:noProof/>
        </w:rPr>
        <w:t>(</w:t>
      </w:r>
      <w:r>
        <w:rPr>
          <w:rStyle w:val="Foreign"/>
        </w:rPr>
        <w:t>pā</w:t>
      </w:r>
      <w:r>
        <w:t>,</w:t>
      </w:r>
      <w:r>
        <w:rPr>
          <w:rStyle w:val="Foreign"/>
        </w:rPr>
        <w:t xml:space="preserve"> pāṭṭu</w:t>
      </w:r>
      <w:r>
        <w:t xml:space="preserve">, </w:t>
      </w:r>
      <w:r>
        <w:rPr>
          <w:rStyle w:val="Foreign"/>
        </w:rPr>
        <w:t>ceyyuḷ</w:t>
      </w:r>
      <w:r>
        <w:t>)</w:t>
      </w:r>
    </w:p>
    <w:p w14:paraId="2E1E6D77" w14:textId="77777777">
      <w:pPr>
        <w:pStyle w:val="Lista"/>
      </w:pPr>
      <w:r>
        <w:rPr>
          <w:b/>
          <w:bCs/>
        </w:rPr>
        <w:t>line</w:t>
      </w:r>
      <w:r>
        <w:t xml:space="preserve">: a unit of verse characterised by a </w:t>
      </w:r>
      <w:r>
        <w:rPr>
          <w:noProof/>
        </w:rPr>
        <w:t xml:space="preserve">(usually </w:t>
      </w:r>
      <w:r>
        <w:t xml:space="preserve">prosodic) pattern, with several lines </w:t>
      </w:r>
      <w:r>
        <w:rPr>
          <w:noProof/>
        </w:rPr>
        <w:t>(</w:t>
      </w:r>
      <w:r>
        <w:t>which may have identical or different patterns) making up a stanza</w:t>
      </w:r>
    </w:p>
    <w:p w14:paraId="605A3E1A" w14:textId="77777777">
      <w:pPr>
        <w:pStyle w:val="Lista2"/>
      </w:pPr>
      <w:r>
        <w:t xml:space="preserve">in Sanskritic syllabic verse, </w:t>
      </w:r>
      <w:r>
        <w:rPr>
          <w:rStyle w:val="Foreign"/>
        </w:rPr>
        <w:t>line</w:t>
      </w:r>
      <w:r>
        <w:t xml:space="preserve"> is equivalent to </w:t>
      </w:r>
      <w:r>
        <w:rPr>
          <w:rStyle w:val="Foreign"/>
        </w:rPr>
        <w:t>pāda</w:t>
      </w:r>
    </w:p>
    <w:p w14:paraId="010D5D6A" w14:textId="77777777">
      <w:pPr>
        <w:pStyle w:val="Lista2"/>
      </w:pPr>
      <w:r>
        <w:t xml:space="preserve">in Sanskritic moraic verse, </w:t>
      </w:r>
      <w:r>
        <w:rPr>
          <w:rStyle w:val="Foreign"/>
        </w:rPr>
        <w:t>line</w:t>
      </w:r>
      <w:r>
        <w:t xml:space="preserve"> is for our purposes equivalent to </w:t>
      </w:r>
      <w:r>
        <w:rPr>
          <w:rStyle w:val="Foreign"/>
        </w:rPr>
        <w:t>hemistich</w:t>
      </w:r>
    </w:p>
    <w:p w14:paraId="78C5698C" w14:textId="77777777">
      <w:pPr>
        <w:pStyle w:val="Lista2"/>
      </w:pPr>
      <w:r>
        <w:t xml:space="preserve">in Tamil verse, </w:t>
      </w:r>
      <w:r>
        <w:rPr>
          <w:rStyle w:val="Foreign"/>
        </w:rPr>
        <w:t>line</w:t>
      </w:r>
      <w:r>
        <w:t xml:space="preserve"> is equivalent to </w:t>
      </w:r>
      <w:r>
        <w:rPr>
          <w:rStyle w:val="Foreign"/>
        </w:rPr>
        <w:t>aṭi</w:t>
      </w:r>
    </w:p>
    <w:p w14:paraId="486F08FC" w14:textId="77777777">
      <w:pPr>
        <w:pStyle w:val="Lista"/>
      </w:pPr>
      <w:r>
        <w:rPr>
          <w:b/>
          <w:bCs/>
        </w:rPr>
        <w:t>quarter</w:t>
      </w:r>
      <w:r>
        <w:t xml:space="preserve"> is used as a synonym of </w:t>
      </w:r>
      <w:r>
        <w:rPr>
          <w:rStyle w:val="Foreign"/>
        </w:rPr>
        <w:t>line</w:t>
      </w:r>
      <w:r>
        <w:t xml:space="preserve"> in the context of Sanskritic syllabo-quantitative verse in order to reduce ambiguity by clearly distinguishing verse lines </w:t>
      </w:r>
      <w:r>
        <w:rPr>
          <w:noProof/>
        </w:rPr>
        <w:t>(</w:t>
      </w:r>
      <w:r>
        <w:t xml:space="preserve">an element of intrinsic structure) from physical lines </w:t>
      </w:r>
      <w:r>
        <w:rPr>
          <w:noProof/>
        </w:rPr>
        <w:t>(</w:t>
      </w:r>
      <w:r>
        <w:t>an element of extrinsic structure)</w:t>
      </w:r>
    </w:p>
    <w:p w14:paraId="66B88AEE" w14:textId="77777777">
      <w:pPr>
        <w:pStyle w:val="Lista"/>
      </w:pPr>
      <w:r>
        <w:rPr>
          <w:b/>
          <w:bCs/>
        </w:rPr>
        <w:t>hemistich</w:t>
      </w:r>
      <w:r>
        <w:t>: a half-stanza, the first or the second pair of lines in a quatrain</w:t>
      </w:r>
    </w:p>
    <w:p w14:paraId="50B6AF11" w14:textId="77777777">
      <w:pPr>
        <w:pStyle w:val="Lista2"/>
      </w:pPr>
      <w:r>
        <w:t xml:space="preserve">note that the term </w:t>
      </w:r>
      <w:r>
        <w:rPr>
          <w:rStyle w:val="Foreign"/>
        </w:rPr>
        <w:t>hemistich</w:t>
      </w:r>
      <w:r>
        <w:t xml:space="preserve"> originates from European classical prosody where it is used in a different sense </w:t>
      </w:r>
      <w:r>
        <w:rPr>
          <w:noProof/>
        </w:rPr>
        <w:t>(</w:t>
      </w:r>
      <w:r>
        <w:t>a half-line), but the term has been widely applied in European discussions of Indic prosody in the sense in which we use it here</w:t>
      </w:r>
    </w:p>
    <w:p w14:paraId="0B66FA84" w14:textId="77777777">
      <w:pPr>
        <w:pStyle w:val="Lista"/>
      </w:pPr>
      <w:r>
        <w:rPr>
          <w:b/>
          <w:bCs/>
        </w:rPr>
        <w:t>break</w:t>
      </w:r>
      <w:r>
        <w:t xml:space="preserve"> or line break: a boundary between lines or hemistichs, which usually coincides with a word boundary </w:t>
      </w:r>
      <w:r>
        <w:rPr>
          <w:noProof/>
        </w:rPr>
        <w:t>(</w:t>
      </w:r>
      <w:r>
        <w:t>not identical to a line break in the context of extrinsic structure, for which see §</w:t>
      </w:r>
      <w:r>
        <w:fldChar w:fldCharType="begin"/>
      </w:r>
      <w:r>
        <w:instrText xml:space="preserve"> REF _Ref224720139 \r \h </w:instrText>
      </w:r>
      <w:r>
        <w:fldChar w:fldCharType="separate"/>
      </w:r>
      <w:r>
        <w:rPr>
          <w:b/>
          <w:bCs/>
          <w:lang w:val="hu-HU"/>
        </w:rPr>
        <w:t>Hiba! A hivatkozási forrás nem található.</w:t>
      </w:r>
      <w:r>
        <w:fldChar w:fldCharType="end"/>
      </w:r>
      <w:r>
        <w:t>)</w:t>
      </w:r>
    </w:p>
    <w:p w14:paraId="08A55D8B" w14:textId="77777777">
      <w:pPr>
        <w:pStyle w:val="Lista2"/>
      </w:pPr>
      <w:r>
        <w:rPr>
          <w:b/>
          <w:bCs/>
        </w:rPr>
        <w:t>enjambement</w:t>
      </w:r>
      <w:r>
        <w:t xml:space="preserve"> in our usage means the occurrence of a line break within a word </w:t>
      </w:r>
      <w:r>
        <w:rPr>
          <w:noProof/>
        </w:rPr>
        <w:t>(</w:t>
      </w:r>
      <w:r>
        <w:t>usually between members of a compound; rarely within a morpheme)</w:t>
      </w:r>
    </w:p>
    <w:p w14:paraId="4B024AD4" w14:textId="77777777">
      <w:pPr>
        <w:pStyle w:val="Lista"/>
      </w:pPr>
      <w:r>
        <w:rPr>
          <w:b/>
          <w:bCs/>
        </w:rPr>
        <w:t>caesura</w:t>
      </w:r>
      <w:r>
        <w:t xml:space="preserve">: a boundary within a line, which divides the line into smaller prosodic units </w:t>
      </w:r>
      <w:r>
        <w:rPr>
          <w:noProof/>
        </w:rPr>
        <w:t>(</w:t>
      </w:r>
      <w:r>
        <w:rPr>
          <w:rStyle w:val="Foreign"/>
        </w:rPr>
        <w:t>cola</w:t>
      </w:r>
      <w:r>
        <w:t>) and as a rule coincides with a word boundary</w:t>
      </w:r>
    </w:p>
    <w:p w14:paraId="31FD7CBC" w14:textId="77777777">
      <w:pPr>
        <w:pStyle w:val="Lista"/>
      </w:pPr>
      <w:r>
        <w:rPr>
          <w:b/>
          <w:bCs/>
        </w:rPr>
        <w:t>colon</w:t>
      </w:r>
      <w:r>
        <w:t xml:space="preserve"> </w:t>
      </w:r>
      <w:r>
        <w:rPr>
          <w:noProof/>
        </w:rPr>
        <w:t>(</w:t>
      </w:r>
      <w:r>
        <w:t xml:space="preserve">plural </w:t>
      </w:r>
      <w:r>
        <w:rPr>
          <w:rStyle w:val="Foreign"/>
        </w:rPr>
        <w:t>cola</w:t>
      </w:r>
      <w:r>
        <w:t>): a prosodic unit smaller than a line, a division resulting from the presence of a caesura</w:t>
      </w:r>
    </w:p>
    <w:p w14:paraId="64A70A57" w14:textId="77777777">
      <w:pPr>
        <w:pStyle w:val="Lista"/>
      </w:pPr>
      <w:r>
        <w:rPr>
          <w:b/>
          <w:bCs/>
        </w:rPr>
        <w:t>foot</w:t>
      </w:r>
      <w:r>
        <w:t>: a small prosodic unit that has no regard for word boundaries</w:t>
      </w:r>
    </w:p>
    <w:p w14:paraId="7744A7D5" w14:textId="77777777">
      <w:pPr>
        <w:pStyle w:val="Lista2"/>
      </w:pPr>
      <w:r>
        <w:t xml:space="preserve">in the present Guide this term is only used as applicable to Sanskritic moraic verse, where feet </w:t>
      </w:r>
      <w:r>
        <w:rPr>
          <w:noProof/>
        </w:rPr>
        <w:t>(</w:t>
      </w:r>
      <w:r>
        <w:rPr>
          <w:rStyle w:val="Foreign"/>
        </w:rPr>
        <w:t>gaṇa</w:t>
      </w:r>
      <w:r>
        <w:t>) consist of a set number of morae</w:t>
      </w:r>
    </w:p>
    <w:p w14:paraId="1FE79CBA" w14:textId="77777777">
      <w:pPr>
        <w:pStyle w:val="Lista"/>
      </w:pPr>
      <w:r>
        <w:rPr>
          <w:b/>
          <w:bCs/>
        </w:rPr>
        <w:t>mora</w:t>
      </w:r>
      <w:r>
        <w:t xml:space="preserve"> </w:t>
      </w:r>
      <w:r>
        <w:rPr>
          <w:noProof/>
        </w:rPr>
        <w:t>(</w:t>
      </w:r>
      <w:r>
        <w:t xml:space="preserve">plural </w:t>
      </w:r>
      <w:r>
        <w:rPr>
          <w:rStyle w:val="Foreign"/>
        </w:rPr>
        <w:t>morae</w:t>
      </w:r>
      <w:r>
        <w:t xml:space="preserve">; Sanskrit </w:t>
      </w:r>
      <w:r>
        <w:rPr>
          <w:rStyle w:val="Foreign"/>
        </w:rPr>
        <w:t>mātrā</w:t>
      </w:r>
      <w:r>
        <w:t>): a unit of prosodic length defined as the length of a short syllable</w:t>
      </w:r>
    </w:p>
    <w:p w14:paraId="13745946" w14:textId="77777777">
      <w:pPr>
        <w:pStyle w:val="Lista2"/>
      </w:pPr>
      <w:r>
        <w:t>in the Sanskritic tradition, the length of all long syllables is counted as two morae</w:t>
      </w:r>
    </w:p>
    <w:p w14:paraId="719193C4" w14:textId="77777777">
      <w:pPr>
        <w:pStyle w:val="Lista"/>
      </w:pPr>
      <w:r>
        <w:rPr>
          <w:b/>
          <w:bCs/>
        </w:rPr>
        <w:t>metre</w:t>
      </w:r>
      <w:r>
        <w:t xml:space="preserve">: a prosodic template </w:t>
      </w:r>
      <w:r>
        <w:rPr>
          <w:noProof/>
        </w:rPr>
        <w:t>(</w:t>
      </w:r>
      <w:r>
        <w:t>a fixed pattern of syllables or feet), which has a conventional name</w:t>
      </w:r>
    </w:p>
    <w:p w14:paraId="78DEAF06" w14:textId="77777777">
      <w:pPr>
        <w:pStyle w:val="Lista"/>
      </w:pPr>
      <w:r>
        <w:rPr>
          <w:b/>
          <w:bCs/>
        </w:rPr>
        <w:t>scansion</w:t>
      </w:r>
      <w:r>
        <w:t xml:space="preserve"> refers to the process of establishing the prosodic pattern of a segment of text, as well as to the established prosodic pattern</w:t>
      </w:r>
    </w:p>
    <w:p w14:paraId="11ED7DE1" w14:textId="77777777">
      <w:pPr>
        <w:pStyle w:val="Lista"/>
      </w:pPr>
      <w:r>
        <w:rPr>
          <w:b/>
          <w:bCs/>
        </w:rPr>
        <w:t>syllabic metre</w:t>
      </w:r>
      <w:r>
        <w:t xml:space="preserve"> in our usage refers to all metres defined on the basis of a (largely) fixed number of syllables and constraints applicable to some or all of these syllables</w:t>
      </w:r>
    </w:p>
    <w:p w14:paraId="5F02EE96" w14:textId="77777777">
      <w:pPr>
        <w:pStyle w:val="Lista2"/>
      </w:pPr>
      <w:r>
        <w:t xml:space="preserve">this corresponds to </w:t>
      </w:r>
      <w:r>
        <w:rPr>
          <w:rStyle w:val="Foreign"/>
        </w:rPr>
        <w:t>varṇavr̥tta</w:t>
      </w:r>
      <w:r>
        <w:t xml:space="preserve"> in the Sanskritic tradition</w:t>
      </w:r>
    </w:p>
    <w:p w14:paraId="0E87E622" w14:textId="77777777">
      <w:pPr>
        <w:pStyle w:val="Lista2"/>
      </w:pPr>
      <w:r>
        <w:lastRenderedPageBreak/>
        <w:t>in stricter usage, which is not relevant here, syllabic metre refers to metres constrained only by the number of syllables, while the metres we deal with are predominantly syllabo-quantitative (i.e. based on both syllable count and quantity constraints)</w:t>
      </w:r>
    </w:p>
    <w:p w14:paraId="0E946093" w14:textId="77777777">
      <w:pPr>
        <w:pStyle w:val="Lista"/>
      </w:pPr>
      <w:r>
        <w:rPr>
          <w:b/>
          <w:bCs/>
        </w:rPr>
        <w:t>moraic metre</w:t>
      </w:r>
      <w:r>
        <w:t xml:space="preserve"> in our usage refers to metres defined on the basis of feet or cola constituted of a fixed number of morae but with little or no constraint on the number of the syllables comprising them</w:t>
      </w:r>
    </w:p>
    <w:p w14:paraId="6D49A00C" w14:textId="77777777">
      <w:pPr>
        <w:pStyle w:val="Lista2"/>
      </w:pPr>
      <w:r>
        <w:t xml:space="preserve">this corresponds to </w:t>
      </w:r>
      <w:r>
        <w:rPr>
          <w:rStyle w:val="Foreign"/>
        </w:rPr>
        <w:t>mātrāvr̥tta</w:t>
      </w:r>
      <w:r>
        <w:t xml:space="preserve"> in the Sanskritic tradition, especially to the foot-based </w:t>
      </w:r>
      <w:r>
        <w:rPr>
          <w:rStyle w:val="Foreign"/>
        </w:rPr>
        <w:t>gaṇacchandas</w:t>
      </w:r>
      <w:r>
        <w:t xml:space="preserve"> category</w:t>
      </w:r>
    </w:p>
    <w:p w14:paraId="3C8DD27D" w14:textId="77777777">
      <w:pPr>
        <w:pStyle w:val="Cmsor2"/>
      </w:pPr>
      <w:bookmarkStart w:id="10" w:name="_orz8fxvyzur0" w:colFirst="0" w:colLast="0"/>
      <w:bookmarkStart w:id="11" w:name="_Toc233988973"/>
      <w:bookmarkEnd w:id="10"/>
      <w:r>
        <w:t>Syllable length</w:t>
      </w:r>
      <w:bookmarkEnd w:id="11"/>
    </w:p>
    <w:p w14:paraId="27D0CF11" w14:textId="77777777">
      <w:r>
        <w:t xml:space="preserve">Versification in the languages we work with usually relies on the distinction of short and long syllables for producing rhythm in verse, therefore we prefer the terms “length”, “long” and “short” to the corresponding triad “weight” </w:t>
      </w:r>
      <w:r>
        <w:rPr>
          <w:noProof/>
        </w:rPr>
        <w:t>(</w:t>
      </w:r>
      <w:r>
        <w:t>or “quantity”), “heavy” and “light” often used in discussions of verse in other languages. In this context, “syllable” always refers to a prosodic syllable, which is not necessarily identical to a linguistic syllable.</w:t>
      </w:r>
    </w:p>
    <w:p w14:paraId="10A487DC" w14:textId="77777777">
      <w:pPr>
        <w:pStyle w:val="Lista"/>
      </w:pPr>
      <w:r>
        <w:t>a prosodic syllable is a segment starting with a vowel (or with one or more consonants followed by a vowel when at the beginning of a metrical unit) and ending before the next vowel or the end of a metrical unit, regardless of word boundaries</w:t>
      </w:r>
    </w:p>
    <w:p w14:paraId="12FCBDBE" w14:textId="77777777">
      <w:pPr>
        <w:pStyle w:val="Lista2"/>
      </w:pPr>
      <w:r>
        <w:t xml:space="preserve">the </w:t>
      </w:r>
      <w:r>
        <w:rPr>
          <w:rStyle w:val="Foreign"/>
        </w:rPr>
        <w:t>anuṣṭubh</w:t>
      </w:r>
      <w:r>
        <w:t xml:space="preserve"> hemistich </w:t>
      </w:r>
      <w:r>
        <w:rPr>
          <w:rStyle w:val="Foreign"/>
        </w:rPr>
        <w:t>namas tuṅga-śiraś-cumbi-candra-cāmara-cārave</w:t>
      </w:r>
      <w:r>
        <w:t xml:space="preserve"> is thus broken down into prosodic syllables as follows: </w:t>
      </w:r>
      <w:r>
        <w:rPr>
          <w:rStyle w:val="Foreign"/>
        </w:rPr>
        <w:t>nam-ast-uṅg-aś-ir-aśc-umb-ic-andr-ac-ām-ar-ac-ār-av-e</w:t>
      </w:r>
    </w:p>
    <w:p w14:paraId="0507EC0E" w14:textId="77777777">
      <w:pPr>
        <w:pStyle w:val="Lista"/>
      </w:pPr>
      <w:r>
        <w:t>syllable length is determined as follows:</w:t>
      </w:r>
    </w:p>
    <w:p w14:paraId="1BF79A3F" w14:textId="77777777">
      <w:pPr>
        <w:pStyle w:val="Lista2"/>
      </w:pPr>
      <w:r>
        <w:t xml:space="preserve">a </w:t>
      </w:r>
      <w:r>
        <w:rPr>
          <w:b/>
          <w:bCs/>
        </w:rPr>
        <w:t>short syllable</w:t>
      </w:r>
      <w:r>
        <w:t xml:space="preserve"> is one whose vowel is short </w:t>
      </w:r>
      <w:r>
        <w:rPr>
          <w:noProof/>
        </w:rPr>
        <w:t>(</w:t>
      </w:r>
      <w:r>
        <w:t xml:space="preserve">in Sanskrit: </w:t>
      </w:r>
      <w:r>
        <w:rPr>
          <w:rStyle w:val="Foreign"/>
        </w:rPr>
        <w:t>a</w:t>
      </w:r>
      <w:r>
        <w:t xml:space="preserve">, </w:t>
      </w:r>
      <w:r>
        <w:rPr>
          <w:rStyle w:val="Foreign"/>
        </w:rPr>
        <w:t>i</w:t>
      </w:r>
      <w:r>
        <w:t xml:space="preserve">, </w:t>
      </w:r>
      <w:r>
        <w:rPr>
          <w:rStyle w:val="Foreign"/>
        </w:rPr>
        <w:t>u</w:t>
      </w:r>
      <w:r>
        <w:t xml:space="preserve">, </w:t>
      </w:r>
      <w:r>
        <w:rPr>
          <w:rStyle w:val="Foreign"/>
        </w:rPr>
        <w:t>r̥</w:t>
      </w:r>
      <w:r>
        <w:t xml:space="preserve">, </w:t>
      </w:r>
      <w:r>
        <w:rPr>
          <w:rStyle w:val="Foreign"/>
        </w:rPr>
        <w:t>l̥</w:t>
      </w:r>
      <w:r>
        <w:t xml:space="preserve">) and is followed by no more than one consonant </w:t>
      </w:r>
      <w:r>
        <w:rPr>
          <w:noProof/>
        </w:rPr>
        <w:t>(</w:t>
      </w:r>
      <w:r>
        <w:t>without regard to whether a word boundary is also present)</w:t>
      </w:r>
    </w:p>
    <w:p w14:paraId="04E52F78" w14:textId="77777777">
      <w:pPr>
        <w:pStyle w:val="Lista3"/>
      </w:pPr>
      <w:r>
        <w:t>keep in mind that an aspirated consonant is one consonant even though it is transliterated by two Latin letters</w:t>
      </w:r>
    </w:p>
    <w:p w14:paraId="675AB421" w14:textId="77777777">
      <w:pPr>
        <w:pStyle w:val="Lista2"/>
      </w:pPr>
      <w:r>
        <w:t xml:space="preserve">a </w:t>
      </w:r>
      <w:r>
        <w:rPr>
          <w:b/>
          <w:bCs/>
        </w:rPr>
        <w:t>long syllable</w:t>
      </w:r>
      <w:r>
        <w:t xml:space="preserve"> is one that does not meet both of the above conditions for a short syllable; specifically, a syllable is called</w:t>
      </w:r>
    </w:p>
    <w:p w14:paraId="1DBD5645" w14:textId="77777777">
      <w:pPr>
        <w:pStyle w:val="Lista3"/>
      </w:pPr>
      <w:r>
        <w:t xml:space="preserve">long by nature, if its vowel is long </w:t>
      </w:r>
      <w:r>
        <w:rPr>
          <w:noProof/>
        </w:rPr>
        <w:t>(</w:t>
      </w:r>
      <w:r>
        <w:t xml:space="preserve">in Sanskrit: </w:t>
      </w:r>
      <w:r>
        <w:rPr>
          <w:rStyle w:val="Foreign"/>
        </w:rPr>
        <w:t>ā</w:t>
      </w:r>
      <w:r>
        <w:t xml:space="preserve">, </w:t>
      </w:r>
      <w:r>
        <w:rPr>
          <w:rStyle w:val="Foreign"/>
        </w:rPr>
        <w:t>ī</w:t>
      </w:r>
      <w:r>
        <w:t xml:space="preserve">, </w:t>
      </w:r>
      <w:r>
        <w:rPr>
          <w:rStyle w:val="Foreign"/>
        </w:rPr>
        <w:t>ū</w:t>
      </w:r>
      <w:r>
        <w:t xml:space="preserve">, </w:t>
      </w:r>
      <w:r>
        <w:rPr>
          <w:rStyle w:val="Foreign"/>
        </w:rPr>
        <w:t>r̥̄</w:t>
      </w:r>
      <w:r>
        <w:t xml:space="preserve">, </w:t>
      </w:r>
      <w:r>
        <w:rPr>
          <w:rStyle w:val="Foreign"/>
        </w:rPr>
        <w:t>e</w:t>
      </w:r>
      <w:r>
        <w:t xml:space="preserve">, </w:t>
      </w:r>
      <w:r>
        <w:rPr>
          <w:rStyle w:val="Foreign"/>
        </w:rPr>
        <w:t>ai</w:t>
      </w:r>
      <w:r>
        <w:t xml:space="preserve">, </w:t>
      </w:r>
      <w:r>
        <w:rPr>
          <w:rStyle w:val="Foreign"/>
        </w:rPr>
        <w:t>o</w:t>
      </w:r>
      <w:r>
        <w:t xml:space="preserve">, </w:t>
      </w:r>
      <w:r>
        <w:rPr>
          <w:rStyle w:val="Foreign"/>
        </w:rPr>
        <w:t>au</w:t>
      </w:r>
      <w:r>
        <w:t>)</w:t>
      </w:r>
    </w:p>
    <w:p w14:paraId="03A34759" w14:textId="77777777">
      <w:pPr>
        <w:pStyle w:val="Lista3"/>
      </w:pPr>
      <w:r>
        <w:t>long by position, if its vowel is followed by two or more consonants</w:t>
      </w:r>
    </w:p>
    <w:p w14:paraId="29F4D03D" w14:textId="77777777">
      <w:pPr>
        <w:pStyle w:val="Lista"/>
      </w:pPr>
      <w:r>
        <w:rPr>
          <w:rStyle w:val="Foreign"/>
        </w:rPr>
        <w:t>anusvāra</w:t>
      </w:r>
      <w:r>
        <w:t xml:space="preserve"> and </w:t>
      </w:r>
      <w:r>
        <w:rPr>
          <w:rStyle w:val="Foreign"/>
        </w:rPr>
        <w:t>visarga</w:t>
      </w:r>
      <w:r>
        <w:t xml:space="preserve"> normally count as consonants in determining syllable length, but</w:t>
      </w:r>
    </w:p>
    <w:p w14:paraId="2FE582C3" w14:textId="77777777">
      <w:pPr>
        <w:pStyle w:val="Lista2"/>
      </w:pPr>
      <w:r>
        <w:t xml:space="preserve">in Prakrit languages, </w:t>
      </w:r>
      <w:r>
        <w:rPr>
          <w:rStyle w:val="Foreign"/>
        </w:rPr>
        <w:t>anunāsika</w:t>
      </w:r>
      <w:r>
        <w:t xml:space="preserve"> </w:t>
      </w:r>
      <w:r>
        <w:rPr>
          <w:noProof/>
        </w:rPr>
        <w:t>(</w:t>
      </w:r>
      <w:r>
        <w:t xml:space="preserve">usually not distinguished in writing from </w:t>
      </w:r>
      <w:r>
        <w:rPr>
          <w:rStyle w:val="Foreign"/>
        </w:rPr>
        <w:t>anusvāra</w:t>
      </w:r>
      <w:r>
        <w:t>) indicates the nasalisation of a vowel rather than a nasal consonant following the vowel, and a nasalised vowel followed by a single consonant may still count as short</w:t>
      </w:r>
    </w:p>
    <w:p w14:paraId="12D63B13" w14:textId="77777777">
      <w:pPr>
        <w:pStyle w:val="Lista2"/>
      </w:pPr>
      <w:r>
        <w:t xml:space="preserve">in Sanskrit verse </w:t>
      </w:r>
      <w:r>
        <w:rPr>
          <w:noProof/>
        </w:rPr>
        <w:t>(</w:t>
      </w:r>
      <w:r>
        <w:t xml:space="preserve">though generally only in pre-classical Sanskrit), </w:t>
      </w:r>
      <w:r>
        <w:rPr>
          <w:rStyle w:val="Foreign"/>
        </w:rPr>
        <w:t>anusvāra</w:t>
      </w:r>
      <w:r>
        <w:t xml:space="preserve"> may cause the preceding vowel to be long even when followed by another vowel</w:t>
      </w:r>
    </w:p>
    <w:p w14:paraId="3FA4FF46" w14:textId="77777777">
      <w:pPr>
        <w:pStyle w:val="Lista"/>
      </w:pPr>
      <w:r>
        <w:t xml:space="preserve">certain schools of versification permit some kinds of licence in determining syllable length, the most common licence being that a short vowel followed by a voiceless stop and an </w:t>
      </w:r>
      <w:r>
        <w:rPr>
          <w:rStyle w:val="Foreign"/>
        </w:rPr>
        <w:t>r</w:t>
      </w:r>
      <w:r>
        <w:t xml:space="preserve"> or </w:t>
      </w:r>
      <w:r>
        <w:rPr>
          <w:rStyle w:val="Foreign"/>
        </w:rPr>
        <w:t>l</w:t>
      </w:r>
      <w:r>
        <w:t xml:space="preserve"> may count as a short syllable</w:t>
      </w:r>
    </w:p>
    <w:p w14:paraId="37E20330" w14:textId="77777777">
      <w:pPr>
        <w:pStyle w:val="Cmsor2"/>
      </w:pPr>
      <w:bookmarkStart w:id="12" w:name="_uiwqp6i2kceu" w:colFirst="0" w:colLast="0"/>
      <w:bookmarkStart w:id="13" w:name="_Ref43991811"/>
      <w:bookmarkStart w:id="14" w:name="_Toc233988974"/>
      <w:bookmarkEnd w:id="12"/>
      <w:r>
        <w:t>Prosodic code</w:t>
      </w:r>
      <w:bookmarkEnd w:id="13"/>
      <w:bookmarkEnd w:id="14"/>
    </w:p>
    <w:p w14:paraId="74A10B58" w14:textId="77777777">
      <w:r>
        <w:rPr>
          <w:lang w:eastAsia="en-US" w:bidi="ar-SA"/>
        </w:rPr>
        <w:t xml:space="preserve">Classical prosodic notation for syllable length is based on breves </w:t>
      </w:r>
      <w:r>
        <w:rPr>
          <w:rStyle w:val="MetreCode"/>
        </w:rPr>
        <w:t>⏑</w:t>
      </w:r>
      <w:r>
        <w:t xml:space="preserve"> for short syllables and dashes </w:t>
      </w:r>
      <w:r>
        <w:rPr>
          <w:rStyle w:val="MetreCode"/>
        </w:rPr>
        <w:t>-</w:t>
      </w:r>
      <w:r>
        <w:t xml:space="preserve"> for long syllables. Because some of the relevant symbols are difficult to produce on a keyboard and have poor font support, in XML encoding we use a set of simple ASCII characters for recording prosody. </w:t>
      </w:r>
      <w:r>
        <w:fldChar w:fldCharType="begin"/>
      </w:r>
      <w:r>
        <w:instrText xml:space="preserve"> REF _Ref44134408 \h </w:instrText>
      </w:r>
      <w:r>
        <w:fldChar w:fldCharType="separate"/>
      </w:r>
      <w:r>
        <w:t xml:space="preserve">Table </w:t>
      </w:r>
      <w:r>
        <w:rPr>
          <w:noProof/>
        </w:rPr>
        <w:t>1</w:t>
      </w:r>
      <w:r>
        <w:fldChar w:fldCharType="end"/>
      </w:r>
      <w:r>
        <w:t xml:space="preserve"> below shows the classical symbols relevant to our work (with which you should also familiarise yourself) and the corresponding ASCII characters to be used in encoding, along with the encoding contexts in which the various codes are relevant, discussed further in §</w:t>
      </w:r>
      <w:r>
        <w:fldChar w:fldCharType="begin"/>
      </w:r>
      <w:r>
        <w:instrText xml:space="preserve"> REF _Ref240447362 \r \h </w:instrText>
      </w:r>
      <w:r>
        <w:fldChar w:fldCharType="separate"/>
      </w:r>
      <w:r>
        <w:t>1.3.2</w:t>
      </w:r>
      <w:r>
        <w:fldChar w:fldCharType="end"/>
      </w:r>
      <w:r>
        <w:t xml:space="preserve"> below.</w:t>
      </w:r>
    </w:p>
    <w:p w14:paraId="613D3709" w14:textId="77777777">
      <w:pPr>
        <w:pStyle w:val="Kpalrs"/>
        <w:keepNext/>
      </w:pPr>
      <w:bookmarkStart w:id="15" w:name="_Ref44134408"/>
      <w:bookmarkStart w:id="16" w:name="_Ref48034861"/>
      <w:r>
        <w:lastRenderedPageBreak/>
        <w:t xml:space="preserve">Table </w:t>
      </w:r>
      <w:fldSimple w:instr=" SEQ Table \* ARABIC ">
        <w:r>
          <w:rPr>
            <w:noProof/>
          </w:rPr>
          <w:t>1</w:t>
        </w:r>
      </w:fldSimple>
      <w:bookmarkEnd w:id="15"/>
      <w:r>
        <w:t>. Prosodic notation</w:t>
      </w:r>
      <w:bookmarkEnd w:id="16"/>
    </w:p>
    <w:tbl>
      <w:tblPr>
        <w:tblStyle w:val="19"/>
        <w:tblW w:w="5014"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151"/>
        <w:gridCol w:w="1507"/>
        <w:gridCol w:w="1507"/>
        <w:gridCol w:w="1480"/>
      </w:tblGrid>
      <w:tr w14:paraId="6E7F33D5" w14:textId="77777777">
        <w:tc>
          <w:tcPr>
            <w:tcW w:w="2671" w:type="pct"/>
            <w:shd w:val="clear" w:color="auto" w:fill="F0F7D7"/>
            <w:tcMar>
              <w:top w:w="100" w:type="dxa"/>
              <w:left w:w="100" w:type="dxa"/>
              <w:bottom w:w="100" w:type="dxa"/>
              <w:right w:w="100" w:type="dxa"/>
            </w:tcMar>
          </w:tcPr>
          <w:p w14:paraId="04754F15" w14:textId="77777777">
            <w:pPr>
              <w:pStyle w:val="Tabletext"/>
              <w:keepNext/>
            </w:pPr>
            <w:r>
              <w:t>Description</w:t>
            </w:r>
          </w:p>
        </w:tc>
        <w:tc>
          <w:tcPr>
            <w:tcW w:w="781" w:type="pct"/>
            <w:shd w:val="clear" w:color="auto" w:fill="F0F7D7"/>
          </w:tcPr>
          <w:p w14:paraId="236780F1" w14:textId="77777777">
            <w:pPr>
              <w:pStyle w:val="Tabletext"/>
              <w:keepNext/>
            </w:pPr>
            <w:r>
              <w:t>Classical</w:t>
            </w:r>
          </w:p>
          <w:p w14:paraId="54CA6CC0" w14:textId="77777777">
            <w:pPr>
              <w:pStyle w:val="Tabletext"/>
              <w:keepNext/>
            </w:pPr>
            <w:r>
              <w:t>notation</w:t>
            </w:r>
          </w:p>
        </w:tc>
        <w:tc>
          <w:tcPr>
            <w:tcW w:w="781" w:type="pct"/>
            <w:shd w:val="clear" w:color="auto" w:fill="F0F7D7"/>
            <w:tcMar>
              <w:top w:w="100" w:type="dxa"/>
              <w:left w:w="100" w:type="dxa"/>
              <w:bottom w:w="100" w:type="dxa"/>
              <w:right w:w="100" w:type="dxa"/>
            </w:tcMar>
          </w:tcPr>
          <w:p w14:paraId="74BADB5D" w14:textId="77777777">
            <w:pPr>
              <w:pStyle w:val="Tabletext"/>
              <w:keepNext/>
            </w:pPr>
            <w:r>
              <w:t xml:space="preserve">ASCII </w:t>
            </w:r>
            <w:r>
              <w:br/>
              <w:t>notation</w:t>
            </w:r>
          </w:p>
        </w:tc>
        <w:tc>
          <w:tcPr>
            <w:tcW w:w="767" w:type="pct"/>
            <w:shd w:val="clear" w:color="auto" w:fill="F0F7D7"/>
            <w:tcMar>
              <w:top w:w="100" w:type="dxa"/>
              <w:left w:w="100" w:type="dxa"/>
              <w:bottom w:w="100" w:type="dxa"/>
              <w:right w:w="100" w:type="dxa"/>
            </w:tcMar>
          </w:tcPr>
          <w:p w14:paraId="3F7E61EA" w14:textId="77777777">
            <w:pPr>
              <w:pStyle w:val="Tabletext"/>
              <w:keepNext/>
            </w:pPr>
            <w:r>
              <w:t>Context</w:t>
            </w:r>
          </w:p>
        </w:tc>
      </w:tr>
      <w:tr w14:paraId="7F57A655" w14:textId="77777777">
        <w:tc>
          <w:tcPr>
            <w:tcW w:w="2671" w:type="pct"/>
            <w:shd w:val="clear" w:color="auto" w:fill="F0F7D7"/>
            <w:tcMar>
              <w:top w:w="100" w:type="dxa"/>
              <w:left w:w="100" w:type="dxa"/>
              <w:bottom w:w="100" w:type="dxa"/>
              <w:right w:w="100" w:type="dxa"/>
            </w:tcMar>
          </w:tcPr>
          <w:p w14:paraId="20F46CD0" w14:textId="77777777">
            <w:pPr>
              <w:pStyle w:val="Tabletext"/>
              <w:keepNext/>
            </w:pPr>
            <w:r>
              <w:t>one short/light syllable</w:t>
            </w:r>
          </w:p>
        </w:tc>
        <w:tc>
          <w:tcPr>
            <w:tcW w:w="781" w:type="pct"/>
          </w:tcPr>
          <w:p w14:paraId="5BFF39E8" w14:textId="77777777">
            <w:pPr>
              <w:pStyle w:val="Tabletext"/>
              <w:keepNext/>
            </w:pPr>
            <w:r>
              <w:rPr>
                <w:rStyle w:val="MetreCode"/>
              </w:rPr>
              <w:t>⏑</w:t>
            </w:r>
          </w:p>
        </w:tc>
        <w:tc>
          <w:tcPr>
            <w:tcW w:w="781" w:type="pct"/>
            <w:tcMar>
              <w:top w:w="100" w:type="dxa"/>
              <w:left w:w="100" w:type="dxa"/>
              <w:bottom w:w="100" w:type="dxa"/>
              <w:right w:w="100" w:type="dxa"/>
            </w:tcMar>
          </w:tcPr>
          <w:p w14:paraId="695D6B05" w14:textId="77777777">
            <w:pPr>
              <w:pStyle w:val="Tabletext"/>
              <w:keepNext/>
            </w:pPr>
            <w:r>
              <w:t>-</w:t>
            </w:r>
          </w:p>
        </w:tc>
        <w:tc>
          <w:tcPr>
            <w:tcW w:w="767" w:type="pct"/>
            <w:tcMar>
              <w:top w:w="100" w:type="dxa"/>
              <w:left w:w="100" w:type="dxa"/>
              <w:bottom w:w="100" w:type="dxa"/>
              <w:right w:w="100" w:type="dxa"/>
            </w:tcMar>
          </w:tcPr>
          <w:p w14:paraId="3FDF94AE" w14:textId="77777777">
            <w:pPr>
              <w:pStyle w:val="Tabletext"/>
              <w:keepNext/>
            </w:pPr>
            <w:r>
              <w:t>1, 2, 3</w:t>
            </w:r>
          </w:p>
        </w:tc>
      </w:tr>
      <w:tr w14:paraId="5D935A9F" w14:textId="77777777">
        <w:tc>
          <w:tcPr>
            <w:tcW w:w="2671" w:type="pct"/>
            <w:shd w:val="clear" w:color="auto" w:fill="F0F7D7"/>
            <w:tcMar>
              <w:top w:w="100" w:type="dxa"/>
              <w:left w:w="100" w:type="dxa"/>
              <w:bottom w:w="100" w:type="dxa"/>
              <w:right w:w="100" w:type="dxa"/>
            </w:tcMar>
          </w:tcPr>
          <w:p w14:paraId="609503E3" w14:textId="77777777">
            <w:pPr>
              <w:pStyle w:val="Tabletext"/>
              <w:keepNext/>
            </w:pPr>
            <w:r>
              <w:t>one long/heavy syllable</w:t>
            </w:r>
          </w:p>
        </w:tc>
        <w:tc>
          <w:tcPr>
            <w:tcW w:w="781" w:type="pct"/>
          </w:tcPr>
          <w:p w14:paraId="4FC302CA" w14:textId="77777777">
            <w:pPr>
              <w:pStyle w:val="Tabletext"/>
              <w:keepNext/>
            </w:pPr>
            <w:r>
              <w:rPr>
                <w:rStyle w:val="MetreCode"/>
              </w:rPr>
              <w:t>-</w:t>
            </w:r>
          </w:p>
        </w:tc>
        <w:tc>
          <w:tcPr>
            <w:tcW w:w="781" w:type="pct"/>
            <w:tcMar>
              <w:top w:w="100" w:type="dxa"/>
              <w:left w:w="100" w:type="dxa"/>
              <w:bottom w:w="100" w:type="dxa"/>
              <w:right w:w="100" w:type="dxa"/>
            </w:tcMar>
          </w:tcPr>
          <w:p w14:paraId="074EEBBC" w14:textId="77777777">
            <w:pPr>
              <w:pStyle w:val="Tabletext"/>
              <w:keepNext/>
            </w:pPr>
            <w:r>
              <w:t>+</w:t>
            </w:r>
          </w:p>
        </w:tc>
        <w:tc>
          <w:tcPr>
            <w:tcW w:w="767" w:type="pct"/>
            <w:tcMar>
              <w:top w:w="100" w:type="dxa"/>
              <w:left w:w="100" w:type="dxa"/>
              <w:bottom w:w="100" w:type="dxa"/>
              <w:right w:w="100" w:type="dxa"/>
            </w:tcMar>
          </w:tcPr>
          <w:p w14:paraId="79B6316F" w14:textId="77777777">
            <w:pPr>
              <w:pStyle w:val="Tabletext"/>
              <w:keepNext/>
            </w:pPr>
            <w:r>
              <w:t>1, 2, 3</w:t>
            </w:r>
          </w:p>
        </w:tc>
      </w:tr>
      <w:tr w14:paraId="4E9D41DF" w14:textId="77777777">
        <w:tc>
          <w:tcPr>
            <w:tcW w:w="2671" w:type="pct"/>
            <w:shd w:val="clear" w:color="auto" w:fill="F0F7D7"/>
            <w:tcMar>
              <w:top w:w="100" w:type="dxa"/>
              <w:left w:w="100" w:type="dxa"/>
              <w:bottom w:w="100" w:type="dxa"/>
              <w:right w:w="100" w:type="dxa"/>
            </w:tcMar>
          </w:tcPr>
          <w:p w14:paraId="790863CB" w14:textId="77777777">
            <w:pPr>
              <w:pStyle w:val="Tabletext"/>
              <w:keepNext/>
            </w:pPr>
            <w:r>
              <w:t xml:space="preserve">one syllable of indeterminate length </w:t>
            </w:r>
            <w:r>
              <w:rPr>
                <w:noProof/>
              </w:rPr>
              <w:t>(</w:t>
            </w:r>
            <w:r>
              <w:t>anceps)</w:t>
            </w:r>
          </w:p>
        </w:tc>
        <w:tc>
          <w:tcPr>
            <w:tcW w:w="781" w:type="pct"/>
          </w:tcPr>
          <w:p w14:paraId="51E96160" w14:textId="77777777">
            <w:pPr>
              <w:pStyle w:val="Tabletext"/>
              <w:keepNext/>
            </w:pPr>
            <w:r>
              <w:rPr>
                <w:rStyle w:val="MetreCode"/>
              </w:rPr>
              <w:t>⏓</w:t>
            </w:r>
          </w:p>
        </w:tc>
        <w:tc>
          <w:tcPr>
            <w:tcW w:w="781" w:type="pct"/>
            <w:tcMar>
              <w:top w:w="100" w:type="dxa"/>
              <w:left w:w="100" w:type="dxa"/>
              <w:bottom w:w="100" w:type="dxa"/>
              <w:right w:w="100" w:type="dxa"/>
            </w:tcMar>
          </w:tcPr>
          <w:p w14:paraId="014978D2" w14:textId="77777777">
            <w:pPr>
              <w:pStyle w:val="Tabletext"/>
              <w:keepNext/>
            </w:pPr>
            <w:r>
              <w:t>=</w:t>
            </w:r>
          </w:p>
        </w:tc>
        <w:tc>
          <w:tcPr>
            <w:tcW w:w="767" w:type="pct"/>
            <w:tcMar>
              <w:top w:w="100" w:type="dxa"/>
              <w:left w:w="100" w:type="dxa"/>
              <w:bottom w:w="100" w:type="dxa"/>
              <w:right w:w="100" w:type="dxa"/>
            </w:tcMar>
          </w:tcPr>
          <w:p w14:paraId="7AACB4B3" w14:textId="77777777">
            <w:pPr>
              <w:pStyle w:val="Tabletext"/>
              <w:keepNext/>
            </w:pPr>
            <w:r>
              <w:t xml:space="preserve">1, 2, </w:t>
            </w:r>
            <w:r>
              <w:rPr>
                <w:noProof/>
              </w:rPr>
              <w:t>(</w:t>
            </w:r>
            <w:r>
              <w:t>3)</w:t>
            </w:r>
          </w:p>
        </w:tc>
      </w:tr>
      <w:tr w14:paraId="4E1F65D5" w14:textId="77777777">
        <w:tc>
          <w:tcPr>
            <w:tcW w:w="2671" w:type="pct"/>
            <w:shd w:val="clear" w:color="auto" w:fill="F0F7D7"/>
            <w:tcMar>
              <w:top w:w="100" w:type="dxa"/>
              <w:left w:w="100" w:type="dxa"/>
              <w:bottom w:w="100" w:type="dxa"/>
              <w:right w:w="100" w:type="dxa"/>
            </w:tcMar>
          </w:tcPr>
          <w:p w14:paraId="01F4DD5C" w14:textId="77777777">
            <w:pPr>
              <w:pStyle w:val="Tabletext"/>
              <w:keepNext/>
            </w:pPr>
            <w:r>
              <w:t xml:space="preserve">two morae </w:t>
            </w:r>
            <w:r>
              <w:rPr>
                <w:noProof/>
              </w:rPr>
              <w:t>(</w:t>
            </w:r>
            <w:r>
              <w:t>one long or two short syllables)</w:t>
            </w:r>
          </w:p>
        </w:tc>
        <w:tc>
          <w:tcPr>
            <w:tcW w:w="781" w:type="pct"/>
          </w:tcPr>
          <w:p w14:paraId="29DCC1A1" w14:textId="77777777">
            <w:pPr>
              <w:pStyle w:val="Tabletext"/>
              <w:keepNext/>
            </w:pPr>
            <w:r>
              <w:rPr>
                <w:rStyle w:val="MetreCode"/>
              </w:rPr>
              <w:t>⏕</w:t>
            </w:r>
          </w:p>
        </w:tc>
        <w:tc>
          <w:tcPr>
            <w:tcW w:w="781" w:type="pct"/>
            <w:tcMar>
              <w:top w:w="100" w:type="dxa"/>
              <w:left w:w="100" w:type="dxa"/>
              <w:bottom w:w="100" w:type="dxa"/>
              <w:right w:w="100" w:type="dxa"/>
            </w:tcMar>
          </w:tcPr>
          <w:p w14:paraId="14FD019A" w14:textId="77777777">
            <w:pPr>
              <w:pStyle w:val="Tabletext"/>
              <w:keepNext/>
            </w:pPr>
            <w:r>
              <w:t>2</w:t>
            </w:r>
          </w:p>
        </w:tc>
        <w:tc>
          <w:tcPr>
            <w:tcW w:w="767" w:type="pct"/>
            <w:tcMar>
              <w:top w:w="100" w:type="dxa"/>
              <w:left w:w="100" w:type="dxa"/>
              <w:bottom w:w="100" w:type="dxa"/>
              <w:right w:w="100" w:type="dxa"/>
            </w:tcMar>
          </w:tcPr>
          <w:p w14:paraId="49333FB2" w14:textId="77777777">
            <w:pPr>
              <w:pStyle w:val="Tabletext"/>
              <w:keepNext/>
            </w:pPr>
            <w:r>
              <w:t xml:space="preserve">1, 2, </w:t>
            </w:r>
            <w:r>
              <w:rPr>
                <w:noProof/>
              </w:rPr>
              <w:t>(</w:t>
            </w:r>
            <w:r>
              <w:t>3)</w:t>
            </w:r>
          </w:p>
        </w:tc>
      </w:tr>
      <w:tr w14:paraId="5D096EE2" w14:textId="77777777">
        <w:tc>
          <w:tcPr>
            <w:tcW w:w="2671" w:type="pct"/>
            <w:shd w:val="clear" w:color="auto" w:fill="F0F7D7"/>
            <w:tcMar>
              <w:top w:w="100" w:type="dxa"/>
              <w:left w:w="100" w:type="dxa"/>
              <w:bottom w:w="100" w:type="dxa"/>
              <w:right w:w="100" w:type="dxa"/>
            </w:tcMar>
          </w:tcPr>
          <w:p w14:paraId="259271E0" w14:textId="77777777">
            <w:pPr>
              <w:pStyle w:val="Tabletext"/>
              <w:keepNext/>
            </w:pPr>
            <w:r>
              <w:t>larger moraic foot or colon</w:t>
            </w:r>
          </w:p>
        </w:tc>
        <w:tc>
          <w:tcPr>
            <w:tcW w:w="781" w:type="pct"/>
          </w:tcPr>
          <w:p w14:paraId="7E275B83" w14:textId="77777777">
            <w:pPr>
              <w:pStyle w:val="Tabletext"/>
              <w:keepNext/>
            </w:pPr>
          </w:p>
        </w:tc>
        <w:tc>
          <w:tcPr>
            <w:tcW w:w="781" w:type="pct"/>
            <w:tcMar>
              <w:top w:w="100" w:type="dxa"/>
              <w:left w:w="100" w:type="dxa"/>
              <w:bottom w:w="100" w:type="dxa"/>
              <w:right w:w="100" w:type="dxa"/>
            </w:tcMar>
          </w:tcPr>
          <w:p w14:paraId="46EEB92F" w14:textId="77777777">
            <w:pPr>
              <w:pStyle w:val="Tabletext"/>
              <w:keepNext/>
            </w:pPr>
            <w:r>
              <w:t>numeral</w:t>
            </w:r>
            <w:r>
              <w:rPr>
                <w:noProof/>
              </w:rPr>
              <w:t>(</w:t>
            </w:r>
            <w:r>
              <w:t>s)</w:t>
            </w:r>
          </w:p>
        </w:tc>
        <w:tc>
          <w:tcPr>
            <w:tcW w:w="767" w:type="pct"/>
            <w:tcMar>
              <w:top w:w="100" w:type="dxa"/>
              <w:left w:w="100" w:type="dxa"/>
              <w:bottom w:w="100" w:type="dxa"/>
              <w:right w:w="100" w:type="dxa"/>
            </w:tcMar>
          </w:tcPr>
          <w:p w14:paraId="4F431F02" w14:textId="77777777">
            <w:pPr>
              <w:pStyle w:val="Tabletext"/>
              <w:keepNext/>
            </w:pPr>
            <w:r>
              <w:t xml:space="preserve">1, 2, </w:t>
            </w:r>
            <w:r>
              <w:rPr>
                <w:noProof/>
              </w:rPr>
              <w:t>(</w:t>
            </w:r>
            <w:r>
              <w:t>3)</w:t>
            </w:r>
          </w:p>
        </w:tc>
      </w:tr>
      <w:tr w14:paraId="0E83D19B" w14:textId="77777777">
        <w:tc>
          <w:tcPr>
            <w:tcW w:w="2671" w:type="pct"/>
            <w:shd w:val="clear" w:color="auto" w:fill="F0F7D7"/>
            <w:tcMar>
              <w:top w:w="100" w:type="dxa"/>
              <w:left w:w="100" w:type="dxa"/>
              <w:bottom w:w="100" w:type="dxa"/>
              <w:right w:w="100" w:type="dxa"/>
            </w:tcMar>
          </w:tcPr>
          <w:p w14:paraId="4DEFC82A" w14:textId="77777777">
            <w:pPr>
              <w:pStyle w:val="Tabletext"/>
              <w:keepNext/>
            </w:pPr>
            <w:r>
              <w:t>foot boundary</w:t>
            </w:r>
          </w:p>
        </w:tc>
        <w:tc>
          <w:tcPr>
            <w:tcW w:w="781" w:type="pct"/>
          </w:tcPr>
          <w:p w14:paraId="02DEDAF6" w14:textId="77777777">
            <w:pPr>
              <w:pStyle w:val="Tabletext"/>
              <w:keepNext/>
            </w:pPr>
            <w:r>
              <w:rPr>
                <w:rStyle w:val="MetreCode"/>
              </w:rPr>
              <w:t>|</w:t>
            </w:r>
          </w:p>
        </w:tc>
        <w:tc>
          <w:tcPr>
            <w:tcW w:w="781" w:type="pct"/>
            <w:tcMar>
              <w:top w:w="100" w:type="dxa"/>
              <w:left w:w="100" w:type="dxa"/>
              <w:bottom w:w="100" w:type="dxa"/>
              <w:right w:w="100" w:type="dxa"/>
            </w:tcMar>
          </w:tcPr>
          <w:p w14:paraId="3A82D1D4" w14:textId="77777777">
            <w:pPr>
              <w:pStyle w:val="Tabletext"/>
              <w:keepNext/>
            </w:pPr>
            <w:r>
              <w:t>|</w:t>
            </w:r>
          </w:p>
        </w:tc>
        <w:tc>
          <w:tcPr>
            <w:tcW w:w="767" w:type="pct"/>
            <w:tcMar>
              <w:top w:w="100" w:type="dxa"/>
              <w:left w:w="100" w:type="dxa"/>
              <w:bottom w:w="100" w:type="dxa"/>
              <w:right w:w="100" w:type="dxa"/>
            </w:tcMar>
          </w:tcPr>
          <w:p w14:paraId="47B89047" w14:textId="77777777">
            <w:pPr>
              <w:pStyle w:val="Tabletext"/>
              <w:keepNext/>
            </w:pPr>
            <w:r>
              <w:t xml:space="preserve">1, 2, </w:t>
            </w:r>
            <w:r>
              <w:rPr>
                <w:noProof/>
              </w:rPr>
              <w:t>(</w:t>
            </w:r>
            <w:r>
              <w:t>3)</w:t>
            </w:r>
          </w:p>
        </w:tc>
      </w:tr>
      <w:tr w14:paraId="583BD9AC" w14:textId="77777777">
        <w:tc>
          <w:tcPr>
            <w:tcW w:w="2671" w:type="pct"/>
            <w:shd w:val="clear" w:color="auto" w:fill="F0F7D7"/>
            <w:tcMar>
              <w:top w:w="100" w:type="dxa"/>
              <w:left w:w="100" w:type="dxa"/>
              <w:bottom w:w="100" w:type="dxa"/>
              <w:right w:w="100" w:type="dxa"/>
            </w:tcMar>
          </w:tcPr>
          <w:p w14:paraId="720CEAAB" w14:textId="77777777">
            <w:pPr>
              <w:pStyle w:val="Tabletext"/>
              <w:keepNext/>
            </w:pPr>
            <w:r>
              <w:t>caesura</w:t>
            </w:r>
          </w:p>
        </w:tc>
        <w:tc>
          <w:tcPr>
            <w:tcW w:w="781" w:type="pct"/>
          </w:tcPr>
          <w:p w14:paraId="74938745" w14:textId="77777777">
            <w:pPr>
              <w:pStyle w:val="Tabletext"/>
              <w:keepNext/>
            </w:pPr>
            <w:r>
              <w:rPr>
                <w:rStyle w:val="MetreCode"/>
              </w:rPr>
              <w:t>||</w:t>
            </w:r>
          </w:p>
        </w:tc>
        <w:tc>
          <w:tcPr>
            <w:tcW w:w="781" w:type="pct"/>
            <w:tcMar>
              <w:top w:w="100" w:type="dxa"/>
              <w:left w:w="100" w:type="dxa"/>
              <w:bottom w:w="100" w:type="dxa"/>
              <w:right w:w="100" w:type="dxa"/>
            </w:tcMar>
          </w:tcPr>
          <w:p w14:paraId="5AB96AA9" w14:textId="77777777">
            <w:pPr>
              <w:pStyle w:val="Tabletext"/>
              <w:keepNext/>
            </w:pPr>
            <w:r>
              <w:t>||</w:t>
            </w:r>
            <w:r>
              <w:rPr>
                <w:rStyle w:val="Lbjegyzet-hivatkozs"/>
              </w:rPr>
              <w:footnoteReference w:id="1"/>
            </w:r>
          </w:p>
        </w:tc>
        <w:tc>
          <w:tcPr>
            <w:tcW w:w="767" w:type="pct"/>
            <w:tcMar>
              <w:top w:w="100" w:type="dxa"/>
              <w:left w:w="100" w:type="dxa"/>
              <w:bottom w:w="100" w:type="dxa"/>
              <w:right w:w="100" w:type="dxa"/>
            </w:tcMar>
          </w:tcPr>
          <w:p w14:paraId="163DB455" w14:textId="77777777">
            <w:pPr>
              <w:pStyle w:val="Tabletext"/>
              <w:keepNext/>
            </w:pPr>
            <w:r>
              <w:t>1</w:t>
            </w:r>
          </w:p>
        </w:tc>
      </w:tr>
      <w:tr w14:paraId="01E8EF9D" w14:textId="77777777">
        <w:tc>
          <w:tcPr>
            <w:tcW w:w="2671" w:type="pct"/>
            <w:shd w:val="clear" w:color="auto" w:fill="F0F7D7"/>
            <w:tcMar>
              <w:top w:w="100" w:type="dxa"/>
              <w:left w:w="100" w:type="dxa"/>
              <w:bottom w:w="100" w:type="dxa"/>
              <w:right w:w="100" w:type="dxa"/>
            </w:tcMar>
          </w:tcPr>
          <w:p w14:paraId="0B1A8F8D" w14:textId="77777777">
            <w:pPr>
              <w:pStyle w:val="Tabletext"/>
            </w:pPr>
            <w:r>
              <w:t>boundary of odd and even quarter</w:t>
            </w:r>
          </w:p>
        </w:tc>
        <w:tc>
          <w:tcPr>
            <w:tcW w:w="781" w:type="pct"/>
          </w:tcPr>
          <w:p w14:paraId="1501D590" w14:textId="77777777">
            <w:pPr>
              <w:pStyle w:val="Tabletext"/>
            </w:pPr>
          </w:p>
        </w:tc>
        <w:tc>
          <w:tcPr>
            <w:tcW w:w="781" w:type="pct"/>
            <w:tcMar>
              <w:top w:w="100" w:type="dxa"/>
              <w:left w:w="100" w:type="dxa"/>
              <w:bottom w:w="100" w:type="dxa"/>
              <w:right w:w="100" w:type="dxa"/>
            </w:tcMar>
          </w:tcPr>
          <w:p w14:paraId="026AB7C7" w14:textId="77777777">
            <w:pPr>
              <w:pStyle w:val="Tabletext"/>
            </w:pPr>
            <w:r>
              <w:t>/</w:t>
            </w:r>
          </w:p>
        </w:tc>
        <w:tc>
          <w:tcPr>
            <w:tcW w:w="767" w:type="pct"/>
            <w:tcMar>
              <w:top w:w="100" w:type="dxa"/>
              <w:left w:w="100" w:type="dxa"/>
              <w:bottom w:w="100" w:type="dxa"/>
              <w:right w:w="100" w:type="dxa"/>
            </w:tcMar>
          </w:tcPr>
          <w:p w14:paraId="53190530" w14:textId="77777777">
            <w:pPr>
              <w:pStyle w:val="Tabletext"/>
            </w:pPr>
            <w:r>
              <w:t>1</w:t>
            </w:r>
          </w:p>
        </w:tc>
      </w:tr>
    </w:tbl>
    <w:p w14:paraId="603D171A" w14:textId="77777777">
      <w:pPr>
        <w:rPr>
          <w:lang w:eastAsia="en-US" w:bidi="ar-SA"/>
        </w:rPr>
      </w:pPr>
    </w:p>
    <w:p w14:paraId="22AC1BB6" w14:textId="77777777">
      <w:pPr>
        <w:pStyle w:val="Cmsor3"/>
      </w:pPr>
      <w:r>
        <w:t>How to use prosodic code</w:t>
      </w:r>
    </w:p>
    <w:p w14:paraId="3FAFE8BD" w14:textId="77777777">
      <w:pPr>
        <w:pStyle w:val="Lista"/>
      </w:pPr>
      <w:r>
        <w:t>prosodic code must never contain spaces</w:t>
      </w:r>
    </w:p>
    <w:p w14:paraId="5A806969" w14:textId="77777777">
      <w:pPr>
        <w:pStyle w:val="Lista"/>
      </w:pPr>
      <w:r>
        <w:t>when numbers are used to encode the length of moraic feet (or moraic cola), the number(s) representing the mora count of a foot or colon must always be separated</w:t>
      </w:r>
    </w:p>
    <w:p w14:paraId="0B58B751" w14:textId="77777777">
      <w:pPr>
        <w:pStyle w:val="Lista2"/>
      </w:pPr>
      <w:r>
        <w:t>by the foot boundary sign | from adjacent moraic feet or syllabo-quantitative segments</w:t>
      </w:r>
    </w:p>
    <w:p w14:paraId="657D4D8E" w14:textId="77777777">
      <w:pPr>
        <w:pStyle w:val="Lista2"/>
      </w:pPr>
      <w:r>
        <w:t>by the caesura sign || from adjacent (moraic or syllabo-quantitative) cola</w:t>
      </w:r>
    </w:p>
    <w:p w14:paraId="13152418" w14:textId="77777777">
      <w:pPr>
        <w:pStyle w:val="Lista2"/>
      </w:pPr>
      <w:r>
        <w:t>neither of these signs must be used at the end of a segment of metrical notation, i.e.</w:t>
      </w:r>
    </w:p>
    <w:p w14:paraId="2D166897" w14:textId="77777777">
      <w:pPr>
        <w:pStyle w:val="Lista3"/>
      </w:pPr>
      <w:r>
        <w:t>after the last foot or colon in a template</w:t>
      </w:r>
    </w:p>
    <w:p w14:paraId="4FB7215A" w14:textId="77777777">
      <w:pPr>
        <w:pStyle w:val="Lista3"/>
      </w:pPr>
      <w:r>
        <w:t>after the last (complete or partial) foot within a metrical lacuna</w:t>
      </w:r>
    </w:p>
    <w:p w14:paraId="3F8751E3" w14:textId="77777777">
      <w:pPr>
        <w:pStyle w:val="Lista"/>
      </w:pPr>
      <w:r>
        <w:t>using these separators between numbers makes the notation easier to scan and affords the possibility of using more than one digit to represent the mora count of a colon, should this be necessary</w:t>
      </w:r>
    </w:p>
    <w:p w14:paraId="455D4349" w14:textId="77777777">
      <w:pPr>
        <w:pStyle w:val="Lista2"/>
      </w:pPr>
      <w:r>
        <w:t>however, consider whether large moraic units can be analysed into combinations of smaller feet</w:t>
      </w:r>
    </w:p>
    <w:p w14:paraId="25EB2ED9" w14:textId="77777777">
      <w:pPr>
        <w:pStyle w:val="Cmsor3"/>
      </w:pPr>
      <w:bookmarkStart w:id="17" w:name="_Ref240447362"/>
      <w:r>
        <w:t>When to use prosodic code</w:t>
      </w:r>
      <w:bookmarkEnd w:id="17"/>
    </w:p>
    <w:p w14:paraId="4A7100D1" w14:textId="77777777">
      <w:r>
        <w:t>DHARMA editions may call for the encoding of prosody in the following contexts:</w:t>
      </w:r>
    </w:p>
    <w:p w14:paraId="6C391E6D" w14:textId="77777777">
      <w:pPr>
        <w:pStyle w:val="Lista"/>
        <w:numPr>
          <w:ilvl w:val="0"/>
          <w:numId w:val="23"/>
        </w:numPr>
      </w:pPr>
      <w:r>
        <w:rPr>
          <w:rStyle w:val="Codeattribute"/>
        </w:rPr>
        <w:t>@met</w:t>
      </w:r>
      <w:r>
        <w:t xml:space="preserve"> used in </w:t>
      </w:r>
      <w:r>
        <w:rPr>
          <w:rStyle w:val="Code"/>
        </w:rPr>
        <w:t>&lt;lg&gt;</w:t>
      </w:r>
      <w:r>
        <w:t xml:space="preserve"> (or, rarely, </w:t>
      </w:r>
      <w:r>
        <w:rPr>
          <w:rStyle w:val="Code"/>
        </w:rPr>
        <w:t>&lt;l&gt;</w:t>
      </w:r>
      <w:r>
        <w:t xml:space="preserve">) to encode the metre for which a conventional name is not available </w:t>
      </w:r>
      <w:r>
        <w:rPr>
          <w:noProof/>
        </w:rPr>
        <w:t xml:space="preserve">(EGD </w:t>
      </w:r>
      <w:r>
        <w:t>§2.3.3.1)</w:t>
      </w:r>
    </w:p>
    <w:p w14:paraId="665126E5" w14:textId="77777777">
      <w:pPr>
        <w:pStyle w:val="Lista"/>
        <w:numPr>
          <w:ilvl w:val="0"/>
          <w:numId w:val="23"/>
        </w:numPr>
      </w:pPr>
      <w:r>
        <w:rPr>
          <w:rStyle w:val="Codeattribute"/>
        </w:rPr>
        <w:t>@met</w:t>
      </w:r>
      <w:r>
        <w:t xml:space="preserve"> used in </w:t>
      </w:r>
      <w:r>
        <w:rPr>
          <w:rStyle w:val="Code"/>
        </w:rPr>
        <w:t>&lt;seg&gt;</w:t>
      </w:r>
      <w:r>
        <w:t xml:space="preserve"> to encode the prosody of a lacuna </w:t>
      </w:r>
      <w:r>
        <w:rPr>
          <w:noProof/>
        </w:rPr>
        <w:t>(</w:t>
      </w:r>
      <w:r>
        <w:t>EGD §5.5.2.3 and §5.5.2.4)</w:t>
      </w:r>
    </w:p>
    <w:p w14:paraId="524DFD3A" w14:textId="77777777">
      <w:pPr>
        <w:pStyle w:val="Lista"/>
        <w:numPr>
          <w:ilvl w:val="0"/>
          <w:numId w:val="23"/>
        </w:numPr>
      </w:pPr>
      <w:r>
        <w:rPr>
          <w:rStyle w:val="Codeattribute"/>
        </w:rPr>
        <w:t>@real</w:t>
      </w:r>
      <w:r>
        <w:t xml:space="preserve"> used in </w:t>
      </w:r>
      <w:r>
        <w:rPr>
          <w:rStyle w:val="Code"/>
        </w:rPr>
        <w:t>&lt;l&gt;</w:t>
      </w:r>
      <w:r>
        <w:t xml:space="preserve"> to encode the actual prosody of a metrically deviant verse line </w:t>
      </w:r>
      <w:r>
        <w:rPr>
          <w:noProof/>
        </w:rPr>
        <w:t>(</w:t>
      </w:r>
      <w:r>
        <w:t>EGD  §2.3.2 and §2.3.4.1)</w:t>
      </w:r>
    </w:p>
    <w:p w14:paraId="14F87257" w14:textId="77777777"/>
    <w:p w14:paraId="1A472609" w14:textId="77777777">
      <w:r>
        <w:t xml:space="preserve">The range of applicable notation differs in the above contexts, as indicated in the last column of </w:t>
      </w:r>
      <w:r>
        <w:fldChar w:fldCharType="begin"/>
      </w:r>
      <w:r>
        <w:instrText xml:space="preserve"> REF _Ref44134408 \h </w:instrText>
      </w:r>
      <w:r>
        <w:fldChar w:fldCharType="separate"/>
      </w:r>
      <w:r>
        <w:t xml:space="preserve">Table </w:t>
      </w:r>
      <w:r>
        <w:rPr>
          <w:noProof/>
        </w:rPr>
        <w:t>1</w:t>
      </w:r>
      <w:r>
        <w:fldChar w:fldCharType="end"/>
      </w:r>
      <w:r>
        <w:t xml:space="preserve"> and elaborated below.</w:t>
      </w:r>
    </w:p>
    <w:p w14:paraId="368AE41D" w14:textId="77777777">
      <w:pPr>
        <w:pStyle w:val="Lista"/>
      </w:pPr>
      <w:r>
        <w:t xml:space="preserve">in the attribute </w:t>
      </w:r>
      <w:r>
        <w:rPr>
          <w:rStyle w:val="Codeattribute"/>
        </w:rPr>
        <w:t>@real</w:t>
      </w:r>
      <w:r>
        <w:t xml:space="preserve"> (context 3), use only the signs + and - to encode the exact prosody of a metrical realisation</w:t>
      </w:r>
    </w:p>
    <w:p w14:paraId="095DF2E6" w14:textId="77777777">
      <w:pPr>
        <w:pStyle w:val="Lista2"/>
      </w:pPr>
      <w:r>
        <w:t>except when a metrical anomaly is complicated by a (partial) lacuna in the anomalous segment, as a result of which the exact prosody of the segment cannot be determined, in which case you may use</w:t>
      </w:r>
    </w:p>
    <w:p w14:paraId="743C042B" w14:textId="77777777">
      <w:pPr>
        <w:pStyle w:val="Lista3"/>
      </w:pPr>
      <w:r>
        <w:t>= for anceps when the length of a syllable cannot be determined</w:t>
      </w:r>
    </w:p>
    <w:p w14:paraId="3D78E2AD" w14:textId="77777777">
      <w:pPr>
        <w:pStyle w:val="Lista3"/>
      </w:pPr>
      <w:r>
        <w:t>numerals for moraic notation when the number of lost syllables cannot be determined but the expected mora count can be estimated</w:t>
      </w:r>
    </w:p>
    <w:p w14:paraId="619CE6D4" w14:textId="77777777">
      <w:pPr>
        <w:pStyle w:val="Lista"/>
      </w:pPr>
      <w:r>
        <w:lastRenderedPageBreak/>
        <w:t xml:space="preserve">in the attribute </w:t>
      </w:r>
      <w:r>
        <w:rPr>
          <w:rStyle w:val="Codeattribute"/>
        </w:rPr>
        <w:t>@met</w:t>
      </w:r>
      <w:r>
        <w:t xml:space="preserve"> (contexts 1 and 2), use the notation for anceps </w:t>
      </w:r>
      <w:r>
        <w:rPr>
          <w:noProof/>
        </w:rPr>
        <w:t>(</w:t>
      </w:r>
      <w:r>
        <w:t>rather than that for a long syllable) at the end of each line of syllabic verse</w:t>
      </w:r>
    </w:p>
    <w:p w14:paraId="5B504701" w14:textId="77777777">
      <w:pPr>
        <w:pStyle w:val="Lista2"/>
      </w:pPr>
      <w:r>
        <w:t>caesurae shall only be encoded in context 1</w:t>
      </w:r>
    </w:p>
    <w:p w14:paraId="31C0D219" w14:textId="77777777">
      <w:pPr>
        <w:pStyle w:val="Lista2"/>
      </w:pPr>
      <w:r>
        <w:t xml:space="preserve">odd/even quarter boundaries shall only be noted in context 1 and only when the metre involves a different template for odd and even lines </w:t>
      </w:r>
      <w:r>
        <w:rPr>
          <w:noProof/>
        </w:rPr>
        <w:t>(</w:t>
      </w:r>
      <w:r>
        <w:rPr>
          <w:rStyle w:val="Foreign"/>
        </w:rPr>
        <w:t>ardhasamavr̥tta</w:t>
      </w:r>
      <w:r>
        <w:t>)</w:t>
      </w:r>
    </w:p>
    <w:p w14:paraId="4D48CFAA" w14:textId="77777777">
      <w:pPr>
        <w:pStyle w:val="Cmsor2"/>
      </w:pPr>
      <w:bookmarkStart w:id="18" w:name="_Ref240467142"/>
      <w:r>
        <w:rPr>
          <w:rStyle w:val="Foreign"/>
        </w:rPr>
        <w:t>Gaṇa</w:t>
      </w:r>
      <w:r>
        <w:t xml:space="preserve"> notation</w:t>
      </w:r>
      <w:bookmarkEnd w:id="18"/>
    </w:p>
    <w:p w14:paraId="7D538AA4" w14:textId="77777777">
      <w:r>
        <w:t xml:space="preserve">The Sanskritic tradition represents scansion by a code consisting of a set of </w:t>
      </w:r>
      <w:r>
        <w:rPr>
          <w:rStyle w:val="Foreign"/>
        </w:rPr>
        <w:t>akṣara</w:t>
      </w:r>
      <w:r>
        <w:rPr>
          <w:rStyle w:val="Foreign"/>
          <w:i w:val="0"/>
          <w:iCs w:val="0"/>
        </w:rPr>
        <w:t>s</w:t>
      </w:r>
      <w:r>
        <w:t xml:space="preserve"> that conventionally stand for sets of three prosodic syllables (</w:t>
      </w:r>
      <w:proofErr w:type="spellStart"/>
      <w:r>
        <w:rPr>
          <w:rStyle w:val="Foreign"/>
        </w:rPr>
        <w:t>trika-gaṇa</w:t>
      </w:r>
      <w:proofErr w:type="spellEnd"/>
      <w:r>
        <w:t xml:space="preserve">) or for a single short or long syllable, as summarised in </w:t>
      </w:r>
      <w:r>
        <w:fldChar w:fldCharType="begin"/>
      </w:r>
      <w:r>
        <w:instrText xml:space="preserve"> REF _Ref240453136 \h </w:instrText>
      </w:r>
      <w:r>
        <w:fldChar w:fldCharType="separate"/>
      </w:r>
      <w:r>
        <w:t xml:space="preserve">Table </w:t>
      </w:r>
      <w:r>
        <w:rPr>
          <w:noProof/>
        </w:rPr>
        <w:t>2</w:t>
      </w:r>
      <w:r>
        <w:fldChar w:fldCharType="end"/>
      </w:r>
      <w:r>
        <w:t xml:space="preserve">. These units are called </w:t>
      </w:r>
      <w:r>
        <w:rPr>
          <w:rStyle w:val="Foreign"/>
        </w:rPr>
        <w:t>gaṇa</w:t>
      </w:r>
      <w:r>
        <w:t xml:space="preserve">, the standard term for feet in moraic verse, but are not in fact feet in the sense of autonomous constituent units of larger prosodic patterns. This </w:t>
      </w:r>
      <w:r>
        <w:rPr>
          <w:rStyle w:val="Foreign"/>
        </w:rPr>
        <w:t>gaṇa</w:t>
      </w:r>
      <w:r>
        <w:t>-based notation is included in our authority file for prosodic patterns because it is often familiar to those brought up in the Indic tradition of versification, and is useful for looking up obscure metres in traditional treatises on poesy. However, we consider it on the whole a less useful tool for describing scansion, because with this notation the same metrical segment takes different forms depending on the number and length of syllables preceding it. Familiarity with this system is not required for working on DHARMA digital editions.</w:t>
      </w:r>
    </w:p>
    <w:p w14:paraId="08FAA646" w14:textId="77777777">
      <w:pPr>
        <w:pStyle w:val="Normlbehzs"/>
      </w:pPr>
      <w:r>
        <w:t xml:space="preserve">Where the </w:t>
      </w:r>
      <w:r>
        <w:rPr>
          <w:rStyle w:val="Foreign"/>
        </w:rPr>
        <w:t>gaṇa</w:t>
      </w:r>
      <w:r>
        <w:t xml:space="preserve"> notation shines, on the other hand, is its efficacy in constructing learnable definitions for specific metres. Such definitions in the Sanskrit tradition generally contain the prosodic formula for a metre described using the </w:t>
      </w:r>
      <w:r>
        <w:rPr>
          <w:rStyle w:val="Foreign"/>
        </w:rPr>
        <w:t>akṣara</w:t>
      </w:r>
      <w:r>
        <w:rPr>
          <w:rStyle w:val="Foreign"/>
          <w:i w:val="0"/>
          <w:iCs w:val="0"/>
        </w:rPr>
        <w:t>s</w:t>
      </w:r>
      <w:r>
        <w:t xml:space="preserve"> of this notation (or just their consonants), combined with logograms (</w:t>
      </w:r>
      <w:proofErr w:type="spellStart"/>
      <w:r>
        <w:rPr>
          <w:rStyle w:val="Foreign"/>
        </w:rPr>
        <w:t>bhūtasaṁkhyā</w:t>
      </w:r>
      <w:proofErr w:type="spellEnd"/>
      <w:r>
        <w:t xml:space="preserve">) indicating the length of successive cola in metres involving one or more caesuras, containing the name of the metre, the whole definition itself also being set to the metre. For instance, a classical definition of the </w:t>
      </w:r>
      <w:r>
        <w:rPr>
          <w:rStyle w:val="Foreign"/>
        </w:rPr>
        <w:t>śārdūlavikrīḍita</w:t>
      </w:r>
      <w:r>
        <w:t xml:space="preserve"> metre (</w:t>
      </w:r>
      <w:r>
        <w:rPr>
          <w:rStyle w:val="MetreCode"/>
        </w:rPr>
        <w:t>–––⏑⏑–⏑–⏑⏑⏑–||––⏑––⏑–</w:t>
      </w:r>
      <w:r>
        <w:t xml:space="preserve">) runs as follows: </w:t>
      </w:r>
      <w:r>
        <w:rPr>
          <w:rStyle w:val="Foreign"/>
        </w:rPr>
        <w:t>sūryāśvair masajāḥ statāḥ saguravaḥ śārdūlavikrīḍitam</w:t>
      </w:r>
      <w:r>
        <w:t xml:space="preserve"> </w:t>
      </w:r>
      <w:r>
        <w:rPr>
          <w:noProof/>
        </w:rPr>
        <w:t>(</w:t>
      </w:r>
      <w:r>
        <w:rPr>
          <w:rStyle w:val="Foreign"/>
        </w:rPr>
        <w:t>Vr̥ttaratnākara</w:t>
      </w:r>
      <w:r>
        <w:t xml:space="preserve"> 3.96). Here, </w:t>
      </w:r>
      <w:r>
        <w:rPr>
          <w:rStyle w:val="Foreign"/>
        </w:rPr>
        <w:t>sūrya</w:t>
      </w:r>
      <w:r>
        <w:t xml:space="preserve"> and </w:t>
      </w:r>
      <w:r>
        <w:rPr>
          <w:rStyle w:val="Foreign"/>
        </w:rPr>
        <w:t>aśva</w:t>
      </w:r>
      <w:r>
        <w:t xml:space="preserve"> are numerical codes for 12 (the number of </w:t>
      </w:r>
      <w:proofErr w:type="spellStart"/>
      <w:r>
        <w:t>Ādityas</w:t>
      </w:r>
      <w:proofErr w:type="spellEnd"/>
      <w:r>
        <w:t xml:space="preserve">) and 7 (the number of the Sun God’s horses), the length of the metre’s two cola. The scansion is given through </w:t>
      </w:r>
      <w:r>
        <w:rPr>
          <w:rStyle w:val="Foreign"/>
        </w:rPr>
        <w:t>m-s-j-s-t-t+guru.</w:t>
      </w:r>
    </w:p>
    <w:p w14:paraId="12C9861A" w14:textId="77777777">
      <w:pPr>
        <w:pStyle w:val="Normlbehzs"/>
      </w:pPr>
      <w:r>
        <w:t xml:space="preserve">There are also a number of conventional memory aids for learning the notation itself. One is the (meaningless) string </w:t>
      </w:r>
      <w:r>
        <w:rPr>
          <w:rStyle w:val="Foreign"/>
        </w:rPr>
        <w:t>yamātārājabhānasalagā</w:t>
      </w:r>
      <w:r>
        <w:t xml:space="preserve">, in which the three syllables starting from any of the consonants (or just one syllable starting from one of the last two consonants) give the prosodic pattern denoted by that consonant, as shown in the third column of </w:t>
      </w:r>
      <w:r>
        <w:fldChar w:fldCharType="begin"/>
      </w:r>
      <w:r>
        <w:instrText xml:space="preserve"> REF _Ref240453136 \h </w:instrText>
      </w:r>
      <w:r>
        <w:fldChar w:fldCharType="separate"/>
      </w:r>
      <w:r>
        <w:t xml:space="preserve">Table </w:t>
      </w:r>
      <w:r>
        <w:rPr>
          <w:noProof/>
        </w:rPr>
        <w:t>2</w:t>
      </w:r>
      <w:r>
        <w:fldChar w:fldCharType="end"/>
      </w:r>
      <w:r>
        <w:t xml:space="preserve">. Another is a set of (meaningful but irrelevant) words beginning with each of the consonants, which likewise show the pattern associated with the consonant, as shown in the last column of </w:t>
      </w:r>
      <w:r>
        <w:fldChar w:fldCharType="begin"/>
      </w:r>
      <w:r>
        <w:instrText xml:space="preserve"> REF _Ref240453136 \h </w:instrText>
      </w:r>
      <w:r>
        <w:fldChar w:fldCharType="separate"/>
      </w:r>
      <w:r>
        <w:t xml:space="preserve">Table </w:t>
      </w:r>
      <w:r>
        <w:rPr>
          <w:noProof/>
        </w:rPr>
        <w:t>2</w:t>
      </w:r>
      <w:r>
        <w:fldChar w:fldCharType="end"/>
      </w:r>
      <w:r>
        <w:t>.</w:t>
      </w:r>
    </w:p>
    <w:p w14:paraId="582A4F89" w14:textId="77777777">
      <w:pPr>
        <w:pStyle w:val="Kpalrs"/>
        <w:keepNext/>
      </w:pPr>
      <w:bookmarkStart w:id="19" w:name="_Ref240453136"/>
      <w:r>
        <w:t xml:space="preserve">Table </w:t>
      </w:r>
      <w:fldSimple w:instr=" SEQ Table \* ARABIC ">
        <w:r>
          <w:rPr>
            <w:noProof/>
          </w:rPr>
          <w:t>2</w:t>
        </w:r>
      </w:fldSimple>
      <w:bookmarkEnd w:id="19"/>
      <w:r>
        <w:t xml:space="preserve">. </w:t>
      </w:r>
      <w:r>
        <w:rPr>
          <w:rStyle w:val="Foreign"/>
        </w:rPr>
        <w:t>Gaṇa</w:t>
      </w:r>
      <w:r>
        <w:t xml:space="preserve"> notation</w:t>
      </w:r>
    </w:p>
    <w:tbl>
      <w:tblPr>
        <w:tblStyle w:val="FigureTable"/>
        <w:tblW w:w="5000" w:type="pct"/>
        <w:tblLook w:val="04A0" w:firstRow="1" w:lastRow="0" w:firstColumn="1" w:lastColumn="0" w:noHBand="0" w:noVBand="1"/>
      </w:tblPr>
      <w:tblGrid>
        <w:gridCol w:w="1414"/>
        <w:gridCol w:w="2738"/>
        <w:gridCol w:w="2738"/>
        <w:gridCol w:w="2738"/>
      </w:tblGrid>
      <w:tr w14:paraId="2EECFBBB" w14:textId="77777777">
        <w:trPr>
          <w:cnfStyle w:val="100000000000" w:firstRow="1" w:lastRow="0" w:firstColumn="0" w:lastColumn="0" w:oddVBand="0" w:evenVBand="0" w:oddHBand="0" w:evenHBand="0" w:firstRowFirstColumn="0" w:firstRowLastColumn="0" w:lastRowFirstColumn="0" w:lastRowLastColumn="0"/>
        </w:trPr>
        <w:tc>
          <w:tcPr>
            <w:tcW w:w="734" w:type="pct"/>
          </w:tcPr>
          <w:p w14:paraId="6A3A2E88" w14:textId="77777777">
            <w:pPr>
              <w:pStyle w:val="Tabletext"/>
              <w:jc w:val="center"/>
            </w:pPr>
            <w:r>
              <w:t>code</w:t>
            </w:r>
          </w:p>
        </w:tc>
        <w:tc>
          <w:tcPr>
            <w:tcW w:w="1422" w:type="pct"/>
          </w:tcPr>
          <w:p w14:paraId="55180999" w14:textId="77777777">
            <w:pPr>
              <w:pStyle w:val="Tabletext"/>
              <w:jc w:val="center"/>
            </w:pPr>
            <w:r>
              <w:t>scansion</w:t>
            </w:r>
          </w:p>
        </w:tc>
        <w:tc>
          <w:tcPr>
            <w:tcW w:w="1422" w:type="pct"/>
          </w:tcPr>
          <w:p w14:paraId="16350588" w14:textId="77777777">
            <w:pPr>
              <w:pStyle w:val="Tabletext"/>
              <w:jc w:val="center"/>
            </w:pPr>
            <w:r>
              <w:t>string segment</w:t>
            </w:r>
          </w:p>
        </w:tc>
        <w:tc>
          <w:tcPr>
            <w:tcW w:w="1422" w:type="pct"/>
          </w:tcPr>
          <w:p w14:paraId="0B21E8CF" w14:textId="77777777">
            <w:pPr>
              <w:pStyle w:val="Tabletext"/>
              <w:jc w:val="center"/>
            </w:pPr>
            <w:r>
              <w:t>word</w:t>
            </w:r>
          </w:p>
        </w:tc>
      </w:tr>
      <w:tr w14:paraId="137D6158" w14:textId="77777777">
        <w:tc>
          <w:tcPr>
            <w:tcW w:w="734" w:type="pct"/>
          </w:tcPr>
          <w:p w14:paraId="5482070E" w14:textId="77777777">
            <w:pPr>
              <w:pStyle w:val="Tabletext"/>
              <w:jc w:val="center"/>
              <w:rPr>
                <w:rStyle w:val="Idegen"/>
              </w:rPr>
            </w:pPr>
            <w:r>
              <w:rPr>
                <w:rStyle w:val="Idegen"/>
              </w:rPr>
              <w:t>ya</w:t>
            </w:r>
          </w:p>
        </w:tc>
        <w:tc>
          <w:tcPr>
            <w:tcW w:w="1422" w:type="pct"/>
          </w:tcPr>
          <w:p w14:paraId="1B5580ED" w14:textId="77777777">
            <w:pPr>
              <w:pStyle w:val="Tabletext"/>
              <w:jc w:val="center"/>
              <w:rPr>
                <w:rStyle w:val="Idegen"/>
              </w:rPr>
            </w:pPr>
            <w:r>
              <w:rPr>
                <w:rStyle w:val="MetreCode"/>
              </w:rPr>
              <w:t>⏑ – –</w:t>
            </w:r>
          </w:p>
        </w:tc>
        <w:tc>
          <w:tcPr>
            <w:tcW w:w="1422" w:type="pct"/>
          </w:tcPr>
          <w:p w14:paraId="3A3FB999" w14:textId="77777777">
            <w:pPr>
              <w:pStyle w:val="Tabletext"/>
              <w:rPr>
                <w:rStyle w:val="Idegen"/>
              </w:rPr>
            </w:pPr>
            <w:r>
              <w:rPr>
                <w:rStyle w:val="Idegen"/>
              </w:rPr>
              <w:t>yamātā…</w:t>
            </w:r>
          </w:p>
        </w:tc>
        <w:tc>
          <w:tcPr>
            <w:tcW w:w="1422" w:type="pct"/>
          </w:tcPr>
          <w:p w14:paraId="39BFF095" w14:textId="77777777">
            <w:pPr>
              <w:pStyle w:val="Tabletext"/>
              <w:jc w:val="center"/>
              <w:rPr>
                <w:noProof/>
              </w:rPr>
            </w:pPr>
            <w:r>
              <w:rPr>
                <w:noProof/>
              </w:rPr>
              <w:t>yathārtham</w:t>
            </w:r>
          </w:p>
        </w:tc>
      </w:tr>
      <w:tr w14:paraId="09F7D664" w14:textId="77777777">
        <w:tc>
          <w:tcPr>
            <w:tcW w:w="734" w:type="pct"/>
          </w:tcPr>
          <w:p w14:paraId="4C0C1EF2" w14:textId="77777777">
            <w:pPr>
              <w:pStyle w:val="Tabletext"/>
              <w:jc w:val="center"/>
              <w:rPr>
                <w:rStyle w:val="Idegen"/>
              </w:rPr>
            </w:pPr>
            <w:r>
              <w:rPr>
                <w:rStyle w:val="Idegen"/>
              </w:rPr>
              <w:t>ma</w:t>
            </w:r>
          </w:p>
        </w:tc>
        <w:tc>
          <w:tcPr>
            <w:tcW w:w="1422" w:type="pct"/>
          </w:tcPr>
          <w:p w14:paraId="080C09AD" w14:textId="77777777">
            <w:pPr>
              <w:pStyle w:val="Tabletext"/>
              <w:jc w:val="center"/>
              <w:rPr>
                <w:rStyle w:val="Idegen"/>
              </w:rPr>
            </w:pPr>
            <w:r>
              <w:rPr>
                <w:rStyle w:val="MetreCode"/>
              </w:rPr>
              <w:t>– – –</w:t>
            </w:r>
          </w:p>
        </w:tc>
        <w:tc>
          <w:tcPr>
            <w:tcW w:w="1422" w:type="pct"/>
          </w:tcPr>
          <w:p w14:paraId="50DBEA91" w14:textId="77777777">
            <w:pPr>
              <w:pStyle w:val="Tabletext"/>
              <w:rPr>
                <w:rStyle w:val="Idegen"/>
              </w:rPr>
            </w:pPr>
            <w:r>
              <w:rPr>
                <w:rStyle w:val="Idegen"/>
              </w:rPr>
              <w:t xml:space="preserve">   mātārā…</w:t>
            </w:r>
          </w:p>
        </w:tc>
        <w:tc>
          <w:tcPr>
            <w:tcW w:w="1422" w:type="pct"/>
          </w:tcPr>
          <w:p w14:paraId="1FC2A9C6" w14:textId="77777777">
            <w:pPr>
              <w:pStyle w:val="Tabletext"/>
              <w:jc w:val="center"/>
              <w:rPr>
                <w:noProof/>
              </w:rPr>
            </w:pPr>
            <w:r>
              <w:rPr>
                <w:noProof/>
              </w:rPr>
              <w:t>mantrāṇām</w:t>
            </w:r>
          </w:p>
        </w:tc>
      </w:tr>
      <w:tr w14:paraId="5287E2E8" w14:textId="77777777">
        <w:tc>
          <w:tcPr>
            <w:tcW w:w="734" w:type="pct"/>
          </w:tcPr>
          <w:p w14:paraId="03E87C6B" w14:textId="77777777">
            <w:pPr>
              <w:pStyle w:val="Tabletext"/>
              <w:jc w:val="center"/>
              <w:rPr>
                <w:rStyle w:val="Idegen"/>
              </w:rPr>
            </w:pPr>
            <w:r>
              <w:rPr>
                <w:rStyle w:val="Idegen"/>
              </w:rPr>
              <w:t>ta</w:t>
            </w:r>
          </w:p>
        </w:tc>
        <w:tc>
          <w:tcPr>
            <w:tcW w:w="1422" w:type="pct"/>
          </w:tcPr>
          <w:p w14:paraId="08F9D04B" w14:textId="77777777">
            <w:pPr>
              <w:pStyle w:val="Tabletext"/>
              <w:jc w:val="center"/>
              <w:rPr>
                <w:rStyle w:val="Idegen"/>
              </w:rPr>
            </w:pPr>
            <w:r>
              <w:rPr>
                <w:rStyle w:val="MetreCode"/>
              </w:rPr>
              <w:t>– – ⏑</w:t>
            </w:r>
          </w:p>
        </w:tc>
        <w:tc>
          <w:tcPr>
            <w:tcW w:w="1422" w:type="pct"/>
          </w:tcPr>
          <w:p w14:paraId="72B8824B" w14:textId="77777777">
            <w:pPr>
              <w:pStyle w:val="Tabletext"/>
              <w:rPr>
                <w:rStyle w:val="Idegen"/>
              </w:rPr>
            </w:pPr>
            <w:r>
              <w:rPr>
                <w:rStyle w:val="Idegen"/>
              </w:rPr>
              <w:t xml:space="preserve">        tārāja…</w:t>
            </w:r>
          </w:p>
        </w:tc>
        <w:tc>
          <w:tcPr>
            <w:tcW w:w="1422" w:type="pct"/>
          </w:tcPr>
          <w:p w14:paraId="2B6B682A" w14:textId="77777777">
            <w:pPr>
              <w:pStyle w:val="Tabletext"/>
              <w:jc w:val="center"/>
              <w:rPr>
                <w:noProof/>
              </w:rPr>
            </w:pPr>
            <w:r>
              <w:rPr>
                <w:noProof/>
              </w:rPr>
              <w:t>tantrāṇi</w:t>
            </w:r>
          </w:p>
        </w:tc>
      </w:tr>
      <w:tr w14:paraId="20FB45F3" w14:textId="77777777">
        <w:tc>
          <w:tcPr>
            <w:tcW w:w="734" w:type="pct"/>
          </w:tcPr>
          <w:p w14:paraId="4218BB58" w14:textId="77777777">
            <w:pPr>
              <w:pStyle w:val="Tabletext"/>
              <w:jc w:val="center"/>
              <w:rPr>
                <w:rStyle w:val="Idegen"/>
              </w:rPr>
            </w:pPr>
            <w:r>
              <w:rPr>
                <w:rStyle w:val="Idegen"/>
              </w:rPr>
              <w:t>ra</w:t>
            </w:r>
          </w:p>
        </w:tc>
        <w:tc>
          <w:tcPr>
            <w:tcW w:w="1422" w:type="pct"/>
          </w:tcPr>
          <w:p w14:paraId="49D7E95F" w14:textId="77777777">
            <w:pPr>
              <w:pStyle w:val="Tabletext"/>
              <w:jc w:val="center"/>
              <w:rPr>
                <w:rStyle w:val="Idegen"/>
              </w:rPr>
            </w:pPr>
            <w:r>
              <w:rPr>
                <w:rStyle w:val="MetreCode"/>
              </w:rPr>
              <w:t>– ⏑ –</w:t>
            </w:r>
          </w:p>
        </w:tc>
        <w:tc>
          <w:tcPr>
            <w:tcW w:w="1422" w:type="pct"/>
          </w:tcPr>
          <w:p w14:paraId="7B20C982" w14:textId="77777777">
            <w:pPr>
              <w:pStyle w:val="Tabletext"/>
              <w:rPr>
                <w:rStyle w:val="Idegen"/>
              </w:rPr>
            </w:pPr>
            <w:r>
              <w:rPr>
                <w:rStyle w:val="Idegen"/>
              </w:rPr>
              <w:t xml:space="preserve">            rājabhā…</w:t>
            </w:r>
          </w:p>
        </w:tc>
        <w:tc>
          <w:tcPr>
            <w:tcW w:w="1422" w:type="pct"/>
          </w:tcPr>
          <w:p w14:paraId="33DF84ED" w14:textId="77777777">
            <w:pPr>
              <w:pStyle w:val="Tabletext"/>
              <w:jc w:val="center"/>
              <w:rPr>
                <w:noProof/>
              </w:rPr>
            </w:pPr>
            <w:r>
              <w:rPr>
                <w:noProof/>
              </w:rPr>
              <w:t>rakṣaṇam</w:t>
            </w:r>
          </w:p>
        </w:tc>
      </w:tr>
      <w:tr w14:paraId="57693F29" w14:textId="77777777">
        <w:tc>
          <w:tcPr>
            <w:tcW w:w="734" w:type="pct"/>
          </w:tcPr>
          <w:p w14:paraId="62B74A8D" w14:textId="77777777">
            <w:pPr>
              <w:pStyle w:val="Tabletext"/>
              <w:jc w:val="center"/>
              <w:rPr>
                <w:rStyle w:val="Idegen"/>
              </w:rPr>
            </w:pPr>
            <w:r>
              <w:rPr>
                <w:rStyle w:val="Idegen"/>
              </w:rPr>
              <w:t>ja</w:t>
            </w:r>
          </w:p>
        </w:tc>
        <w:tc>
          <w:tcPr>
            <w:tcW w:w="1422" w:type="pct"/>
          </w:tcPr>
          <w:p w14:paraId="2CB3E3CF" w14:textId="77777777">
            <w:pPr>
              <w:pStyle w:val="Tabletext"/>
              <w:jc w:val="center"/>
              <w:rPr>
                <w:rStyle w:val="Idegen"/>
              </w:rPr>
            </w:pPr>
            <w:r>
              <w:rPr>
                <w:rStyle w:val="MetreCode"/>
              </w:rPr>
              <w:t>⏑ – ⏑</w:t>
            </w:r>
          </w:p>
        </w:tc>
        <w:tc>
          <w:tcPr>
            <w:tcW w:w="1422" w:type="pct"/>
          </w:tcPr>
          <w:p w14:paraId="0C3734D9" w14:textId="77777777">
            <w:pPr>
              <w:pStyle w:val="Tabletext"/>
              <w:rPr>
                <w:rStyle w:val="Idegen"/>
              </w:rPr>
            </w:pPr>
            <w:r>
              <w:rPr>
                <w:rStyle w:val="Idegen"/>
              </w:rPr>
              <w:t xml:space="preserve">               jabhāna…</w:t>
            </w:r>
          </w:p>
        </w:tc>
        <w:tc>
          <w:tcPr>
            <w:tcW w:w="1422" w:type="pct"/>
          </w:tcPr>
          <w:p w14:paraId="3CF32899" w14:textId="77777777">
            <w:pPr>
              <w:pStyle w:val="Tabletext"/>
              <w:jc w:val="center"/>
              <w:rPr>
                <w:noProof/>
              </w:rPr>
            </w:pPr>
            <w:r>
              <w:rPr>
                <w:noProof/>
              </w:rPr>
              <w:t>jajāpa</w:t>
            </w:r>
          </w:p>
        </w:tc>
      </w:tr>
      <w:tr w14:paraId="28E7154B" w14:textId="77777777">
        <w:tc>
          <w:tcPr>
            <w:tcW w:w="734" w:type="pct"/>
          </w:tcPr>
          <w:p w14:paraId="7BA8EFF7" w14:textId="77777777">
            <w:pPr>
              <w:pStyle w:val="Tabletext"/>
              <w:jc w:val="center"/>
              <w:rPr>
                <w:rStyle w:val="Idegen"/>
              </w:rPr>
            </w:pPr>
            <w:r>
              <w:rPr>
                <w:rStyle w:val="Idegen"/>
              </w:rPr>
              <w:t>bha</w:t>
            </w:r>
          </w:p>
        </w:tc>
        <w:tc>
          <w:tcPr>
            <w:tcW w:w="1422" w:type="pct"/>
          </w:tcPr>
          <w:p w14:paraId="1B0AE266" w14:textId="77777777">
            <w:pPr>
              <w:pStyle w:val="Tabletext"/>
              <w:jc w:val="center"/>
              <w:rPr>
                <w:rStyle w:val="Idegen"/>
              </w:rPr>
            </w:pPr>
            <w:r>
              <w:rPr>
                <w:rStyle w:val="MetreCode"/>
              </w:rPr>
              <w:t>– ⏑ ⏑</w:t>
            </w:r>
          </w:p>
        </w:tc>
        <w:tc>
          <w:tcPr>
            <w:tcW w:w="1422" w:type="pct"/>
          </w:tcPr>
          <w:p w14:paraId="0B9C2CB6" w14:textId="77777777">
            <w:pPr>
              <w:pStyle w:val="Tabletext"/>
              <w:rPr>
                <w:rStyle w:val="Idegen"/>
              </w:rPr>
            </w:pPr>
            <w:r>
              <w:rPr>
                <w:rStyle w:val="Idegen"/>
              </w:rPr>
              <w:t xml:space="preserve">                  bhānasa…</w:t>
            </w:r>
          </w:p>
        </w:tc>
        <w:tc>
          <w:tcPr>
            <w:tcW w:w="1422" w:type="pct"/>
          </w:tcPr>
          <w:p w14:paraId="016C0ACD" w14:textId="77777777">
            <w:pPr>
              <w:pStyle w:val="Tabletext"/>
              <w:jc w:val="center"/>
              <w:rPr>
                <w:noProof/>
              </w:rPr>
            </w:pPr>
            <w:r>
              <w:rPr>
                <w:noProof/>
              </w:rPr>
              <w:t>bhaṅguram</w:t>
            </w:r>
          </w:p>
        </w:tc>
      </w:tr>
      <w:tr w14:paraId="40373BDF" w14:textId="77777777">
        <w:tc>
          <w:tcPr>
            <w:tcW w:w="734" w:type="pct"/>
          </w:tcPr>
          <w:p w14:paraId="4428A847" w14:textId="77777777">
            <w:pPr>
              <w:pStyle w:val="Tabletext"/>
              <w:jc w:val="center"/>
              <w:rPr>
                <w:rStyle w:val="Idegen"/>
              </w:rPr>
            </w:pPr>
            <w:r>
              <w:rPr>
                <w:rStyle w:val="Idegen"/>
              </w:rPr>
              <w:t>na</w:t>
            </w:r>
          </w:p>
        </w:tc>
        <w:tc>
          <w:tcPr>
            <w:tcW w:w="1422" w:type="pct"/>
          </w:tcPr>
          <w:p w14:paraId="66CC7C74" w14:textId="77777777">
            <w:pPr>
              <w:pStyle w:val="Tabletext"/>
              <w:jc w:val="center"/>
              <w:rPr>
                <w:rStyle w:val="Idegen"/>
              </w:rPr>
            </w:pPr>
            <w:r>
              <w:rPr>
                <w:rStyle w:val="MetreCode"/>
              </w:rPr>
              <w:t>⏑ ⏑ ⏑</w:t>
            </w:r>
          </w:p>
        </w:tc>
        <w:tc>
          <w:tcPr>
            <w:tcW w:w="1422" w:type="pct"/>
          </w:tcPr>
          <w:p w14:paraId="4DCF4967" w14:textId="77777777">
            <w:pPr>
              <w:pStyle w:val="Tabletext"/>
              <w:rPr>
                <w:rStyle w:val="Idegen"/>
              </w:rPr>
            </w:pPr>
            <w:r>
              <w:rPr>
                <w:rStyle w:val="Idegen"/>
              </w:rPr>
              <w:t xml:space="preserve">                        nasala…</w:t>
            </w:r>
          </w:p>
        </w:tc>
        <w:tc>
          <w:tcPr>
            <w:tcW w:w="1422" w:type="pct"/>
          </w:tcPr>
          <w:p w14:paraId="243FD766" w14:textId="77777777">
            <w:pPr>
              <w:pStyle w:val="Tabletext"/>
              <w:jc w:val="center"/>
              <w:rPr>
                <w:noProof/>
              </w:rPr>
            </w:pPr>
            <w:r>
              <w:rPr>
                <w:noProof/>
              </w:rPr>
              <w:t>nayati</w:t>
            </w:r>
          </w:p>
        </w:tc>
      </w:tr>
      <w:tr w14:paraId="75D15F88" w14:textId="77777777">
        <w:tc>
          <w:tcPr>
            <w:tcW w:w="734" w:type="pct"/>
          </w:tcPr>
          <w:p w14:paraId="2200AF5B" w14:textId="77777777">
            <w:pPr>
              <w:pStyle w:val="Tabletext"/>
              <w:jc w:val="center"/>
              <w:rPr>
                <w:rStyle w:val="Idegen"/>
              </w:rPr>
            </w:pPr>
            <w:r>
              <w:rPr>
                <w:rStyle w:val="Idegen"/>
              </w:rPr>
              <w:t>sa</w:t>
            </w:r>
          </w:p>
        </w:tc>
        <w:tc>
          <w:tcPr>
            <w:tcW w:w="1422" w:type="pct"/>
          </w:tcPr>
          <w:p w14:paraId="0F540BA1" w14:textId="77777777">
            <w:pPr>
              <w:pStyle w:val="Tabletext"/>
              <w:jc w:val="center"/>
              <w:rPr>
                <w:rStyle w:val="Idegen"/>
              </w:rPr>
            </w:pPr>
            <w:r>
              <w:rPr>
                <w:rStyle w:val="MetreCode"/>
              </w:rPr>
              <w:t>⏑ ⏑ –</w:t>
            </w:r>
          </w:p>
        </w:tc>
        <w:tc>
          <w:tcPr>
            <w:tcW w:w="1422" w:type="pct"/>
          </w:tcPr>
          <w:p w14:paraId="264EE39A" w14:textId="77777777">
            <w:pPr>
              <w:pStyle w:val="Tabletext"/>
              <w:rPr>
                <w:rStyle w:val="Idegen"/>
              </w:rPr>
            </w:pPr>
            <w:r>
              <w:rPr>
                <w:rStyle w:val="Idegen"/>
              </w:rPr>
              <w:t xml:space="preserve">                            salagā</w:t>
            </w:r>
          </w:p>
        </w:tc>
        <w:tc>
          <w:tcPr>
            <w:tcW w:w="1422" w:type="pct"/>
          </w:tcPr>
          <w:p w14:paraId="3B7E42B1" w14:textId="77777777">
            <w:pPr>
              <w:pStyle w:val="Tabletext"/>
              <w:jc w:val="center"/>
              <w:rPr>
                <w:noProof/>
              </w:rPr>
            </w:pPr>
            <w:r>
              <w:rPr>
                <w:noProof/>
              </w:rPr>
              <w:t>sahajam</w:t>
            </w:r>
          </w:p>
        </w:tc>
      </w:tr>
      <w:tr w14:paraId="6878B3E4" w14:textId="77777777">
        <w:tc>
          <w:tcPr>
            <w:tcW w:w="734" w:type="pct"/>
          </w:tcPr>
          <w:p w14:paraId="7C4ADF6F" w14:textId="77777777">
            <w:pPr>
              <w:pStyle w:val="Tabletext"/>
              <w:jc w:val="center"/>
              <w:rPr>
                <w:rStyle w:val="Idegen"/>
              </w:rPr>
            </w:pPr>
            <w:r>
              <w:rPr>
                <w:rStyle w:val="Idegen"/>
              </w:rPr>
              <w:t>l</w:t>
            </w:r>
            <w:r>
              <w:t>a</w:t>
            </w:r>
          </w:p>
        </w:tc>
        <w:tc>
          <w:tcPr>
            <w:tcW w:w="1422" w:type="pct"/>
          </w:tcPr>
          <w:p w14:paraId="5F6AAF6A" w14:textId="77777777">
            <w:pPr>
              <w:pStyle w:val="Tabletext"/>
              <w:jc w:val="center"/>
              <w:rPr>
                <w:rStyle w:val="Idegen"/>
              </w:rPr>
            </w:pPr>
            <w:r>
              <w:rPr>
                <w:rStyle w:val="MetreCode"/>
              </w:rPr>
              <w:t>⏑</w:t>
            </w:r>
          </w:p>
        </w:tc>
        <w:tc>
          <w:tcPr>
            <w:tcW w:w="1422" w:type="pct"/>
          </w:tcPr>
          <w:p w14:paraId="1AD86CB9" w14:textId="77777777">
            <w:pPr>
              <w:pStyle w:val="Tabletext"/>
              <w:rPr>
                <w:rStyle w:val="Idegen"/>
              </w:rPr>
            </w:pPr>
            <w:r>
              <w:rPr>
                <w:rStyle w:val="Idegen"/>
              </w:rPr>
              <w:t xml:space="preserve">                                la</w:t>
            </w:r>
          </w:p>
        </w:tc>
        <w:tc>
          <w:tcPr>
            <w:tcW w:w="1422" w:type="pct"/>
          </w:tcPr>
          <w:p w14:paraId="7BCFA84E" w14:textId="77777777">
            <w:pPr>
              <w:pStyle w:val="Tabletext"/>
              <w:jc w:val="center"/>
              <w:rPr>
                <w:noProof/>
              </w:rPr>
            </w:pPr>
            <w:r>
              <w:rPr>
                <w:noProof/>
              </w:rPr>
              <w:t>(laghu)</w:t>
            </w:r>
          </w:p>
        </w:tc>
      </w:tr>
      <w:tr w14:paraId="324CC7EF" w14:textId="77777777">
        <w:tc>
          <w:tcPr>
            <w:tcW w:w="734" w:type="pct"/>
          </w:tcPr>
          <w:p w14:paraId="799A1FE5" w14:textId="77777777">
            <w:pPr>
              <w:pStyle w:val="Tabletext"/>
              <w:jc w:val="center"/>
              <w:rPr>
                <w:rStyle w:val="Idegen"/>
              </w:rPr>
            </w:pPr>
            <w:r>
              <w:rPr>
                <w:rStyle w:val="Idegen"/>
              </w:rPr>
              <w:t>ga</w:t>
            </w:r>
          </w:p>
        </w:tc>
        <w:tc>
          <w:tcPr>
            <w:tcW w:w="1422" w:type="pct"/>
          </w:tcPr>
          <w:p w14:paraId="28C68DE0" w14:textId="77777777">
            <w:pPr>
              <w:pStyle w:val="Tabletext"/>
              <w:jc w:val="center"/>
              <w:rPr>
                <w:rStyle w:val="Idegen"/>
              </w:rPr>
            </w:pPr>
            <w:r>
              <w:rPr>
                <w:rStyle w:val="MetreCode"/>
              </w:rPr>
              <w:t>–</w:t>
            </w:r>
          </w:p>
        </w:tc>
        <w:tc>
          <w:tcPr>
            <w:tcW w:w="1422" w:type="pct"/>
          </w:tcPr>
          <w:p w14:paraId="643DA39D" w14:textId="77777777">
            <w:pPr>
              <w:pStyle w:val="Tabletext"/>
              <w:rPr>
                <w:rStyle w:val="Idegen"/>
              </w:rPr>
            </w:pPr>
            <w:r>
              <w:rPr>
                <w:rStyle w:val="Idegen"/>
              </w:rPr>
              <w:t xml:space="preserve">                                   gā</w:t>
            </w:r>
          </w:p>
        </w:tc>
        <w:tc>
          <w:tcPr>
            <w:tcW w:w="1422" w:type="pct"/>
          </w:tcPr>
          <w:p w14:paraId="2BBAA4B0" w14:textId="77777777">
            <w:pPr>
              <w:pStyle w:val="Tabletext"/>
              <w:jc w:val="center"/>
              <w:rPr>
                <w:noProof/>
              </w:rPr>
            </w:pPr>
            <w:r>
              <w:rPr>
                <w:noProof/>
              </w:rPr>
              <w:t>(guru)</w:t>
            </w:r>
          </w:p>
        </w:tc>
      </w:tr>
    </w:tbl>
    <w:p w14:paraId="469EE70D" w14:textId="77777777"/>
    <w:p w14:paraId="5912C5A6" w14:textId="77777777"/>
    <w:p w14:paraId="403548AC" w14:textId="77777777">
      <w:pPr>
        <w:pStyle w:val="Cmsor1"/>
      </w:pPr>
      <w:bookmarkStart w:id="20" w:name="_g11y2ljnx9av" w:colFirst="0" w:colLast="0"/>
      <w:bookmarkEnd w:id="20"/>
      <w:r>
        <w:lastRenderedPageBreak/>
        <w:t>The Sanskritic versification tradition</w:t>
      </w:r>
    </w:p>
    <w:p w14:paraId="5731C061" w14:textId="77777777">
      <w:pPr>
        <w:rPr>
          <w:lang w:eastAsia="en-US" w:bidi="ar-SA"/>
        </w:rPr>
      </w:pPr>
      <w:r>
        <w:rPr>
          <w:lang w:eastAsia="en-US" w:bidi="ar-SA"/>
        </w:rPr>
        <w:t>In the umbrella term “Sanskritic versification tradition”, we include the versification traditions of Middle Indo-Aryan (Prakrit) languages which may have roots outside the school of Sanskrit versification but are nonetheless inextricably intertwined with the latter in Indic poetry. We likewise include here the Sanskrit-derived traditions associated with Dravidian and Southeast Asian languages.</w:t>
      </w:r>
    </w:p>
    <w:p w14:paraId="2AAE3789" w14:textId="77777777">
      <w:pPr>
        <w:pStyle w:val="Cmsor2"/>
      </w:pPr>
      <w:bookmarkStart w:id="21" w:name="_Toc233988972"/>
      <w:r>
        <w:t>Identifying Sanskritic metres</w:t>
      </w:r>
      <w:bookmarkEnd w:id="21"/>
    </w:p>
    <w:p w14:paraId="789544A1" w14:textId="77777777">
      <w:pPr>
        <w:rPr>
          <w:lang w:eastAsia="en-US" w:bidi="ar-SA"/>
        </w:rPr>
      </w:pPr>
      <w:r>
        <w:rPr>
          <w:lang w:eastAsia="en-US" w:bidi="ar-SA"/>
        </w:rPr>
        <w:t>Although this may be difficult for native speakers of languages that do not have a concept of syllable length (as opposed to weight), we strongly recommend that you try reciting the verses you encounter and timing the syllables correctly. This will help tremendously in recognising metres. For any verse whose metre you cannot recognise confidently, we recommend the following.</w:t>
      </w:r>
    </w:p>
    <w:p w14:paraId="1176C7BB" w14:textId="77777777">
      <w:pPr>
        <w:pStyle w:val="Lista"/>
      </w:pPr>
      <w:r>
        <w:t>transcribe the prosody of the stanza (or at least half of it) using either the classical or the ASCII notation</w:t>
      </w:r>
    </w:p>
    <w:p w14:paraId="14D91280" w14:textId="77777777">
      <w:pPr>
        <w:pStyle w:val="Lista2"/>
      </w:pPr>
      <w:r>
        <w:t>if the lines have an identical scansion or differ only to a small extent, you are probably dealing with a syllabo-quantitative metre</w:t>
      </w:r>
    </w:p>
    <w:p w14:paraId="66A76980" w14:textId="77777777">
      <w:pPr>
        <w:pStyle w:val="Lista2"/>
      </w:pPr>
      <w:r>
        <w:t>if the scansion of the lines differs greatly, you are dealing with a moraic metre, for which you need to establish a pattern based on mora counts</w:t>
      </w:r>
    </w:p>
    <w:p w14:paraId="3F874BC3" w14:textId="77777777">
      <w:pPr>
        <w:pStyle w:val="Lista"/>
      </w:pPr>
      <w:r>
        <w:t>to look up the name of a metre, refer first to the DHARMA authority file on prosody and verse forms, https://dharmalekha.info/prosody</w:t>
      </w:r>
    </w:p>
    <w:p w14:paraId="44723FC5" w14:textId="77777777">
      <w:pPr>
        <w:pStyle w:val="Lista2"/>
      </w:pPr>
      <w:r>
        <w:t>if the metre is not listed in the authority file, consult one of the reference works cited there, in particular</w:t>
      </w:r>
    </w:p>
    <w:p w14:paraId="6E0550CA" w14:textId="43BF4B65">
      <w:pPr>
        <w:pStyle w:val="Lista3"/>
      </w:pPr>
      <w:r>
        <w:t xml:space="preserve">Appendix A in Apte’s </w:t>
      </w:r>
      <w:r>
        <w:rPr>
          <w:rFonts w:cs="Gentium"/>
        </w:rPr>
        <w:t>(1957)</w:t>
      </w:r>
      <w:r>
        <w:t xml:space="preserve"> </w:t>
      </w:r>
      <w:r>
        <w:rPr>
          <w:i/>
          <w:iCs/>
        </w:rPr>
        <w:t>Practical Sanskrit Dictionary</w:t>
      </w:r>
      <w:r>
        <w:t>; and when this does not help,</w:t>
      </w:r>
    </w:p>
    <w:p w14:paraId="5CF9489F" w14:textId="5D09BA3F">
      <w:pPr>
        <w:pStyle w:val="Lista3"/>
      </w:pPr>
      <w:r>
        <w:t xml:space="preserve">Velankar’s </w:t>
      </w:r>
      <w:r>
        <w:rPr>
          <w:rFonts w:cs="Gentium"/>
        </w:rPr>
        <w:t>(1949)</w:t>
      </w:r>
      <w:r>
        <w:t xml:space="preserve"> </w:t>
      </w:r>
      <w:r>
        <w:rPr>
          <w:rStyle w:val="Foreign"/>
        </w:rPr>
        <w:t>Jayadāman</w:t>
      </w:r>
      <w:r>
        <w:t xml:space="preserve"> for verse in India</w:t>
      </w:r>
    </w:p>
    <w:p w14:paraId="6263E3AF" w14:textId="4C8CEE3A">
      <w:pPr>
        <w:pStyle w:val="Lista3"/>
      </w:pPr>
      <w:proofErr w:type="spellStart"/>
      <w:r>
        <w:t>Zoetmulder’s</w:t>
      </w:r>
      <w:proofErr w:type="spellEnd"/>
      <w:r>
        <w:t xml:space="preserve"> </w:t>
      </w:r>
      <w:r>
        <w:rPr>
          <w:rFonts w:cs="Gentium"/>
        </w:rPr>
        <w:t>(1974)</w:t>
      </w:r>
      <w:r>
        <w:t xml:space="preserve"> </w:t>
      </w:r>
      <w:r>
        <w:rPr>
          <w:rStyle w:val="Foreign"/>
        </w:rPr>
        <w:t>Kalangwan</w:t>
      </w:r>
      <w:r>
        <w:t xml:space="preserve"> for verse in Indonesia</w:t>
      </w:r>
    </w:p>
    <w:p w14:paraId="2D22AE4E" w14:textId="77777777">
      <w:pPr>
        <w:pStyle w:val="Lista"/>
      </w:pPr>
      <w:r>
        <w:t>you may also try an online tool that will identify a Sanskritic metre from text that you paste (and clean of markup) or type in a text box, but the identification produced by such a tool should always be verified</w:t>
      </w:r>
    </w:p>
    <w:p w14:paraId="2685B83C" w14:textId="77777777">
      <w:pPr>
        <w:pStyle w:val="Lista2"/>
      </w:pPr>
      <w:hyperlink r:id="rId10" w:history="1">
        <w:r>
          <w:rPr>
            <w:rStyle w:val="Hiperhivatkozs"/>
          </w:rPr>
          <w:t>https://sanskritmetres.appspot.com/</w:t>
        </w:r>
      </w:hyperlink>
      <w:r>
        <w:t xml:space="preserve"> requires a full stanza as input but will tolerate mistakes and lacunae and produce an approximate match</w:t>
      </w:r>
    </w:p>
    <w:p w14:paraId="72F99DBA" w14:textId="77777777">
      <w:pPr>
        <w:pStyle w:val="Lista2"/>
      </w:pPr>
      <w:hyperlink r:id="rId11" w:history="1">
        <w:r>
          <w:rPr>
            <w:rStyle w:val="Hiperhivatkozs"/>
          </w:rPr>
          <w:t>http://sanskritlibrary.org:8080/MeterIdentification/</w:t>
        </w:r>
      </w:hyperlink>
      <w:r>
        <w:t xml:space="preserve"> recognises a very large number of metres and accepts half or quarter stanzas as input </w:t>
      </w:r>
      <w:r>
        <w:rPr>
          <w:noProof/>
        </w:rPr>
        <w:t>(</w:t>
      </w:r>
      <w:r>
        <w:t>but does not tolerate errors)</w:t>
      </w:r>
    </w:p>
    <w:p w14:paraId="6D24D0CB" w14:textId="77777777">
      <w:pPr>
        <w:pStyle w:val="Lista2"/>
      </w:pPr>
      <w:hyperlink r:id="rId12" w:history="1">
        <w:r>
          <w:rPr>
            <w:rStyle w:val="Hiperhivatkozs"/>
          </w:rPr>
          <w:t>https://www.skrutable.info/</w:t>
        </w:r>
      </w:hyperlink>
      <w:r>
        <w:t xml:space="preserve"> requires full stanzas but can automatically split these into quarters and tolerates mistakes to some extent; it can identify moraic metres in addition to syllabic ones and includes sound recordings of the recitation of many metres</w:t>
      </w:r>
    </w:p>
    <w:p w14:paraId="386AEF10" w14:textId="77777777">
      <w:pPr>
        <w:pStyle w:val="Cmsor2"/>
      </w:pPr>
      <w:bookmarkStart w:id="22" w:name="_Ref48034402"/>
      <w:bookmarkStart w:id="23" w:name="_Toc233988976"/>
      <w:r>
        <w:t>Syllabic metres (</w:t>
      </w:r>
      <w:proofErr w:type="spellStart"/>
      <w:r>
        <w:rPr>
          <w:rStyle w:val="Foreign"/>
        </w:rPr>
        <w:t>varṇavr̥tta</w:t>
      </w:r>
      <w:proofErr w:type="spellEnd"/>
      <w:r>
        <w:t>)</w:t>
      </w:r>
      <w:bookmarkEnd w:id="22"/>
      <w:bookmarkEnd w:id="23"/>
    </w:p>
    <w:p w14:paraId="79620144" w14:textId="77777777">
      <w:pPr>
        <w:rPr>
          <w:lang w:eastAsia="en-US" w:bidi="ar-SA"/>
        </w:rPr>
      </w:pPr>
      <w:r>
        <w:rPr>
          <w:lang w:eastAsia="en-US" w:bidi="ar-SA"/>
        </w:rPr>
        <w:t>Regular syllabic metres use a fully constrained template, which may be identical for all four lines of a quatrain (</w:t>
      </w:r>
      <w:proofErr w:type="spellStart"/>
      <w:r>
        <w:rPr>
          <w:rStyle w:val="Foreign"/>
        </w:rPr>
        <w:t>samavr̥tta</w:t>
      </w:r>
      <w:proofErr w:type="spellEnd"/>
      <w:r>
        <w:t>), alternate for the odd and even lines (</w:t>
      </w:r>
      <w:proofErr w:type="spellStart"/>
      <w:r>
        <w:rPr>
          <w:rStyle w:val="Foreign"/>
        </w:rPr>
        <w:t>ardhasamavr̥tta</w:t>
      </w:r>
      <w:proofErr w:type="spellEnd"/>
      <w:r>
        <w:t>), or be different for each line (</w:t>
      </w:r>
      <w:proofErr w:type="spellStart"/>
      <w:r>
        <w:rPr>
          <w:rStyle w:val="Foreign"/>
        </w:rPr>
        <w:t>viṣamavr̥tta</w:t>
      </w:r>
      <w:proofErr w:type="spellEnd"/>
      <w:r>
        <w:t>). While the first two of these kinds make up a large proportion of epigraphic verse, their identification is straightforward and needs no discussion beyond a listing of the templates in the authority file. The following subsections discuss metres in which the template is subject to a limited degree of variation.</w:t>
      </w:r>
    </w:p>
    <w:p w14:paraId="3FD78058" w14:textId="77777777">
      <w:pPr>
        <w:pStyle w:val="Cmsor3"/>
      </w:pPr>
      <w:bookmarkStart w:id="24" w:name="_2qn1tcnogd7u" w:colFirst="0" w:colLast="0"/>
      <w:bookmarkStart w:id="25" w:name="_Ref48034509"/>
      <w:bookmarkStart w:id="26" w:name="_Toc233988978"/>
      <w:bookmarkStart w:id="27" w:name="_Ref43991920"/>
      <w:bookmarkStart w:id="28" w:name="_Toc233988979"/>
      <w:bookmarkStart w:id="29" w:name="_Ref56418748"/>
      <w:bookmarkStart w:id="30" w:name="_Toc233988977"/>
      <w:bookmarkStart w:id="31" w:name="_Ref43991783"/>
      <w:bookmarkEnd w:id="24"/>
      <w:r>
        <w:rPr>
          <w:rStyle w:val="Foreign"/>
        </w:rPr>
        <w:t>Anuṣṭubh</w:t>
      </w:r>
      <w:bookmarkEnd w:id="25"/>
      <w:bookmarkEnd w:id="26"/>
    </w:p>
    <w:p w14:paraId="49638683" w14:textId="52F7D5D8">
      <w:r>
        <w:t xml:space="preserve">In our usage, </w:t>
      </w:r>
      <w:r>
        <w:rPr>
          <w:rStyle w:val="Foreign"/>
        </w:rPr>
        <w:t>anuṣṭubh</w:t>
      </w:r>
      <w:r>
        <w:t xml:space="preserve"> is an umbrella term: we do not make a distinction between Vedic </w:t>
      </w:r>
      <w:r>
        <w:rPr>
          <w:rStyle w:val="Foreign"/>
        </w:rPr>
        <w:t>anuṣṭubh</w:t>
      </w:r>
      <w:r>
        <w:t xml:space="preserve">, epic </w:t>
      </w:r>
      <w:r>
        <w:rPr>
          <w:rStyle w:val="Foreign"/>
        </w:rPr>
        <w:t>anuṣṭubh/śloka</w:t>
      </w:r>
      <w:r>
        <w:t xml:space="preserve"> and classical </w:t>
      </w:r>
      <w:r>
        <w:rPr>
          <w:rStyle w:val="Foreign"/>
        </w:rPr>
        <w:t>anuṣṭubh/vaktra/śloka</w:t>
      </w:r>
      <w:r>
        <w:t xml:space="preserve">. An </w:t>
      </w:r>
      <w:r>
        <w:rPr>
          <w:rStyle w:val="Foreign"/>
        </w:rPr>
        <w:t>anuṣṭubh</w:t>
      </w:r>
      <w:r>
        <w:t xml:space="preserve"> stanza consists of four lines of eight syllables. The first four syllables of each line are largely unconstrained, while the second eight form a metrical cadence which takes one form in the odd lines of the stanza and another form in the even lines (so </w:t>
      </w:r>
      <w:r>
        <w:rPr>
          <w:rStyle w:val="Foreign"/>
        </w:rPr>
        <w:t>anuṣṭubh</w:t>
      </w:r>
      <w:r>
        <w:t xml:space="preserve"> is an </w:t>
      </w:r>
      <w:r>
        <w:rPr>
          <w:rStyle w:val="Foreign"/>
        </w:rPr>
        <w:t>ardhasama</w:t>
      </w:r>
      <w:r>
        <w:t xml:space="preserve"> metre). The variations of </w:t>
      </w:r>
      <w:r>
        <w:rPr>
          <w:rStyle w:val="Foreign"/>
        </w:rPr>
        <w:t>anuṣṭubh</w:t>
      </w:r>
      <w:r>
        <w:t xml:space="preserve"> are shown in </w:t>
      </w:r>
      <w:r>
        <w:fldChar w:fldCharType="begin"/>
      </w:r>
      <w:r>
        <w:instrText xml:space="preserve"> REF _Ref44134600 \h </w:instrText>
      </w:r>
      <w:r>
        <w:fldChar w:fldCharType="separate"/>
      </w:r>
      <w:r>
        <w:t xml:space="preserve">Table </w:t>
      </w:r>
      <w:r>
        <w:rPr>
          <w:noProof/>
        </w:rPr>
        <w:t>3</w:t>
      </w:r>
      <w:r>
        <w:fldChar w:fldCharType="end"/>
      </w:r>
      <w:r>
        <w:t xml:space="preserve"> below, where white cells contain invariant </w:t>
      </w:r>
      <w:r>
        <w:lastRenderedPageBreak/>
        <w:t xml:space="preserve">pattern components, yellow shading indicates the distinctive segment of each pattern, and peach shading indicates additional constraints imposed on certain variants. For an in-depth study of this metre, see Jacobi </w:t>
      </w:r>
      <w:r>
        <w:rPr>
          <w:rFonts w:cs="Gentium"/>
          <w:sz w:val="20"/>
        </w:rPr>
        <w:t>(1885)</w:t>
      </w:r>
      <w:r>
        <w:t>.</w:t>
      </w:r>
    </w:p>
    <w:p w14:paraId="0A2C2191" w14:textId="77777777">
      <w:pPr>
        <w:pStyle w:val="Lista"/>
      </w:pPr>
      <w:r>
        <w:t>in any line, the second and third syllables must not be both short</w:t>
      </w:r>
    </w:p>
    <w:p w14:paraId="5A106036" w14:textId="77777777">
      <w:pPr>
        <w:pStyle w:val="Lista2"/>
      </w:pPr>
      <w:r>
        <w:t xml:space="preserve">the first half of a line is thus not completely unconstrained, patterns matching </w:t>
      </w:r>
      <w:r>
        <w:rPr>
          <w:rStyle w:val="MetreCode"/>
        </w:rPr>
        <w:t>⏓⏑⏑⏓</w:t>
      </w:r>
      <w:r>
        <w:t xml:space="preserve"> being forbidden</w:t>
      </w:r>
    </w:p>
    <w:p w14:paraId="4147DBB9" w14:textId="77777777">
      <w:pPr>
        <w:pStyle w:val="Lista"/>
      </w:pPr>
      <w:r>
        <w:t xml:space="preserve">in the default or </w:t>
      </w:r>
      <w:r>
        <w:rPr>
          <w:rStyle w:val="Foreign"/>
        </w:rPr>
        <w:t>pathyā</w:t>
      </w:r>
      <w:r>
        <w:t xml:space="preserve"> form of the </w:t>
      </w:r>
      <w:r>
        <w:rPr>
          <w:rStyle w:val="Foreign"/>
        </w:rPr>
        <w:t>anuṣṭubh</w:t>
      </w:r>
      <w:r>
        <w:t>,</w:t>
      </w:r>
    </w:p>
    <w:p w14:paraId="7CC51574" w14:textId="77777777">
      <w:pPr>
        <w:pStyle w:val="Lista2"/>
      </w:pPr>
      <w:r>
        <w:t xml:space="preserve">the pattern </w:t>
      </w:r>
      <w:r>
        <w:rPr>
          <w:rStyle w:val="MetreCode"/>
        </w:rPr>
        <w:t>⏑––⏓</w:t>
      </w:r>
      <w:r>
        <w:t xml:space="preserve"> ends odd lines (a and c, the first and third line)</w:t>
      </w:r>
    </w:p>
    <w:p w14:paraId="2FD50DC2" w14:textId="77777777">
      <w:pPr>
        <w:pStyle w:val="Lista2"/>
      </w:pPr>
      <w:r>
        <w:t xml:space="preserve">the pattern </w:t>
      </w:r>
      <w:r>
        <w:rPr>
          <w:rStyle w:val="MetreCode"/>
        </w:rPr>
        <w:t>⏑–⏑⏓</w:t>
      </w:r>
      <w:r>
        <w:t xml:space="preserve"> ends even lines (b and d, the second and fourth line)</w:t>
      </w:r>
    </w:p>
    <w:p w14:paraId="1B7DA6D1" w14:textId="77777777">
      <w:pPr>
        <w:pStyle w:val="Lista"/>
      </w:pPr>
      <w:r>
        <w:t xml:space="preserve">legitimate </w:t>
      </w:r>
      <w:r>
        <w:rPr>
          <w:rStyle w:val="Foreign"/>
        </w:rPr>
        <w:t>anuṣṭubh</w:t>
      </w:r>
      <w:r>
        <w:t xml:space="preserve"> variants called </w:t>
      </w:r>
      <w:r>
        <w:rPr>
          <w:rStyle w:val="Foreign"/>
        </w:rPr>
        <w:t>vipulā</w:t>
      </w:r>
      <w:r>
        <w:t xml:space="preserve"> have alternative cadences in the odd quarters, as presented in the lower part of </w:t>
      </w:r>
      <w:r>
        <w:fldChar w:fldCharType="begin"/>
      </w:r>
      <w:r>
        <w:instrText xml:space="preserve"> REF _Ref44134600 \h </w:instrText>
      </w:r>
      <w:r>
        <w:fldChar w:fldCharType="separate"/>
      </w:r>
      <w:r>
        <w:t xml:space="preserve">Table </w:t>
      </w:r>
      <w:r>
        <w:rPr>
          <w:noProof/>
        </w:rPr>
        <w:t>3</w:t>
      </w:r>
      <w:r>
        <w:fldChar w:fldCharType="end"/>
      </w:r>
    </w:p>
    <w:p w14:paraId="3E756383" w14:textId="77777777">
      <w:pPr>
        <w:pStyle w:val="Lista2"/>
      </w:pPr>
      <w:r>
        <w:rPr>
          <w:rStyle w:val="Foreign"/>
        </w:rPr>
        <w:t>vipulā</w:t>
      </w:r>
      <w:r>
        <w:t xml:space="preserve"> forms are named after the </w:t>
      </w:r>
      <w:r>
        <w:rPr>
          <w:rStyle w:val="Foreign"/>
        </w:rPr>
        <w:t>gaṇa</w:t>
      </w:r>
      <w:r>
        <w:t xml:space="preserve"> code (§</w:t>
      </w:r>
      <w:r>
        <w:fldChar w:fldCharType="begin"/>
      </w:r>
      <w:r>
        <w:instrText xml:space="preserve"> REF _Ref240467142 \r \h </w:instrText>
      </w:r>
      <w:r>
        <w:fldChar w:fldCharType="separate"/>
      </w:r>
      <w:r>
        <w:t>1.4</w:t>
      </w:r>
      <w:r>
        <w:fldChar w:fldCharType="end"/>
      </w:r>
      <w:r>
        <w:t>) of their distinctive cadence, i.e. the first three syllables of the second half</w:t>
      </w:r>
    </w:p>
    <w:p w14:paraId="38776C49" w14:textId="77777777">
      <w:pPr>
        <w:pStyle w:val="Lista2"/>
        <w:rPr>
          <w:rStyle w:val="MetreCode"/>
          <w:rFonts w:ascii="Gentium" w:hAnsi="Gentium" w:cs="Tiro Devanagari Sanskrit"/>
          <w:spacing w:val="0"/>
        </w:rPr>
      </w:pPr>
      <w:r>
        <w:t xml:space="preserve">the </w:t>
      </w:r>
      <w:r>
        <w:rPr>
          <w:rStyle w:val="Foreign"/>
        </w:rPr>
        <w:t>bha</w:t>
      </w:r>
      <w:r>
        <w:t xml:space="preserve"> and </w:t>
      </w:r>
      <w:r>
        <w:rPr>
          <w:rStyle w:val="Foreign"/>
        </w:rPr>
        <w:t>ma</w:t>
      </w:r>
      <w:r>
        <w:t xml:space="preserve"> and (probably) the </w:t>
      </w:r>
      <w:r>
        <w:rPr>
          <w:rStyle w:val="Foreign"/>
        </w:rPr>
        <w:t>ta</w:t>
      </w:r>
      <w:r>
        <w:t xml:space="preserve"> </w:t>
      </w:r>
      <w:r>
        <w:rPr>
          <w:rStyle w:val="Foreign"/>
        </w:rPr>
        <w:t>vipulā</w:t>
      </w:r>
      <w:r>
        <w:t xml:space="preserve"> constrain the first half of odd lines to the pattern </w:t>
      </w:r>
      <w:r>
        <w:rPr>
          <w:rStyle w:val="MetreCode"/>
        </w:rPr>
        <w:t>⏓–⏑–</w:t>
      </w:r>
    </w:p>
    <w:p w14:paraId="5882023C" w14:textId="77777777">
      <w:pPr>
        <w:pStyle w:val="Lista2"/>
      </w:pPr>
      <w:r>
        <w:t xml:space="preserve">the </w:t>
      </w:r>
      <w:r>
        <w:rPr>
          <w:rStyle w:val="Foreign"/>
        </w:rPr>
        <w:t>ma</w:t>
      </w:r>
      <w:r>
        <w:t xml:space="preserve"> </w:t>
      </w:r>
      <w:r>
        <w:rPr>
          <w:rStyle w:val="Foreign"/>
        </w:rPr>
        <w:t>vipulā</w:t>
      </w:r>
      <w:r>
        <w:t xml:space="preserve"> requires a caesura after the fifth syllable</w:t>
      </w:r>
    </w:p>
    <w:p w14:paraId="0E9CB036" w14:textId="77777777">
      <w:pPr>
        <w:pStyle w:val="Lista2"/>
      </w:pPr>
      <w:r>
        <w:t xml:space="preserve">the </w:t>
      </w:r>
      <w:r>
        <w:rPr>
          <w:rStyle w:val="Foreign"/>
        </w:rPr>
        <w:t>ra</w:t>
      </w:r>
      <w:r>
        <w:t xml:space="preserve"> </w:t>
      </w:r>
      <w:r>
        <w:rPr>
          <w:rStyle w:val="Foreign"/>
        </w:rPr>
        <w:t>vipulā</w:t>
      </w:r>
      <w:r>
        <w:t xml:space="preserve"> requires a caesura after the fourth syllable</w:t>
      </w:r>
    </w:p>
    <w:p w14:paraId="2C20B720" w14:textId="77777777">
      <w:pPr>
        <w:pStyle w:val="Lista2"/>
      </w:pPr>
      <w:r>
        <w:t xml:space="preserve">not all </w:t>
      </w:r>
      <w:r>
        <w:rPr>
          <w:rStyle w:val="Foreign"/>
        </w:rPr>
        <w:t>vipulā</w:t>
      </w:r>
      <w:r>
        <w:t xml:space="preserve"> forms are recognised as legitimate by all traditional authorities</w:t>
      </w:r>
    </w:p>
    <w:p w14:paraId="7E1E003E" w14:textId="77777777">
      <w:pPr>
        <w:pStyle w:val="Lista3"/>
      </w:pPr>
      <w:r>
        <w:t xml:space="preserve">in particular, the </w:t>
      </w:r>
      <w:r>
        <w:rPr>
          <w:rStyle w:val="Foreign"/>
        </w:rPr>
        <w:t>ma</w:t>
      </w:r>
      <w:r>
        <w:t xml:space="preserve"> and </w:t>
      </w:r>
      <w:r>
        <w:rPr>
          <w:rStyle w:val="Foreign"/>
        </w:rPr>
        <w:t>sa vipulā</w:t>
      </w:r>
      <w:r>
        <w:t xml:space="preserve"> are generally absent in earlier treatises</w:t>
      </w:r>
    </w:p>
    <w:p w14:paraId="5FFC3E83" w14:textId="77777777">
      <w:pPr>
        <w:pStyle w:val="Lista2"/>
      </w:pPr>
      <w:r>
        <w:t xml:space="preserve">authorities do not agree fully on the additional constraints applicable to </w:t>
      </w:r>
      <w:r>
        <w:rPr>
          <w:rStyle w:val="Foreign"/>
        </w:rPr>
        <w:t>vipulā</w:t>
      </w:r>
      <w:r>
        <w:t xml:space="preserve"> forms</w:t>
      </w:r>
    </w:p>
    <w:p w14:paraId="6AF70852" w14:textId="77777777">
      <w:pPr>
        <w:pStyle w:val="Lista2"/>
      </w:pPr>
      <w:r>
        <w:t xml:space="preserve">the </w:t>
      </w:r>
      <w:r>
        <w:rPr>
          <w:rStyle w:val="Foreign"/>
        </w:rPr>
        <w:t>sa</w:t>
      </w:r>
      <w:r>
        <w:t xml:space="preserve"> and </w:t>
      </w:r>
      <w:r>
        <w:rPr>
          <w:rStyle w:val="Foreign"/>
        </w:rPr>
        <w:t>ta vipulā</w:t>
      </w:r>
      <w:r>
        <w:t xml:space="preserve"> are very rare in attested poetic practice</w:t>
      </w:r>
    </w:p>
    <w:p w14:paraId="22071EBD" w14:textId="77777777">
      <w:pPr>
        <w:pStyle w:val="Lista2"/>
      </w:pPr>
      <w:r>
        <w:t xml:space="preserve">when a rare and/or rarely acknowledged </w:t>
      </w:r>
      <w:r>
        <w:rPr>
          <w:rStyle w:val="Foreign"/>
        </w:rPr>
        <w:t>vipulā</w:t>
      </w:r>
      <w:r>
        <w:t xml:space="preserve"> form occurs in a text, it is usually impossible to be certain whether their composer treated these as legitimate or produced a metrically incorrect stanza</w:t>
      </w:r>
    </w:p>
    <w:p w14:paraId="0632F056" w14:textId="77777777">
      <w:pPr>
        <w:pStyle w:val="Kpalrs"/>
        <w:keepNext/>
      </w:pPr>
      <w:bookmarkStart w:id="32" w:name="_Ref44134600"/>
      <w:r>
        <w:t xml:space="preserve">Table </w:t>
      </w:r>
      <w:fldSimple w:instr=" SEQ Table \* ARABIC ">
        <w:r>
          <w:rPr>
            <w:noProof/>
          </w:rPr>
          <w:t>3</w:t>
        </w:r>
      </w:fldSimple>
      <w:bookmarkEnd w:id="32"/>
      <w:r>
        <w:t xml:space="preserve">. Permitted patterns in </w:t>
      </w:r>
      <w:r>
        <w:rPr>
          <w:rStyle w:val="Foreign"/>
        </w:rPr>
        <w:t>anuṣṭubh</w:t>
      </w:r>
    </w:p>
    <w:tbl>
      <w:tblPr>
        <w:tblStyle w:val="17"/>
        <w:tblW w:w="5000" w:type="pct"/>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692"/>
        <w:gridCol w:w="1321"/>
        <w:gridCol w:w="1321"/>
        <w:gridCol w:w="662"/>
        <w:gridCol w:w="662"/>
        <w:gridCol w:w="1322"/>
        <w:gridCol w:w="1322"/>
        <w:gridCol w:w="1316"/>
      </w:tblGrid>
      <w:tr w14:paraId="2B78BFEA" w14:textId="77777777">
        <w:tc>
          <w:tcPr>
            <w:tcW w:w="880" w:type="pct"/>
            <w:tcBorders>
              <w:top w:val="single" w:sz="8" w:space="0" w:color="000000"/>
              <w:left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6B3AC524" w14:textId="77777777">
            <w:pPr>
              <w:pStyle w:val="Tabletext"/>
            </w:pPr>
            <w:r>
              <w:t xml:space="preserve"> </w:t>
            </w:r>
          </w:p>
        </w:tc>
        <w:tc>
          <w:tcPr>
            <w:tcW w:w="687" w:type="pct"/>
            <w:tcBorders>
              <w:top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48A9F53B" w14:textId="77777777">
            <w:pPr>
              <w:pStyle w:val="Tabletext"/>
              <w:jc w:val="center"/>
            </w:pPr>
            <w:r>
              <w:t>1</w:t>
            </w:r>
          </w:p>
        </w:tc>
        <w:tc>
          <w:tcPr>
            <w:tcW w:w="687" w:type="pct"/>
            <w:tcBorders>
              <w:top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3B31BBB7" w14:textId="77777777">
            <w:pPr>
              <w:pStyle w:val="Tabletext"/>
              <w:jc w:val="center"/>
            </w:pPr>
            <w:r>
              <w:t>2–4</w:t>
            </w:r>
          </w:p>
        </w:tc>
        <w:tc>
          <w:tcPr>
            <w:tcW w:w="688" w:type="pct"/>
            <w:gridSpan w:val="2"/>
            <w:tcBorders>
              <w:top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7DFB28CE" w14:textId="77777777">
            <w:pPr>
              <w:pStyle w:val="Tabletext"/>
              <w:jc w:val="center"/>
            </w:pPr>
            <w:r>
              <w:t>5</w:t>
            </w:r>
          </w:p>
        </w:tc>
        <w:tc>
          <w:tcPr>
            <w:tcW w:w="687" w:type="pct"/>
            <w:tcBorders>
              <w:top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2759520F" w14:textId="77777777">
            <w:pPr>
              <w:pStyle w:val="Tabletext"/>
              <w:jc w:val="center"/>
            </w:pPr>
            <w:r>
              <w:t>6</w:t>
            </w:r>
          </w:p>
        </w:tc>
        <w:tc>
          <w:tcPr>
            <w:tcW w:w="687" w:type="pct"/>
            <w:tcBorders>
              <w:top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28ADE098" w14:textId="77777777">
            <w:pPr>
              <w:pStyle w:val="Tabletext"/>
              <w:jc w:val="center"/>
            </w:pPr>
            <w:r>
              <w:t>7</w:t>
            </w:r>
          </w:p>
        </w:tc>
        <w:tc>
          <w:tcPr>
            <w:tcW w:w="684" w:type="pct"/>
            <w:tcBorders>
              <w:top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318DE436" w14:textId="77777777">
            <w:pPr>
              <w:pStyle w:val="Tabletext"/>
              <w:jc w:val="center"/>
            </w:pPr>
            <w:r>
              <w:t>8</w:t>
            </w:r>
          </w:p>
        </w:tc>
      </w:tr>
      <w:tr w14:paraId="603D7C50" w14:textId="77777777">
        <w:tc>
          <w:tcPr>
            <w:tcW w:w="880" w:type="pct"/>
            <w:tcBorders>
              <w:left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526734BF" w14:textId="77777777">
            <w:pPr>
              <w:pStyle w:val="Tabletext"/>
              <w:keepNext/>
            </w:pPr>
            <w:r>
              <w:t>odd lines (a, c):</w:t>
            </w:r>
            <w:r>
              <w:br/>
            </w:r>
            <w:r>
              <w:rPr>
                <w:rStyle w:val="Foreign"/>
              </w:rPr>
              <w:t>pathyā</w:t>
            </w:r>
          </w:p>
        </w:tc>
        <w:tc>
          <w:tcPr>
            <w:tcW w:w="687" w:type="pct"/>
            <w:tcBorders>
              <w:bottom w:val="single" w:sz="8" w:space="0" w:color="000000"/>
              <w:right w:val="single" w:sz="8" w:space="0" w:color="000000"/>
            </w:tcBorders>
            <w:tcMar>
              <w:top w:w="100" w:type="dxa"/>
              <w:left w:w="100" w:type="dxa"/>
              <w:bottom w:w="100" w:type="dxa"/>
              <w:right w:w="100" w:type="dxa"/>
            </w:tcMar>
            <w:vAlign w:val="center"/>
          </w:tcPr>
          <w:p w14:paraId="5C5F5AD4" w14:textId="77777777">
            <w:pPr>
              <w:pStyle w:val="Tabletext"/>
              <w:keepNext/>
              <w:jc w:val="center"/>
              <w:rPr>
                <w:rStyle w:val="MetreCode"/>
              </w:rPr>
            </w:pPr>
            <w:r>
              <w:rPr>
                <w:rStyle w:val="MetreCode"/>
              </w:rPr>
              <w:t>⏓</w:t>
            </w:r>
          </w:p>
        </w:tc>
        <w:tc>
          <w:tcPr>
            <w:tcW w:w="687" w:type="pct"/>
            <w:tcBorders>
              <w:bottom w:val="single" w:sz="8" w:space="0" w:color="000000"/>
              <w:right w:val="single" w:sz="8" w:space="0" w:color="000000"/>
            </w:tcBorders>
            <w:tcMar>
              <w:top w:w="100" w:type="dxa"/>
              <w:left w:w="100" w:type="dxa"/>
              <w:bottom w:w="100" w:type="dxa"/>
              <w:right w:w="100" w:type="dxa"/>
            </w:tcMar>
            <w:vAlign w:val="center"/>
          </w:tcPr>
          <w:p w14:paraId="512C4FE1" w14:textId="77777777">
            <w:pPr>
              <w:pStyle w:val="Tabletext"/>
              <w:keepNext/>
              <w:jc w:val="center"/>
              <w:rPr>
                <w:rStyle w:val="MetreCode"/>
              </w:rPr>
            </w:pPr>
            <w:r>
              <w:rPr>
                <w:rStyle w:val="MetreCode"/>
              </w:rPr>
              <w:t>––⏓</w:t>
            </w:r>
          </w:p>
          <w:p w14:paraId="2C0154EA" w14:textId="77777777">
            <w:pPr>
              <w:pStyle w:val="Tabletext"/>
              <w:keepNext/>
              <w:jc w:val="center"/>
              <w:rPr>
                <w:rStyle w:val="MetreCode"/>
              </w:rPr>
            </w:pPr>
            <w:r>
              <w:rPr>
                <w:rStyle w:val="MetreCode"/>
              </w:rPr>
              <w:t>⏑–⏓</w:t>
            </w:r>
          </w:p>
          <w:p w14:paraId="4A23573E" w14:textId="77777777">
            <w:pPr>
              <w:pStyle w:val="Tabletext"/>
              <w:keepNext/>
              <w:jc w:val="center"/>
              <w:rPr>
                <w:rStyle w:val="MetreCode"/>
              </w:rPr>
            </w:pPr>
            <w:r>
              <w:rPr>
                <w:rStyle w:val="MetreCode"/>
              </w:rPr>
              <w:t>–⏑⏓</w:t>
            </w:r>
          </w:p>
        </w:tc>
        <w:tc>
          <w:tcPr>
            <w:tcW w:w="688" w:type="pct"/>
            <w:gridSpan w:val="2"/>
            <w:tcBorders>
              <w:bottom w:val="single" w:sz="8" w:space="0" w:color="000000"/>
              <w:right w:val="single" w:sz="8" w:space="0" w:color="000000"/>
            </w:tcBorders>
            <w:shd w:val="clear" w:color="auto" w:fill="FFFF99"/>
            <w:tcMar>
              <w:top w:w="100" w:type="dxa"/>
              <w:left w:w="100" w:type="dxa"/>
              <w:bottom w:w="100" w:type="dxa"/>
              <w:right w:w="100" w:type="dxa"/>
            </w:tcMar>
            <w:vAlign w:val="center"/>
          </w:tcPr>
          <w:p w14:paraId="48D6D53E" w14:textId="77777777">
            <w:pPr>
              <w:pStyle w:val="Tabletext"/>
              <w:keepNext/>
              <w:jc w:val="center"/>
              <w:rPr>
                <w:rStyle w:val="MetreCode"/>
              </w:rPr>
            </w:pPr>
            <w:r>
              <w:rPr>
                <w:rStyle w:val="MetreCode"/>
              </w:rPr>
              <w:t>⏑</w:t>
            </w:r>
          </w:p>
        </w:tc>
        <w:tc>
          <w:tcPr>
            <w:tcW w:w="687" w:type="pct"/>
            <w:tcBorders>
              <w:bottom w:val="single" w:sz="8" w:space="0" w:color="000000"/>
              <w:right w:val="single" w:sz="8" w:space="0" w:color="000000"/>
            </w:tcBorders>
            <w:shd w:val="clear" w:color="auto" w:fill="FFFF99"/>
            <w:tcMar>
              <w:top w:w="100" w:type="dxa"/>
              <w:left w:w="100" w:type="dxa"/>
              <w:bottom w:w="100" w:type="dxa"/>
              <w:right w:w="100" w:type="dxa"/>
            </w:tcMar>
            <w:vAlign w:val="center"/>
          </w:tcPr>
          <w:p w14:paraId="74BF7EB1" w14:textId="77777777">
            <w:pPr>
              <w:pStyle w:val="Tabletext"/>
              <w:keepNext/>
              <w:jc w:val="center"/>
              <w:rPr>
                <w:rStyle w:val="MetreCode"/>
              </w:rPr>
            </w:pPr>
            <w:r>
              <w:rPr>
                <w:rStyle w:val="MetreCode"/>
              </w:rPr>
              <w:t>–</w:t>
            </w:r>
          </w:p>
        </w:tc>
        <w:tc>
          <w:tcPr>
            <w:tcW w:w="687" w:type="pct"/>
            <w:tcBorders>
              <w:bottom w:val="single" w:sz="8" w:space="0" w:color="000000"/>
              <w:right w:val="single" w:sz="8" w:space="0" w:color="000000"/>
            </w:tcBorders>
            <w:shd w:val="clear" w:color="auto" w:fill="FFFF99"/>
            <w:tcMar>
              <w:top w:w="100" w:type="dxa"/>
              <w:left w:w="100" w:type="dxa"/>
              <w:bottom w:w="100" w:type="dxa"/>
              <w:right w:w="100" w:type="dxa"/>
            </w:tcMar>
            <w:vAlign w:val="center"/>
          </w:tcPr>
          <w:p w14:paraId="716C3DF7" w14:textId="77777777">
            <w:pPr>
              <w:pStyle w:val="Tabletext"/>
              <w:keepNext/>
              <w:jc w:val="center"/>
              <w:rPr>
                <w:rStyle w:val="MetreCode"/>
              </w:rPr>
            </w:pPr>
            <w:r>
              <w:rPr>
                <w:rStyle w:val="MetreCode"/>
              </w:rPr>
              <w:t>–</w:t>
            </w:r>
          </w:p>
        </w:tc>
        <w:tc>
          <w:tcPr>
            <w:tcW w:w="684" w:type="pct"/>
            <w:tcBorders>
              <w:bottom w:val="single" w:sz="8" w:space="0" w:color="000000"/>
              <w:right w:val="single" w:sz="8" w:space="0" w:color="000000"/>
            </w:tcBorders>
            <w:tcMar>
              <w:top w:w="100" w:type="dxa"/>
              <w:left w:w="100" w:type="dxa"/>
              <w:bottom w:w="100" w:type="dxa"/>
              <w:right w:w="100" w:type="dxa"/>
            </w:tcMar>
            <w:vAlign w:val="center"/>
          </w:tcPr>
          <w:p w14:paraId="60921BB3" w14:textId="77777777">
            <w:pPr>
              <w:pStyle w:val="Tabletext"/>
              <w:keepNext/>
              <w:jc w:val="center"/>
              <w:rPr>
                <w:rStyle w:val="MetreCode"/>
              </w:rPr>
            </w:pPr>
            <w:r>
              <w:rPr>
                <w:rStyle w:val="MetreCode"/>
              </w:rPr>
              <w:t>⏓</w:t>
            </w:r>
          </w:p>
        </w:tc>
      </w:tr>
      <w:tr w14:paraId="5B75C8CC" w14:textId="77777777">
        <w:tc>
          <w:tcPr>
            <w:tcW w:w="880" w:type="pct"/>
            <w:tcBorders>
              <w:left w:val="single" w:sz="8" w:space="0" w:color="000000"/>
              <w:bottom w:val="double" w:sz="4" w:space="0" w:color="auto"/>
              <w:right w:val="single" w:sz="8" w:space="0" w:color="000000"/>
            </w:tcBorders>
            <w:shd w:val="clear" w:color="auto" w:fill="F0F7D7"/>
            <w:tcMar>
              <w:top w:w="100" w:type="dxa"/>
              <w:left w:w="100" w:type="dxa"/>
              <w:bottom w:w="100" w:type="dxa"/>
              <w:right w:w="100" w:type="dxa"/>
            </w:tcMar>
          </w:tcPr>
          <w:p w14:paraId="31D7048C" w14:textId="77777777">
            <w:pPr>
              <w:pStyle w:val="Tabletext"/>
              <w:keepNext/>
            </w:pPr>
            <w:r>
              <w:t>even lines (b, d):</w:t>
            </w:r>
            <w:r>
              <w:br/>
              <w:t>all forms</w:t>
            </w:r>
          </w:p>
        </w:tc>
        <w:tc>
          <w:tcPr>
            <w:tcW w:w="687" w:type="pct"/>
            <w:tcBorders>
              <w:bottom w:val="double" w:sz="4" w:space="0" w:color="auto"/>
              <w:right w:val="single" w:sz="8" w:space="0" w:color="000000"/>
            </w:tcBorders>
            <w:tcMar>
              <w:top w:w="100" w:type="dxa"/>
              <w:left w:w="100" w:type="dxa"/>
              <w:bottom w:w="100" w:type="dxa"/>
              <w:right w:w="100" w:type="dxa"/>
            </w:tcMar>
            <w:vAlign w:val="center"/>
          </w:tcPr>
          <w:p w14:paraId="20D62F86" w14:textId="77777777">
            <w:pPr>
              <w:pStyle w:val="Tabletext"/>
              <w:keepNext/>
              <w:jc w:val="center"/>
              <w:rPr>
                <w:rStyle w:val="MetreCode"/>
              </w:rPr>
            </w:pPr>
            <w:r>
              <w:rPr>
                <w:rStyle w:val="MetreCode"/>
              </w:rPr>
              <w:t>⏓</w:t>
            </w:r>
          </w:p>
        </w:tc>
        <w:tc>
          <w:tcPr>
            <w:tcW w:w="687" w:type="pct"/>
            <w:tcBorders>
              <w:bottom w:val="double" w:sz="4" w:space="0" w:color="auto"/>
              <w:right w:val="single" w:sz="8" w:space="0" w:color="000000"/>
            </w:tcBorders>
            <w:tcMar>
              <w:top w:w="100" w:type="dxa"/>
              <w:left w:w="100" w:type="dxa"/>
              <w:bottom w:w="100" w:type="dxa"/>
              <w:right w:w="100" w:type="dxa"/>
            </w:tcMar>
            <w:vAlign w:val="center"/>
          </w:tcPr>
          <w:p w14:paraId="53E9F827" w14:textId="77777777">
            <w:pPr>
              <w:pStyle w:val="Tabletext"/>
              <w:keepNext/>
              <w:jc w:val="center"/>
              <w:rPr>
                <w:rStyle w:val="MetreCode"/>
              </w:rPr>
            </w:pPr>
            <w:r>
              <w:rPr>
                <w:rStyle w:val="MetreCode"/>
              </w:rPr>
              <w:t>––⏓</w:t>
            </w:r>
          </w:p>
          <w:p w14:paraId="51E1CD27" w14:textId="77777777">
            <w:pPr>
              <w:pStyle w:val="Tabletext"/>
              <w:keepNext/>
              <w:jc w:val="center"/>
              <w:rPr>
                <w:rStyle w:val="MetreCode"/>
              </w:rPr>
            </w:pPr>
            <w:r>
              <w:rPr>
                <w:rStyle w:val="MetreCode"/>
              </w:rPr>
              <w:t>⏑–⏓</w:t>
            </w:r>
          </w:p>
          <w:p w14:paraId="5E883AF7" w14:textId="77777777">
            <w:pPr>
              <w:pStyle w:val="Tabletext"/>
              <w:keepNext/>
              <w:jc w:val="center"/>
              <w:rPr>
                <w:rStyle w:val="MetreCode"/>
              </w:rPr>
            </w:pPr>
            <w:r>
              <w:rPr>
                <w:rStyle w:val="MetreCode"/>
              </w:rPr>
              <w:t>–⏑⏑</w:t>
            </w:r>
          </w:p>
        </w:tc>
        <w:tc>
          <w:tcPr>
            <w:tcW w:w="688" w:type="pct"/>
            <w:gridSpan w:val="2"/>
            <w:tcBorders>
              <w:bottom w:val="double" w:sz="4" w:space="0" w:color="auto"/>
              <w:right w:val="single" w:sz="8" w:space="0" w:color="000000"/>
            </w:tcBorders>
            <w:shd w:val="clear" w:color="auto" w:fill="FFFF99"/>
            <w:tcMar>
              <w:top w:w="100" w:type="dxa"/>
              <w:left w:w="100" w:type="dxa"/>
              <w:bottom w:w="100" w:type="dxa"/>
              <w:right w:w="100" w:type="dxa"/>
            </w:tcMar>
            <w:vAlign w:val="center"/>
          </w:tcPr>
          <w:p w14:paraId="2B4B01DB" w14:textId="77777777">
            <w:pPr>
              <w:pStyle w:val="Tabletext"/>
              <w:keepNext/>
              <w:jc w:val="center"/>
              <w:rPr>
                <w:rStyle w:val="MetreCode"/>
              </w:rPr>
            </w:pPr>
            <w:r>
              <w:rPr>
                <w:rStyle w:val="MetreCode"/>
              </w:rPr>
              <w:t>⏑</w:t>
            </w:r>
          </w:p>
        </w:tc>
        <w:tc>
          <w:tcPr>
            <w:tcW w:w="687" w:type="pct"/>
            <w:tcBorders>
              <w:bottom w:val="double" w:sz="4" w:space="0" w:color="auto"/>
              <w:right w:val="single" w:sz="8" w:space="0" w:color="000000"/>
            </w:tcBorders>
            <w:shd w:val="clear" w:color="auto" w:fill="FFFF99"/>
            <w:tcMar>
              <w:top w:w="100" w:type="dxa"/>
              <w:left w:w="100" w:type="dxa"/>
              <w:bottom w:w="100" w:type="dxa"/>
              <w:right w:w="100" w:type="dxa"/>
            </w:tcMar>
            <w:vAlign w:val="center"/>
          </w:tcPr>
          <w:p w14:paraId="7792E627" w14:textId="77777777">
            <w:pPr>
              <w:pStyle w:val="Tabletext"/>
              <w:keepNext/>
              <w:jc w:val="center"/>
              <w:rPr>
                <w:rStyle w:val="MetreCode"/>
              </w:rPr>
            </w:pPr>
            <w:r>
              <w:rPr>
                <w:rStyle w:val="MetreCode"/>
              </w:rPr>
              <w:t>–</w:t>
            </w:r>
          </w:p>
        </w:tc>
        <w:tc>
          <w:tcPr>
            <w:tcW w:w="687" w:type="pct"/>
            <w:tcBorders>
              <w:bottom w:val="double" w:sz="4" w:space="0" w:color="auto"/>
              <w:right w:val="single" w:sz="8" w:space="0" w:color="000000"/>
            </w:tcBorders>
            <w:shd w:val="clear" w:color="auto" w:fill="FFFF99"/>
            <w:tcMar>
              <w:top w:w="100" w:type="dxa"/>
              <w:left w:w="100" w:type="dxa"/>
              <w:bottom w:w="100" w:type="dxa"/>
              <w:right w:w="100" w:type="dxa"/>
            </w:tcMar>
            <w:vAlign w:val="center"/>
          </w:tcPr>
          <w:p w14:paraId="59945DD4" w14:textId="77777777">
            <w:pPr>
              <w:pStyle w:val="Tabletext"/>
              <w:keepNext/>
              <w:jc w:val="center"/>
              <w:rPr>
                <w:rStyle w:val="MetreCode"/>
              </w:rPr>
            </w:pPr>
            <w:r>
              <w:rPr>
                <w:rStyle w:val="MetreCode"/>
              </w:rPr>
              <w:t>⏑</w:t>
            </w:r>
          </w:p>
        </w:tc>
        <w:tc>
          <w:tcPr>
            <w:tcW w:w="684" w:type="pct"/>
            <w:tcBorders>
              <w:bottom w:val="double" w:sz="4" w:space="0" w:color="auto"/>
              <w:right w:val="single" w:sz="8" w:space="0" w:color="000000"/>
            </w:tcBorders>
            <w:tcMar>
              <w:top w:w="100" w:type="dxa"/>
              <w:left w:w="100" w:type="dxa"/>
              <w:bottom w:w="100" w:type="dxa"/>
              <w:right w:w="100" w:type="dxa"/>
            </w:tcMar>
            <w:vAlign w:val="center"/>
          </w:tcPr>
          <w:p w14:paraId="2BE06B01" w14:textId="77777777">
            <w:pPr>
              <w:pStyle w:val="Tabletext"/>
              <w:keepNext/>
              <w:jc w:val="center"/>
              <w:rPr>
                <w:rStyle w:val="MetreCode"/>
              </w:rPr>
            </w:pPr>
            <w:r>
              <w:rPr>
                <w:rStyle w:val="MetreCode"/>
              </w:rPr>
              <w:t>⏓</w:t>
            </w:r>
          </w:p>
        </w:tc>
      </w:tr>
      <w:tr w14:paraId="335F9E7A" w14:textId="77777777">
        <w:tc>
          <w:tcPr>
            <w:tcW w:w="880" w:type="pct"/>
            <w:tcBorders>
              <w:top w:val="double" w:sz="4" w:space="0" w:color="auto"/>
              <w:left w:val="single" w:sz="8" w:space="0" w:color="000000"/>
              <w:right w:val="single" w:sz="8" w:space="0" w:color="000000"/>
            </w:tcBorders>
            <w:shd w:val="clear" w:color="auto" w:fill="F0F7D7"/>
            <w:tcMar>
              <w:top w:w="100" w:type="dxa"/>
              <w:left w:w="100" w:type="dxa"/>
              <w:bottom w:w="100" w:type="dxa"/>
              <w:right w:w="100" w:type="dxa"/>
            </w:tcMar>
          </w:tcPr>
          <w:p w14:paraId="50A5263B" w14:textId="77777777">
            <w:pPr>
              <w:pStyle w:val="Tabletext"/>
              <w:keepNext/>
              <w:rPr>
                <w:noProof/>
              </w:rPr>
            </w:pPr>
            <w:r>
              <w:t>odd lines (a, c):</w:t>
            </w:r>
            <w:r>
              <w:br/>
            </w:r>
            <w:r>
              <w:rPr>
                <w:rStyle w:val="Foreign"/>
              </w:rPr>
              <w:t>na-vipulā</w:t>
            </w:r>
          </w:p>
        </w:tc>
        <w:tc>
          <w:tcPr>
            <w:tcW w:w="687" w:type="pct"/>
            <w:tcBorders>
              <w:top w:val="double" w:sz="4" w:space="0" w:color="auto"/>
              <w:right w:val="single" w:sz="8" w:space="0" w:color="000000"/>
            </w:tcBorders>
            <w:tcMar>
              <w:top w:w="100" w:type="dxa"/>
              <w:left w:w="100" w:type="dxa"/>
              <w:bottom w:w="100" w:type="dxa"/>
              <w:right w:w="100" w:type="dxa"/>
            </w:tcMar>
            <w:vAlign w:val="center"/>
          </w:tcPr>
          <w:p w14:paraId="6AB88364" w14:textId="77777777">
            <w:pPr>
              <w:pStyle w:val="Tabletext"/>
              <w:keepNext/>
              <w:jc w:val="center"/>
              <w:rPr>
                <w:rStyle w:val="MetreCode"/>
              </w:rPr>
            </w:pPr>
            <w:r>
              <w:rPr>
                <w:rStyle w:val="MetreCode"/>
              </w:rPr>
              <w:t>⏓</w:t>
            </w:r>
          </w:p>
        </w:tc>
        <w:tc>
          <w:tcPr>
            <w:tcW w:w="687" w:type="pct"/>
            <w:tcBorders>
              <w:top w:val="double" w:sz="4" w:space="0" w:color="auto"/>
              <w:right w:val="single" w:sz="8" w:space="0" w:color="000000"/>
            </w:tcBorders>
            <w:tcMar>
              <w:top w:w="100" w:type="dxa"/>
              <w:left w:w="100" w:type="dxa"/>
              <w:bottom w:w="100" w:type="dxa"/>
              <w:right w:w="100" w:type="dxa"/>
            </w:tcMar>
            <w:vAlign w:val="center"/>
          </w:tcPr>
          <w:p w14:paraId="43958AFD" w14:textId="77777777">
            <w:pPr>
              <w:pStyle w:val="Tabletext"/>
              <w:keepNext/>
              <w:jc w:val="center"/>
              <w:rPr>
                <w:rStyle w:val="MetreCode"/>
              </w:rPr>
            </w:pPr>
            <w:r>
              <w:rPr>
                <w:rStyle w:val="MetreCode"/>
              </w:rPr>
              <w:t>–––</w:t>
            </w:r>
          </w:p>
          <w:p w14:paraId="5B01E8D2" w14:textId="77777777">
            <w:pPr>
              <w:pStyle w:val="Tabletext"/>
              <w:keepNext/>
              <w:jc w:val="center"/>
              <w:rPr>
                <w:rStyle w:val="MetreCode"/>
              </w:rPr>
            </w:pPr>
            <w:r>
              <w:rPr>
                <w:rStyle w:val="MetreCode"/>
              </w:rPr>
              <w:t>⏑––</w:t>
            </w:r>
          </w:p>
          <w:p w14:paraId="734DA31E" w14:textId="77777777">
            <w:pPr>
              <w:pStyle w:val="Tabletext"/>
              <w:keepNext/>
              <w:jc w:val="center"/>
              <w:rPr>
                <w:rStyle w:val="MetreCode"/>
              </w:rPr>
            </w:pPr>
            <w:r>
              <w:rPr>
                <w:rStyle w:val="MetreCode"/>
              </w:rPr>
              <w:t>–⏑–</w:t>
            </w:r>
          </w:p>
        </w:tc>
        <w:tc>
          <w:tcPr>
            <w:tcW w:w="688" w:type="pct"/>
            <w:gridSpan w:val="2"/>
            <w:tcBorders>
              <w:top w:val="double" w:sz="4" w:space="0" w:color="auto"/>
              <w:right w:val="single" w:sz="8" w:space="0" w:color="000000"/>
            </w:tcBorders>
            <w:shd w:val="clear" w:color="auto" w:fill="FFFF99"/>
            <w:tcMar>
              <w:top w:w="100" w:type="dxa"/>
              <w:left w:w="100" w:type="dxa"/>
              <w:bottom w:w="100" w:type="dxa"/>
              <w:right w:w="100" w:type="dxa"/>
            </w:tcMar>
            <w:vAlign w:val="center"/>
          </w:tcPr>
          <w:p w14:paraId="0477A625" w14:textId="77777777">
            <w:pPr>
              <w:pStyle w:val="Tabletext"/>
              <w:keepNext/>
              <w:jc w:val="center"/>
              <w:rPr>
                <w:rStyle w:val="MetreCode"/>
              </w:rPr>
            </w:pPr>
            <w:r>
              <w:rPr>
                <w:rStyle w:val="MetreCode"/>
              </w:rPr>
              <w:t>⏑</w:t>
            </w:r>
          </w:p>
        </w:tc>
        <w:tc>
          <w:tcPr>
            <w:tcW w:w="687" w:type="pct"/>
            <w:tcBorders>
              <w:top w:val="double" w:sz="4" w:space="0" w:color="auto"/>
              <w:right w:val="single" w:sz="8" w:space="0" w:color="000000"/>
            </w:tcBorders>
            <w:shd w:val="clear" w:color="auto" w:fill="FFFF99"/>
            <w:tcMar>
              <w:top w:w="100" w:type="dxa"/>
              <w:left w:w="100" w:type="dxa"/>
              <w:bottom w:w="100" w:type="dxa"/>
              <w:right w:w="100" w:type="dxa"/>
            </w:tcMar>
            <w:vAlign w:val="center"/>
          </w:tcPr>
          <w:p w14:paraId="7D2D90CF" w14:textId="77777777">
            <w:pPr>
              <w:pStyle w:val="Tabletext"/>
              <w:keepNext/>
              <w:jc w:val="center"/>
              <w:rPr>
                <w:rStyle w:val="MetreCode"/>
              </w:rPr>
            </w:pPr>
            <w:r>
              <w:rPr>
                <w:rStyle w:val="MetreCode"/>
              </w:rPr>
              <w:t>⏑</w:t>
            </w:r>
          </w:p>
        </w:tc>
        <w:tc>
          <w:tcPr>
            <w:tcW w:w="687" w:type="pct"/>
            <w:tcBorders>
              <w:top w:val="double" w:sz="4" w:space="0" w:color="auto"/>
              <w:right w:val="single" w:sz="8" w:space="0" w:color="000000"/>
            </w:tcBorders>
            <w:shd w:val="clear" w:color="auto" w:fill="FFFF99"/>
            <w:tcMar>
              <w:top w:w="100" w:type="dxa"/>
              <w:left w:w="100" w:type="dxa"/>
              <w:bottom w:w="100" w:type="dxa"/>
              <w:right w:w="100" w:type="dxa"/>
            </w:tcMar>
            <w:vAlign w:val="center"/>
          </w:tcPr>
          <w:p w14:paraId="58195E51" w14:textId="77777777">
            <w:pPr>
              <w:pStyle w:val="Tabletext"/>
              <w:keepNext/>
              <w:jc w:val="center"/>
              <w:rPr>
                <w:rStyle w:val="MetreCode"/>
              </w:rPr>
            </w:pPr>
            <w:r>
              <w:rPr>
                <w:rStyle w:val="MetreCode"/>
              </w:rPr>
              <w:t>⏑</w:t>
            </w:r>
          </w:p>
        </w:tc>
        <w:tc>
          <w:tcPr>
            <w:tcW w:w="684" w:type="pct"/>
            <w:tcBorders>
              <w:top w:val="double" w:sz="4" w:space="0" w:color="auto"/>
              <w:right w:val="single" w:sz="8" w:space="0" w:color="000000"/>
            </w:tcBorders>
            <w:tcMar>
              <w:top w:w="100" w:type="dxa"/>
              <w:left w:w="100" w:type="dxa"/>
              <w:bottom w:w="100" w:type="dxa"/>
              <w:right w:w="100" w:type="dxa"/>
            </w:tcMar>
            <w:vAlign w:val="center"/>
          </w:tcPr>
          <w:p w14:paraId="604432D9" w14:textId="77777777">
            <w:pPr>
              <w:pStyle w:val="Tabletext"/>
              <w:keepNext/>
              <w:jc w:val="center"/>
              <w:rPr>
                <w:rStyle w:val="MetreCode"/>
              </w:rPr>
            </w:pPr>
            <w:r>
              <w:rPr>
                <w:rStyle w:val="MetreCode"/>
              </w:rPr>
              <w:t>⏓</w:t>
            </w:r>
          </w:p>
        </w:tc>
      </w:tr>
      <w:tr w14:paraId="68746FE9" w14:textId="77777777">
        <w:tc>
          <w:tcPr>
            <w:tcW w:w="880" w:type="pct"/>
            <w:tcBorders>
              <w:left w:val="single" w:sz="8" w:space="0" w:color="000000"/>
              <w:right w:val="single" w:sz="8" w:space="0" w:color="000000"/>
            </w:tcBorders>
            <w:shd w:val="clear" w:color="auto" w:fill="F0F7D7"/>
            <w:tcMar>
              <w:top w:w="100" w:type="dxa"/>
              <w:left w:w="100" w:type="dxa"/>
              <w:bottom w:w="100" w:type="dxa"/>
              <w:right w:w="100" w:type="dxa"/>
            </w:tcMar>
          </w:tcPr>
          <w:p w14:paraId="764F7A85" w14:textId="77777777">
            <w:pPr>
              <w:pStyle w:val="Tabletext"/>
              <w:keepNext/>
              <w:rPr>
                <w:noProof/>
              </w:rPr>
            </w:pPr>
            <w:r>
              <w:t>odd lines (a, c):</w:t>
            </w:r>
            <w:r>
              <w:br/>
            </w:r>
            <w:r>
              <w:rPr>
                <w:rStyle w:val="Foreign"/>
              </w:rPr>
              <w:t>bha-vipulā</w:t>
            </w:r>
          </w:p>
        </w:tc>
        <w:tc>
          <w:tcPr>
            <w:tcW w:w="687" w:type="pct"/>
            <w:tcBorders>
              <w:right w:val="single" w:sz="8" w:space="0" w:color="000000"/>
            </w:tcBorders>
            <w:tcMar>
              <w:top w:w="100" w:type="dxa"/>
              <w:left w:w="100" w:type="dxa"/>
              <w:bottom w:w="100" w:type="dxa"/>
              <w:right w:w="100" w:type="dxa"/>
            </w:tcMar>
            <w:vAlign w:val="center"/>
          </w:tcPr>
          <w:p w14:paraId="621C361A" w14:textId="77777777">
            <w:pPr>
              <w:pStyle w:val="Tabletext"/>
              <w:keepNext/>
              <w:jc w:val="center"/>
              <w:rPr>
                <w:rStyle w:val="MetreCode"/>
              </w:rPr>
            </w:pPr>
            <w:r>
              <w:rPr>
                <w:rStyle w:val="MetreCode"/>
              </w:rPr>
              <w:t>⏓</w:t>
            </w:r>
          </w:p>
        </w:tc>
        <w:tc>
          <w:tcPr>
            <w:tcW w:w="687" w:type="pct"/>
            <w:tcBorders>
              <w:right w:val="single" w:sz="8" w:space="0" w:color="000000"/>
            </w:tcBorders>
            <w:shd w:val="clear" w:color="auto" w:fill="FBD4B4"/>
            <w:tcMar>
              <w:top w:w="100" w:type="dxa"/>
              <w:left w:w="100" w:type="dxa"/>
              <w:bottom w:w="100" w:type="dxa"/>
              <w:right w:w="100" w:type="dxa"/>
            </w:tcMar>
            <w:vAlign w:val="center"/>
          </w:tcPr>
          <w:p w14:paraId="6F5471F6" w14:textId="77777777">
            <w:pPr>
              <w:pStyle w:val="Tabletext"/>
              <w:keepNext/>
              <w:jc w:val="center"/>
              <w:rPr>
                <w:rStyle w:val="MetreCode"/>
              </w:rPr>
            </w:pPr>
            <w:r>
              <w:rPr>
                <w:rStyle w:val="MetreCode"/>
              </w:rPr>
              <w:t>–⏑–</w:t>
            </w:r>
          </w:p>
        </w:tc>
        <w:tc>
          <w:tcPr>
            <w:tcW w:w="688" w:type="pct"/>
            <w:gridSpan w:val="2"/>
            <w:tcBorders>
              <w:right w:val="single" w:sz="8" w:space="0" w:color="000000"/>
            </w:tcBorders>
            <w:shd w:val="clear" w:color="auto" w:fill="FFFF99"/>
            <w:tcMar>
              <w:top w:w="100" w:type="dxa"/>
              <w:left w:w="100" w:type="dxa"/>
              <w:bottom w:w="100" w:type="dxa"/>
              <w:right w:w="100" w:type="dxa"/>
            </w:tcMar>
            <w:vAlign w:val="center"/>
          </w:tcPr>
          <w:p w14:paraId="15A4E780" w14:textId="77777777">
            <w:pPr>
              <w:pStyle w:val="Tabletext"/>
              <w:keepNext/>
              <w:jc w:val="center"/>
              <w:rPr>
                <w:rStyle w:val="MetreCode"/>
              </w:rPr>
            </w:pPr>
            <w:r>
              <w:rPr>
                <w:rStyle w:val="MetreCode"/>
              </w:rPr>
              <w:t>–</w:t>
            </w:r>
          </w:p>
        </w:tc>
        <w:tc>
          <w:tcPr>
            <w:tcW w:w="687" w:type="pct"/>
            <w:tcBorders>
              <w:right w:val="single" w:sz="8" w:space="0" w:color="000000"/>
            </w:tcBorders>
            <w:shd w:val="clear" w:color="auto" w:fill="FFFF99"/>
            <w:tcMar>
              <w:top w:w="100" w:type="dxa"/>
              <w:left w:w="100" w:type="dxa"/>
              <w:bottom w:w="100" w:type="dxa"/>
              <w:right w:w="100" w:type="dxa"/>
            </w:tcMar>
            <w:vAlign w:val="center"/>
          </w:tcPr>
          <w:p w14:paraId="7251DA29" w14:textId="77777777">
            <w:pPr>
              <w:pStyle w:val="Tabletext"/>
              <w:keepNext/>
              <w:jc w:val="center"/>
              <w:rPr>
                <w:rStyle w:val="MetreCode"/>
              </w:rPr>
            </w:pPr>
            <w:r>
              <w:rPr>
                <w:rStyle w:val="MetreCode"/>
              </w:rPr>
              <w:t>⏑</w:t>
            </w:r>
          </w:p>
        </w:tc>
        <w:tc>
          <w:tcPr>
            <w:tcW w:w="687" w:type="pct"/>
            <w:tcBorders>
              <w:right w:val="single" w:sz="8" w:space="0" w:color="000000"/>
            </w:tcBorders>
            <w:shd w:val="clear" w:color="auto" w:fill="FFFF99"/>
            <w:tcMar>
              <w:top w:w="100" w:type="dxa"/>
              <w:left w:w="100" w:type="dxa"/>
              <w:bottom w:w="100" w:type="dxa"/>
              <w:right w:w="100" w:type="dxa"/>
            </w:tcMar>
            <w:vAlign w:val="center"/>
          </w:tcPr>
          <w:p w14:paraId="492B4DBB" w14:textId="77777777">
            <w:pPr>
              <w:pStyle w:val="Tabletext"/>
              <w:keepNext/>
              <w:jc w:val="center"/>
              <w:rPr>
                <w:rStyle w:val="MetreCode"/>
              </w:rPr>
            </w:pPr>
            <w:r>
              <w:rPr>
                <w:rStyle w:val="MetreCode"/>
              </w:rPr>
              <w:t>⏑</w:t>
            </w:r>
          </w:p>
        </w:tc>
        <w:tc>
          <w:tcPr>
            <w:tcW w:w="684" w:type="pct"/>
            <w:tcBorders>
              <w:right w:val="single" w:sz="8" w:space="0" w:color="000000"/>
            </w:tcBorders>
            <w:tcMar>
              <w:top w:w="100" w:type="dxa"/>
              <w:left w:w="100" w:type="dxa"/>
              <w:bottom w:w="100" w:type="dxa"/>
              <w:right w:w="100" w:type="dxa"/>
            </w:tcMar>
            <w:vAlign w:val="center"/>
          </w:tcPr>
          <w:p w14:paraId="1D51DC12" w14:textId="77777777">
            <w:pPr>
              <w:pStyle w:val="Tabletext"/>
              <w:keepNext/>
              <w:jc w:val="center"/>
              <w:rPr>
                <w:rStyle w:val="MetreCode"/>
              </w:rPr>
            </w:pPr>
            <w:r>
              <w:rPr>
                <w:rStyle w:val="MetreCode"/>
              </w:rPr>
              <w:t>⏓</w:t>
            </w:r>
          </w:p>
        </w:tc>
      </w:tr>
      <w:tr w14:paraId="105C8966" w14:textId="77777777">
        <w:tc>
          <w:tcPr>
            <w:tcW w:w="880" w:type="pct"/>
            <w:tcBorders>
              <w:left w:val="single" w:sz="8" w:space="0" w:color="000000"/>
              <w:right w:val="single" w:sz="8" w:space="0" w:color="000000"/>
            </w:tcBorders>
            <w:shd w:val="clear" w:color="auto" w:fill="F0F7D7"/>
            <w:tcMar>
              <w:top w:w="100" w:type="dxa"/>
              <w:left w:w="100" w:type="dxa"/>
              <w:bottom w:w="100" w:type="dxa"/>
              <w:right w:w="100" w:type="dxa"/>
            </w:tcMar>
          </w:tcPr>
          <w:p w14:paraId="55F62186" w14:textId="77777777">
            <w:pPr>
              <w:pStyle w:val="Tabletext"/>
              <w:keepNext/>
              <w:rPr>
                <w:noProof/>
              </w:rPr>
            </w:pPr>
            <w:r>
              <w:t>odd lines (a, c):</w:t>
            </w:r>
            <w:r>
              <w:br/>
            </w:r>
            <w:r>
              <w:rPr>
                <w:rStyle w:val="Foreign"/>
              </w:rPr>
              <w:t>ma-vipulā</w:t>
            </w:r>
          </w:p>
        </w:tc>
        <w:tc>
          <w:tcPr>
            <w:tcW w:w="687" w:type="pct"/>
            <w:tcBorders>
              <w:right w:val="single" w:sz="8" w:space="0" w:color="000000"/>
            </w:tcBorders>
            <w:tcMar>
              <w:top w:w="100" w:type="dxa"/>
              <w:left w:w="100" w:type="dxa"/>
              <w:bottom w:w="100" w:type="dxa"/>
              <w:right w:w="100" w:type="dxa"/>
            </w:tcMar>
            <w:vAlign w:val="center"/>
          </w:tcPr>
          <w:p w14:paraId="5E70F063" w14:textId="77777777">
            <w:pPr>
              <w:pStyle w:val="Tabletext"/>
              <w:keepNext/>
              <w:jc w:val="center"/>
              <w:rPr>
                <w:rStyle w:val="MetreCode"/>
              </w:rPr>
            </w:pPr>
            <w:r>
              <w:rPr>
                <w:rStyle w:val="MetreCode"/>
              </w:rPr>
              <w:t>⏓</w:t>
            </w:r>
          </w:p>
        </w:tc>
        <w:tc>
          <w:tcPr>
            <w:tcW w:w="687" w:type="pct"/>
            <w:tcBorders>
              <w:right w:val="single" w:sz="8" w:space="0" w:color="000000"/>
            </w:tcBorders>
            <w:shd w:val="clear" w:color="auto" w:fill="FBD4B4" w:themeFill="accent6" w:themeFillTint="66"/>
            <w:tcMar>
              <w:top w:w="100" w:type="dxa"/>
              <w:left w:w="100" w:type="dxa"/>
              <w:bottom w:w="100" w:type="dxa"/>
              <w:right w:w="100" w:type="dxa"/>
            </w:tcMar>
            <w:vAlign w:val="center"/>
          </w:tcPr>
          <w:p w14:paraId="2DC2F695" w14:textId="77777777">
            <w:pPr>
              <w:pStyle w:val="Tabletext"/>
              <w:keepNext/>
              <w:jc w:val="center"/>
              <w:rPr>
                <w:rStyle w:val="MetreCode"/>
              </w:rPr>
            </w:pPr>
            <w:r>
              <w:rPr>
                <w:rStyle w:val="MetreCode"/>
              </w:rPr>
              <w:t>–⏑–</w:t>
            </w:r>
          </w:p>
        </w:tc>
        <w:tc>
          <w:tcPr>
            <w:tcW w:w="344" w:type="pct"/>
            <w:tcBorders>
              <w:right w:val="single" w:sz="8" w:space="0" w:color="000000"/>
            </w:tcBorders>
            <w:shd w:val="clear" w:color="auto" w:fill="FFFF99"/>
            <w:tcMar>
              <w:top w:w="100" w:type="dxa"/>
              <w:left w:w="100" w:type="dxa"/>
              <w:bottom w:w="100" w:type="dxa"/>
              <w:right w:w="100" w:type="dxa"/>
            </w:tcMar>
            <w:vAlign w:val="center"/>
          </w:tcPr>
          <w:p w14:paraId="2B7A8C32" w14:textId="77777777">
            <w:pPr>
              <w:pStyle w:val="Tabletext"/>
              <w:keepNext/>
              <w:jc w:val="center"/>
              <w:rPr>
                <w:rStyle w:val="MetreCode"/>
              </w:rPr>
            </w:pPr>
            <w:r>
              <w:rPr>
                <w:rStyle w:val="MetreCode"/>
              </w:rPr>
              <w:t>–</w:t>
            </w:r>
          </w:p>
        </w:tc>
        <w:tc>
          <w:tcPr>
            <w:tcW w:w="344" w:type="pct"/>
            <w:tcBorders>
              <w:right w:val="single" w:sz="8" w:space="0" w:color="000000"/>
            </w:tcBorders>
            <w:shd w:val="clear" w:color="auto" w:fill="FBD4B4" w:themeFill="accent6" w:themeFillTint="66"/>
            <w:vAlign w:val="center"/>
          </w:tcPr>
          <w:p w14:paraId="17611A61" w14:textId="77777777">
            <w:pPr>
              <w:pStyle w:val="Tabletext"/>
              <w:keepNext/>
              <w:jc w:val="center"/>
              <w:rPr>
                <w:rStyle w:val="MetreCode"/>
              </w:rPr>
            </w:pPr>
            <w:r>
              <w:rPr>
                <w:rStyle w:val="MetreCode"/>
              </w:rPr>
              <w:t>||</w:t>
            </w:r>
          </w:p>
        </w:tc>
        <w:tc>
          <w:tcPr>
            <w:tcW w:w="687" w:type="pct"/>
            <w:tcBorders>
              <w:right w:val="single" w:sz="8" w:space="0" w:color="000000"/>
            </w:tcBorders>
            <w:shd w:val="clear" w:color="auto" w:fill="FFFF99"/>
            <w:tcMar>
              <w:top w:w="100" w:type="dxa"/>
              <w:left w:w="100" w:type="dxa"/>
              <w:bottom w:w="100" w:type="dxa"/>
              <w:right w:w="100" w:type="dxa"/>
            </w:tcMar>
            <w:vAlign w:val="center"/>
          </w:tcPr>
          <w:p w14:paraId="033DC845" w14:textId="77777777">
            <w:pPr>
              <w:pStyle w:val="Tabletext"/>
              <w:keepNext/>
              <w:jc w:val="center"/>
              <w:rPr>
                <w:rStyle w:val="MetreCode"/>
              </w:rPr>
            </w:pPr>
            <w:r>
              <w:rPr>
                <w:rStyle w:val="MetreCode"/>
              </w:rPr>
              <w:t>–</w:t>
            </w:r>
          </w:p>
        </w:tc>
        <w:tc>
          <w:tcPr>
            <w:tcW w:w="687" w:type="pct"/>
            <w:tcBorders>
              <w:right w:val="single" w:sz="8" w:space="0" w:color="000000"/>
            </w:tcBorders>
            <w:shd w:val="clear" w:color="auto" w:fill="FFFF99"/>
            <w:tcMar>
              <w:top w:w="100" w:type="dxa"/>
              <w:left w:w="100" w:type="dxa"/>
              <w:bottom w:w="100" w:type="dxa"/>
              <w:right w:w="100" w:type="dxa"/>
            </w:tcMar>
            <w:vAlign w:val="center"/>
          </w:tcPr>
          <w:p w14:paraId="7438A80D" w14:textId="77777777">
            <w:pPr>
              <w:pStyle w:val="Tabletext"/>
              <w:keepNext/>
              <w:jc w:val="center"/>
              <w:rPr>
                <w:rStyle w:val="MetreCode"/>
              </w:rPr>
            </w:pPr>
            <w:r>
              <w:rPr>
                <w:rStyle w:val="MetreCode"/>
              </w:rPr>
              <w:t>–</w:t>
            </w:r>
          </w:p>
        </w:tc>
        <w:tc>
          <w:tcPr>
            <w:tcW w:w="684" w:type="pct"/>
            <w:tcBorders>
              <w:right w:val="single" w:sz="8" w:space="0" w:color="000000"/>
            </w:tcBorders>
            <w:tcMar>
              <w:top w:w="100" w:type="dxa"/>
              <w:left w:w="100" w:type="dxa"/>
              <w:bottom w:w="100" w:type="dxa"/>
              <w:right w:w="100" w:type="dxa"/>
            </w:tcMar>
            <w:vAlign w:val="center"/>
          </w:tcPr>
          <w:p w14:paraId="3C93E247" w14:textId="77777777">
            <w:pPr>
              <w:pStyle w:val="Tabletext"/>
              <w:keepNext/>
              <w:jc w:val="center"/>
              <w:rPr>
                <w:rStyle w:val="MetreCode"/>
              </w:rPr>
            </w:pPr>
            <w:r>
              <w:rPr>
                <w:rStyle w:val="MetreCode"/>
              </w:rPr>
              <w:t>⏓</w:t>
            </w:r>
          </w:p>
        </w:tc>
      </w:tr>
      <w:tr w14:paraId="1D95FAB4" w14:textId="77777777">
        <w:tc>
          <w:tcPr>
            <w:tcW w:w="880" w:type="pct"/>
            <w:tcBorders>
              <w:left w:val="single" w:sz="8" w:space="0" w:color="000000"/>
              <w:right w:val="single" w:sz="8" w:space="0" w:color="000000"/>
            </w:tcBorders>
            <w:shd w:val="clear" w:color="auto" w:fill="F0F7D7"/>
            <w:tcMar>
              <w:top w:w="100" w:type="dxa"/>
              <w:left w:w="100" w:type="dxa"/>
              <w:bottom w:w="100" w:type="dxa"/>
              <w:right w:w="100" w:type="dxa"/>
            </w:tcMar>
          </w:tcPr>
          <w:p w14:paraId="490FCC18" w14:textId="77777777">
            <w:pPr>
              <w:pStyle w:val="Tabletext"/>
              <w:rPr>
                <w:noProof/>
              </w:rPr>
            </w:pPr>
            <w:r>
              <w:t>odd lines (a, c):</w:t>
            </w:r>
            <w:r>
              <w:br/>
            </w:r>
            <w:r>
              <w:rPr>
                <w:rStyle w:val="Foreign"/>
              </w:rPr>
              <w:t>ra-vipulā</w:t>
            </w:r>
          </w:p>
        </w:tc>
        <w:tc>
          <w:tcPr>
            <w:tcW w:w="687" w:type="pct"/>
            <w:tcBorders>
              <w:right w:val="single" w:sz="8" w:space="0" w:color="000000"/>
            </w:tcBorders>
            <w:tcMar>
              <w:top w:w="100" w:type="dxa"/>
              <w:left w:w="100" w:type="dxa"/>
              <w:bottom w:w="100" w:type="dxa"/>
              <w:right w:w="100" w:type="dxa"/>
            </w:tcMar>
            <w:vAlign w:val="center"/>
          </w:tcPr>
          <w:p w14:paraId="7E159DD7" w14:textId="77777777">
            <w:pPr>
              <w:pStyle w:val="Tabletext"/>
              <w:jc w:val="center"/>
              <w:rPr>
                <w:rStyle w:val="MetreCode"/>
              </w:rPr>
            </w:pPr>
            <w:r>
              <w:rPr>
                <w:rStyle w:val="MetreCode"/>
              </w:rPr>
              <w:t>⏓</w:t>
            </w:r>
          </w:p>
        </w:tc>
        <w:tc>
          <w:tcPr>
            <w:tcW w:w="687" w:type="pct"/>
            <w:tcBorders>
              <w:right w:val="single" w:sz="8" w:space="0" w:color="000000"/>
            </w:tcBorders>
            <w:tcMar>
              <w:top w:w="100" w:type="dxa"/>
              <w:left w:w="100" w:type="dxa"/>
              <w:bottom w:w="100" w:type="dxa"/>
              <w:right w:w="100" w:type="dxa"/>
            </w:tcMar>
            <w:vAlign w:val="center"/>
          </w:tcPr>
          <w:p w14:paraId="1E553B3E" w14:textId="77777777">
            <w:pPr>
              <w:pStyle w:val="Tabletext"/>
              <w:jc w:val="center"/>
              <w:rPr>
                <w:rStyle w:val="MetreCode"/>
              </w:rPr>
            </w:pPr>
            <w:r>
              <w:rPr>
                <w:rStyle w:val="MetreCode"/>
              </w:rPr>
              <w:t>–––</w:t>
            </w:r>
          </w:p>
          <w:p w14:paraId="46CE6FFF" w14:textId="77777777">
            <w:pPr>
              <w:pStyle w:val="Tabletext"/>
              <w:jc w:val="center"/>
              <w:rPr>
                <w:rStyle w:val="MetreCode"/>
              </w:rPr>
            </w:pPr>
            <w:r>
              <w:rPr>
                <w:rStyle w:val="MetreCode"/>
              </w:rPr>
              <w:t>⏑––</w:t>
            </w:r>
          </w:p>
          <w:p w14:paraId="78AB657F" w14:textId="77777777">
            <w:pPr>
              <w:pStyle w:val="Tabletext"/>
              <w:jc w:val="center"/>
              <w:rPr>
                <w:rStyle w:val="MetreCode"/>
              </w:rPr>
            </w:pPr>
            <w:r>
              <w:rPr>
                <w:rStyle w:val="MetreCode"/>
              </w:rPr>
              <w:t>–⏑–</w:t>
            </w:r>
          </w:p>
        </w:tc>
        <w:tc>
          <w:tcPr>
            <w:tcW w:w="344" w:type="pct"/>
            <w:tcBorders>
              <w:right w:val="single" w:sz="8" w:space="0" w:color="000000"/>
            </w:tcBorders>
            <w:shd w:val="clear" w:color="auto" w:fill="FBD4B4" w:themeFill="accent6" w:themeFillTint="66"/>
            <w:tcMar>
              <w:top w:w="100" w:type="dxa"/>
              <w:left w:w="100" w:type="dxa"/>
              <w:bottom w:w="100" w:type="dxa"/>
              <w:right w:w="100" w:type="dxa"/>
            </w:tcMar>
            <w:vAlign w:val="center"/>
          </w:tcPr>
          <w:p w14:paraId="6261AD80" w14:textId="77777777">
            <w:pPr>
              <w:pStyle w:val="Tabletext"/>
              <w:jc w:val="center"/>
              <w:rPr>
                <w:rStyle w:val="MetreCode"/>
              </w:rPr>
            </w:pPr>
            <w:r>
              <w:rPr>
                <w:rStyle w:val="MetreCode"/>
              </w:rPr>
              <w:t>||</w:t>
            </w:r>
          </w:p>
        </w:tc>
        <w:tc>
          <w:tcPr>
            <w:tcW w:w="344" w:type="pct"/>
            <w:tcBorders>
              <w:right w:val="single" w:sz="8" w:space="0" w:color="000000"/>
            </w:tcBorders>
            <w:shd w:val="clear" w:color="auto" w:fill="FFFF99"/>
            <w:vAlign w:val="center"/>
          </w:tcPr>
          <w:p w14:paraId="5849E4C9" w14:textId="77777777">
            <w:pPr>
              <w:pStyle w:val="Tabletext"/>
              <w:jc w:val="center"/>
              <w:rPr>
                <w:rStyle w:val="MetreCode"/>
              </w:rPr>
            </w:pPr>
            <w:r>
              <w:rPr>
                <w:rStyle w:val="MetreCode"/>
              </w:rPr>
              <w:t>–</w:t>
            </w:r>
          </w:p>
        </w:tc>
        <w:tc>
          <w:tcPr>
            <w:tcW w:w="687" w:type="pct"/>
            <w:tcBorders>
              <w:right w:val="single" w:sz="8" w:space="0" w:color="000000"/>
            </w:tcBorders>
            <w:shd w:val="clear" w:color="auto" w:fill="FFFF99"/>
            <w:tcMar>
              <w:top w:w="100" w:type="dxa"/>
              <w:left w:w="100" w:type="dxa"/>
              <w:bottom w:w="100" w:type="dxa"/>
              <w:right w:w="100" w:type="dxa"/>
            </w:tcMar>
            <w:vAlign w:val="center"/>
          </w:tcPr>
          <w:p w14:paraId="25DAD255" w14:textId="77777777">
            <w:pPr>
              <w:pStyle w:val="Tabletext"/>
              <w:jc w:val="center"/>
              <w:rPr>
                <w:rStyle w:val="MetreCode"/>
              </w:rPr>
            </w:pPr>
            <w:r>
              <w:rPr>
                <w:rStyle w:val="MetreCode"/>
              </w:rPr>
              <w:t>⏑</w:t>
            </w:r>
          </w:p>
        </w:tc>
        <w:tc>
          <w:tcPr>
            <w:tcW w:w="687" w:type="pct"/>
            <w:tcBorders>
              <w:right w:val="single" w:sz="8" w:space="0" w:color="000000"/>
            </w:tcBorders>
            <w:shd w:val="clear" w:color="auto" w:fill="FFFF99"/>
            <w:tcMar>
              <w:top w:w="100" w:type="dxa"/>
              <w:left w:w="100" w:type="dxa"/>
              <w:bottom w:w="100" w:type="dxa"/>
              <w:right w:w="100" w:type="dxa"/>
            </w:tcMar>
            <w:vAlign w:val="center"/>
          </w:tcPr>
          <w:p w14:paraId="56C3BC27" w14:textId="77777777">
            <w:pPr>
              <w:pStyle w:val="Tabletext"/>
              <w:jc w:val="center"/>
              <w:rPr>
                <w:rStyle w:val="MetreCode"/>
              </w:rPr>
            </w:pPr>
            <w:r>
              <w:rPr>
                <w:rStyle w:val="MetreCode"/>
              </w:rPr>
              <w:t>–</w:t>
            </w:r>
          </w:p>
        </w:tc>
        <w:tc>
          <w:tcPr>
            <w:tcW w:w="684" w:type="pct"/>
            <w:tcBorders>
              <w:right w:val="single" w:sz="8" w:space="0" w:color="000000"/>
            </w:tcBorders>
            <w:tcMar>
              <w:top w:w="100" w:type="dxa"/>
              <w:left w:w="100" w:type="dxa"/>
              <w:bottom w:w="100" w:type="dxa"/>
              <w:right w:w="100" w:type="dxa"/>
            </w:tcMar>
            <w:vAlign w:val="center"/>
          </w:tcPr>
          <w:p w14:paraId="2E1603A1" w14:textId="77777777">
            <w:pPr>
              <w:pStyle w:val="Tabletext"/>
              <w:jc w:val="center"/>
              <w:rPr>
                <w:rStyle w:val="MetreCode"/>
              </w:rPr>
            </w:pPr>
            <w:r>
              <w:rPr>
                <w:rStyle w:val="MetreCode"/>
              </w:rPr>
              <w:t>⏓</w:t>
            </w:r>
          </w:p>
        </w:tc>
      </w:tr>
      <w:tr w14:paraId="1FF3C383" w14:textId="77777777">
        <w:tc>
          <w:tcPr>
            <w:tcW w:w="880" w:type="pct"/>
            <w:tcBorders>
              <w:left w:val="single" w:sz="8" w:space="0" w:color="000000"/>
              <w:right w:val="single" w:sz="8" w:space="0" w:color="000000"/>
            </w:tcBorders>
            <w:shd w:val="clear" w:color="auto" w:fill="F0F7D7"/>
            <w:tcMar>
              <w:top w:w="100" w:type="dxa"/>
              <w:left w:w="100" w:type="dxa"/>
              <w:bottom w:w="100" w:type="dxa"/>
              <w:right w:w="100" w:type="dxa"/>
            </w:tcMar>
          </w:tcPr>
          <w:p w14:paraId="1DBF7C3F" w14:textId="77777777">
            <w:pPr>
              <w:pStyle w:val="Tabletext"/>
            </w:pPr>
            <w:r>
              <w:t>odd lines (a, c):</w:t>
            </w:r>
            <w:r>
              <w:br/>
            </w:r>
            <w:r>
              <w:rPr>
                <w:rStyle w:val="Foreign"/>
              </w:rPr>
              <w:t>ta-vipulā</w:t>
            </w:r>
          </w:p>
        </w:tc>
        <w:tc>
          <w:tcPr>
            <w:tcW w:w="687" w:type="pct"/>
            <w:tcBorders>
              <w:right w:val="single" w:sz="8" w:space="0" w:color="000000"/>
            </w:tcBorders>
            <w:tcMar>
              <w:top w:w="100" w:type="dxa"/>
              <w:left w:w="100" w:type="dxa"/>
              <w:bottom w:w="100" w:type="dxa"/>
              <w:right w:w="100" w:type="dxa"/>
            </w:tcMar>
            <w:vAlign w:val="center"/>
          </w:tcPr>
          <w:p w14:paraId="560E40D8" w14:textId="77777777">
            <w:pPr>
              <w:pStyle w:val="Tabletext"/>
              <w:jc w:val="center"/>
              <w:rPr>
                <w:rStyle w:val="MetreCode"/>
              </w:rPr>
            </w:pPr>
            <w:r>
              <w:rPr>
                <w:rStyle w:val="MetreCode"/>
              </w:rPr>
              <w:t>⏓</w:t>
            </w:r>
          </w:p>
        </w:tc>
        <w:tc>
          <w:tcPr>
            <w:tcW w:w="687" w:type="pct"/>
            <w:tcBorders>
              <w:right w:val="single" w:sz="8" w:space="0" w:color="000000"/>
            </w:tcBorders>
            <w:shd w:val="clear" w:color="auto" w:fill="FBD4B4" w:themeFill="accent6" w:themeFillTint="66"/>
            <w:tcMar>
              <w:top w:w="100" w:type="dxa"/>
              <w:left w:w="100" w:type="dxa"/>
              <w:bottom w:w="100" w:type="dxa"/>
              <w:right w:w="100" w:type="dxa"/>
            </w:tcMar>
            <w:vAlign w:val="center"/>
          </w:tcPr>
          <w:p w14:paraId="7BDA9501" w14:textId="77777777">
            <w:pPr>
              <w:pStyle w:val="Tabletext"/>
              <w:jc w:val="center"/>
              <w:rPr>
                <w:rStyle w:val="MetreCode"/>
              </w:rPr>
            </w:pPr>
            <w:r>
              <w:rPr>
                <w:rStyle w:val="MetreCode"/>
              </w:rPr>
              <w:t>–⏑–</w:t>
            </w:r>
          </w:p>
        </w:tc>
        <w:tc>
          <w:tcPr>
            <w:tcW w:w="688" w:type="pct"/>
            <w:gridSpan w:val="2"/>
            <w:tcBorders>
              <w:right w:val="single" w:sz="8" w:space="0" w:color="000000"/>
            </w:tcBorders>
            <w:shd w:val="clear" w:color="auto" w:fill="FFFF99"/>
            <w:tcMar>
              <w:top w:w="100" w:type="dxa"/>
              <w:left w:w="100" w:type="dxa"/>
              <w:bottom w:w="100" w:type="dxa"/>
              <w:right w:w="100" w:type="dxa"/>
            </w:tcMar>
            <w:vAlign w:val="center"/>
          </w:tcPr>
          <w:p w14:paraId="0B932ED8" w14:textId="77777777">
            <w:pPr>
              <w:pStyle w:val="Tabletext"/>
              <w:jc w:val="center"/>
              <w:rPr>
                <w:rStyle w:val="MetreCode"/>
              </w:rPr>
            </w:pPr>
            <w:r>
              <w:rPr>
                <w:rStyle w:val="MetreCode"/>
              </w:rPr>
              <w:t>–</w:t>
            </w:r>
          </w:p>
        </w:tc>
        <w:tc>
          <w:tcPr>
            <w:tcW w:w="687" w:type="pct"/>
            <w:tcBorders>
              <w:right w:val="single" w:sz="8" w:space="0" w:color="000000"/>
            </w:tcBorders>
            <w:shd w:val="clear" w:color="auto" w:fill="FFFF99"/>
            <w:tcMar>
              <w:top w:w="100" w:type="dxa"/>
              <w:left w:w="100" w:type="dxa"/>
              <w:bottom w:w="100" w:type="dxa"/>
              <w:right w:w="100" w:type="dxa"/>
            </w:tcMar>
            <w:vAlign w:val="center"/>
          </w:tcPr>
          <w:p w14:paraId="2878C21A" w14:textId="77777777">
            <w:pPr>
              <w:pStyle w:val="Tabletext"/>
              <w:jc w:val="center"/>
              <w:rPr>
                <w:rStyle w:val="MetreCode"/>
              </w:rPr>
            </w:pPr>
            <w:r>
              <w:rPr>
                <w:rStyle w:val="MetreCode"/>
              </w:rPr>
              <w:t>–</w:t>
            </w:r>
          </w:p>
        </w:tc>
        <w:tc>
          <w:tcPr>
            <w:tcW w:w="687" w:type="pct"/>
            <w:tcBorders>
              <w:right w:val="single" w:sz="8" w:space="0" w:color="000000"/>
            </w:tcBorders>
            <w:shd w:val="clear" w:color="auto" w:fill="FFFF99"/>
            <w:tcMar>
              <w:top w:w="100" w:type="dxa"/>
              <w:left w:w="100" w:type="dxa"/>
              <w:bottom w:w="100" w:type="dxa"/>
              <w:right w:w="100" w:type="dxa"/>
            </w:tcMar>
            <w:vAlign w:val="center"/>
          </w:tcPr>
          <w:p w14:paraId="3BBB2AAD" w14:textId="77777777">
            <w:pPr>
              <w:pStyle w:val="Tabletext"/>
              <w:jc w:val="center"/>
              <w:rPr>
                <w:rStyle w:val="MetreCode"/>
              </w:rPr>
            </w:pPr>
            <w:r>
              <w:rPr>
                <w:rStyle w:val="MetreCode"/>
              </w:rPr>
              <w:t>⏑</w:t>
            </w:r>
          </w:p>
        </w:tc>
        <w:tc>
          <w:tcPr>
            <w:tcW w:w="684" w:type="pct"/>
            <w:tcBorders>
              <w:right w:val="single" w:sz="8" w:space="0" w:color="000000"/>
            </w:tcBorders>
            <w:tcMar>
              <w:top w:w="100" w:type="dxa"/>
              <w:left w:w="100" w:type="dxa"/>
              <w:bottom w:w="100" w:type="dxa"/>
              <w:right w:w="100" w:type="dxa"/>
            </w:tcMar>
            <w:vAlign w:val="center"/>
          </w:tcPr>
          <w:p w14:paraId="1660F06A" w14:textId="77777777">
            <w:pPr>
              <w:pStyle w:val="Tabletext"/>
              <w:jc w:val="center"/>
              <w:rPr>
                <w:rStyle w:val="MetreCode"/>
              </w:rPr>
            </w:pPr>
            <w:r>
              <w:rPr>
                <w:rStyle w:val="MetreCode"/>
              </w:rPr>
              <w:t>⏓</w:t>
            </w:r>
          </w:p>
        </w:tc>
      </w:tr>
      <w:tr w14:paraId="115BBFE2" w14:textId="77777777">
        <w:tc>
          <w:tcPr>
            <w:tcW w:w="880" w:type="pct"/>
            <w:tcBorders>
              <w:left w:val="single" w:sz="8" w:space="0" w:color="000000"/>
              <w:right w:val="single" w:sz="8" w:space="0" w:color="000000"/>
            </w:tcBorders>
            <w:shd w:val="clear" w:color="auto" w:fill="F0F7D7"/>
            <w:tcMar>
              <w:top w:w="100" w:type="dxa"/>
              <w:left w:w="100" w:type="dxa"/>
              <w:bottom w:w="100" w:type="dxa"/>
              <w:right w:w="100" w:type="dxa"/>
            </w:tcMar>
          </w:tcPr>
          <w:p w14:paraId="65A04A7C" w14:textId="77777777">
            <w:pPr>
              <w:pStyle w:val="Tabletext"/>
            </w:pPr>
            <w:r>
              <w:t>odd lines (a, c):</w:t>
            </w:r>
            <w:r>
              <w:br/>
            </w:r>
            <w:r>
              <w:rPr>
                <w:rStyle w:val="Foreign"/>
              </w:rPr>
              <w:t>sa-vipulā</w:t>
            </w:r>
          </w:p>
        </w:tc>
        <w:tc>
          <w:tcPr>
            <w:tcW w:w="687" w:type="pct"/>
            <w:tcBorders>
              <w:right w:val="single" w:sz="8" w:space="0" w:color="000000"/>
            </w:tcBorders>
            <w:tcMar>
              <w:top w:w="100" w:type="dxa"/>
              <w:left w:w="100" w:type="dxa"/>
              <w:bottom w:w="100" w:type="dxa"/>
              <w:right w:w="100" w:type="dxa"/>
            </w:tcMar>
            <w:vAlign w:val="center"/>
          </w:tcPr>
          <w:p w14:paraId="51566557" w14:textId="77777777">
            <w:pPr>
              <w:pStyle w:val="Tabletext"/>
              <w:jc w:val="center"/>
              <w:rPr>
                <w:rStyle w:val="MetreCode"/>
              </w:rPr>
            </w:pPr>
            <w:r>
              <w:rPr>
                <w:rStyle w:val="MetreCode"/>
              </w:rPr>
              <w:t>⏓</w:t>
            </w:r>
          </w:p>
        </w:tc>
        <w:tc>
          <w:tcPr>
            <w:tcW w:w="687" w:type="pct"/>
            <w:tcBorders>
              <w:right w:val="single" w:sz="8" w:space="0" w:color="000000"/>
            </w:tcBorders>
            <w:tcMar>
              <w:top w:w="100" w:type="dxa"/>
              <w:left w:w="100" w:type="dxa"/>
              <w:bottom w:w="100" w:type="dxa"/>
              <w:right w:w="100" w:type="dxa"/>
            </w:tcMar>
            <w:vAlign w:val="center"/>
          </w:tcPr>
          <w:p w14:paraId="7A7AA2D4" w14:textId="77777777">
            <w:pPr>
              <w:pStyle w:val="Tabletext"/>
              <w:jc w:val="center"/>
              <w:rPr>
                <w:rStyle w:val="MetreCode"/>
              </w:rPr>
            </w:pPr>
            <w:r>
              <w:rPr>
                <w:rStyle w:val="MetreCode"/>
              </w:rPr>
              <w:t>–––</w:t>
            </w:r>
          </w:p>
          <w:p w14:paraId="4DC59241" w14:textId="77777777">
            <w:pPr>
              <w:pStyle w:val="Tabletext"/>
              <w:jc w:val="center"/>
              <w:rPr>
                <w:rStyle w:val="MetreCode"/>
              </w:rPr>
            </w:pPr>
            <w:r>
              <w:rPr>
                <w:rStyle w:val="MetreCode"/>
              </w:rPr>
              <w:t>⏑––</w:t>
            </w:r>
          </w:p>
          <w:p w14:paraId="2F88AF8A" w14:textId="77777777">
            <w:pPr>
              <w:pStyle w:val="Tabletext"/>
              <w:jc w:val="center"/>
              <w:rPr>
                <w:rStyle w:val="MetreCode"/>
              </w:rPr>
            </w:pPr>
            <w:r>
              <w:rPr>
                <w:rStyle w:val="MetreCode"/>
              </w:rPr>
              <w:t>–⏑–</w:t>
            </w:r>
          </w:p>
        </w:tc>
        <w:tc>
          <w:tcPr>
            <w:tcW w:w="688" w:type="pct"/>
            <w:gridSpan w:val="2"/>
            <w:tcBorders>
              <w:right w:val="single" w:sz="8" w:space="0" w:color="000000"/>
            </w:tcBorders>
            <w:shd w:val="clear" w:color="auto" w:fill="FFFF99"/>
            <w:tcMar>
              <w:top w:w="100" w:type="dxa"/>
              <w:left w:w="100" w:type="dxa"/>
              <w:bottom w:w="100" w:type="dxa"/>
              <w:right w:w="100" w:type="dxa"/>
            </w:tcMar>
            <w:vAlign w:val="center"/>
          </w:tcPr>
          <w:p w14:paraId="29C31880" w14:textId="77777777">
            <w:pPr>
              <w:pStyle w:val="Tabletext"/>
              <w:jc w:val="center"/>
              <w:rPr>
                <w:rStyle w:val="MetreCode"/>
              </w:rPr>
            </w:pPr>
            <w:r>
              <w:rPr>
                <w:rStyle w:val="MetreCode"/>
              </w:rPr>
              <w:t>⏑</w:t>
            </w:r>
          </w:p>
        </w:tc>
        <w:tc>
          <w:tcPr>
            <w:tcW w:w="687" w:type="pct"/>
            <w:tcBorders>
              <w:right w:val="single" w:sz="8" w:space="0" w:color="000000"/>
            </w:tcBorders>
            <w:shd w:val="clear" w:color="auto" w:fill="FFFF99"/>
            <w:tcMar>
              <w:top w:w="100" w:type="dxa"/>
              <w:left w:w="100" w:type="dxa"/>
              <w:bottom w:w="100" w:type="dxa"/>
              <w:right w:w="100" w:type="dxa"/>
            </w:tcMar>
            <w:vAlign w:val="center"/>
          </w:tcPr>
          <w:p w14:paraId="3C8FB866" w14:textId="77777777">
            <w:pPr>
              <w:pStyle w:val="Tabletext"/>
              <w:jc w:val="center"/>
              <w:rPr>
                <w:rStyle w:val="MetreCode"/>
              </w:rPr>
            </w:pPr>
            <w:r>
              <w:rPr>
                <w:rStyle w:val="MetreCode"/>
              </w:rPr>
              <w:t>⏑</w:t>
            </w:r>
          </w:p>
        </w:tc>
        <w:tc>
          <w:tcPr>
            <w:tcW w:w="687" w:type="pct"/>
            <w:tcBorders>
              <w:right w:val="single" w:sz="8" w:space="0" w:color="000000"/>
            </w:tcBorders>
            <w:shd w:val="clear" w:color="auto" w:fill="FFFF99"/>
            <w:tcMar>
              <w:top w:w="100" w:type="dxa"/>
              <w:left w:w="100" w:type="dxa"/>
              <w:bottom w:w="100" w:type="dxa"/>
              <w:right w:w="100" w:type="dxa"/>
            </w:tcMar>
            <w:vAlign w:val="center"/>
          </w:tcPr>
          <w:p w14:paraId="70A1E8FC" w14:textId="77777777">
            <w:pPr>
              <w:pStyle w:val="Tabletext"/>
              <w:jc w:val="center"/>
              <w:rPr>
                <w:rStyle w:val="MetreCode"/>
              </w:rPr>
            </w:pPr>
            <w:r>
              <w:rPr>
                <w:rStyle w:val="MetreCode"/>
              </w:rPr>
              <w:t>–</w:t>
            </w:r>
          </w:p>
        </w:tc>
        <w:tc>
          <w:tcPr>
            <w:tcW w:w="684" w:type="pct"/>
            <w:tcBorders>
              <w:right w:val="single" w:sz="8" w:space="0" w:color="000000"/>
            </w:tcBorders>
            <w:tcMar>
              <w:top w:w="100" w:type="dxa"/>
              <w:left w:w="100" w:type="dxa"/>
              <w:bottom w:w="100" w:type="dxa"/>
              <w:right w:w="100" w:type="dxa"/>
            </w:tcMar>
            <w:vAlign w:val="center"/>
          </w:tcPr>
          <w:p w14:paraId="0E73F3C7" w14:textId="77777777">
            <w:pPr>
              <w:pStyle w:val="Tabletext"/>
              <w:jc w:val="center"/>
              <w:rPr>
                <w:rStyle w:val="MetreCode"/>
              </w:rPr>
            </w:pPr>
            <w:r>
              <w:rPr>
                <w:rStyle w:val="MetreCode"/>
              </w:rPr>
              <w:t>⏓</w:t>
            </w:r>
          </w:p>
        </w:tc>
      </w:tr>
    </w:tbl>
    <w:p w14:paraId="07DD097C" w14:textId="77777777">
      <w:pPr>
        <w:pStyle w:val="Cmsor3"/>
      </w:pPr>
      <w:bookmarkStart w:id="33" w:name="_Ref240470516"/>
      <w:r>
        <w:lastRenderedPageBreak/>
        <w:t xml:space="preserve">The </w:t>
      </w:r>
      <w:r>
        <w:rPr>
          <w:rStyle w:val="Foreign"/>
        </w:rPr>
        <w:t>upajāti</w:t>
      </w:r>
      <w:r>
        <w:t xml:space="preserve"> group</w:t>
      </w:r>
      <w:bookmarkEnd w:id="27"/>
      <w:bookmarkEnd w:id="28"/>
      <w:bookmarkEnd w:id="33"/>
    </w:p>
    <w:p w14:paraId="45C19F5B" w14:textId="77777777">
      <w:pPr>
        <w:pStyle w:val="Lista"/>
      </w:pPr>
      <w:r>
        <w:t>this group of metres includes 11 and 12-syllable metres which vary in the length of the first syllable and thus give rise to ambiguities concerning classification</w:t>
      </w:r>
    </w:p>
    <w:p w14:paraId="300B4093" w14:textId="77777777">
      <w:pPr>
        <w:pStyle w:val="Lista2"/>
      </w:pPr>
      <w:r>
        <w:rPr>
          <w:rStyle w:val="Foreign"/>
        </w:rPr>
        <w:t>upajāti</w:t>
      </w:r>
      <w:r>
        <w:t xml:space="preserve"> or </w:t>
      </w:r>
      <w:r>
        <w:rPr>
          <w:rStyle w:val="Foreign"/>
        </w:rPr>
        <w:t>triṣṭubh upajāti</w:t>
      </w:r>
      <w:r>
        <w:t xml:space="preserve">, a free mix of </w:t>
      </w:r>
      <w:r>
        <w:rPr>
          <w:rStyle w:val="Foreign"/>
        </w:rPr>
        <w:t>indravajrā</w:t>
      </w:r>
      <w:r>
        <w:t xml:space="preserve"> and </w:t>
      </w:r>
      <w:r>
        <w:rPr>
          <w:rStyle w:val="Foreign"/>
        </w:rPr>
        <w:t>upendravajrā</w:t>
      </w:r>
    </w:p>
    <w:p w14:paraId="3AB90B10" w14:textId="77777777">
      <w:pPr>
        <w:pStyle w:val="Lista2"/>
      </w:pPr>
      <w:r>
        <w:rPr>
          <w:rStyle w:val="Foreign"/>
        </w:rPr>
        <w:t>vaṁśamālā</w:t>
      </w:r>
      <w:r>
        <w:t xml:space="preserve"> or </w:t>
      </w:r>
      <w:r>
        <w:rPr>
          <w:rStyle w:val="Foreign"/>
        </w:rPr>
        <w:t>jagatī upajāti</w:t>
      </w:r>
      <w:r>
        <w:t xml:space="preserve">, a free mix of </w:t>
      </w:r>
      <w:r>
        <w:rPr>
          <w:rStyle w:val="Foreign"/>
        </w:rPr>
        <w:t>indravaṁśā</w:t>
      </w:r>
      <w:r>
        <w:t xml:space="preserve"> and </w:t>
      </w:r>
      <w:r>
        <w:rPr>
          <w:rStyle w:val="Foreign"/>
        </w:rPr>
        <w:t>vaṁśastha</w:t>
      </w:r>
    </w:p>
    <w:p w14:paraId="67EA3F79" w14:textId="77777777">
      <w:pPr>
        <w:pStyle w:val="Lista"/>
      </w:pPr>
      <w:r>
        <w:t xml:space="preserve">when every line of a stanza is in one of the “pure” metres </w:t>
      </w:r>
      <w:r>
        <w:rPr>
          <w:noProof/>
        </w:rPr>
        <w:t>(</w:t>
      </w:r>
      <w:r>
        <w:t xml:space="preserve">e.g. </w:t>
      </w:r>
      <w:r>
        <w:rPr>
          <w:rStyle w:val="Foreign"/>
        </w:rPr>
        <w:t>indravajrā</w:t>
      </w:r>
      <w:r>
        <w:t xml:space="preserve">), that stanza should normally be classified as that pure metre, whereas stanzas with one or more lines in the other child metre should be classified as the “mixed metre” </w:t>
      </w:r>
      <w:r>
        <w:rPr>
          <w:noProof/>
        </w:rPr>
        <w:t>(</w:t>
      </w:r>
      <w:r>
        <w:t xml:space="preserve">e.g. </w:t>
      </w:r>
      <w:r>
        <w:rPr>
          <w:rStyle w:val="Foreign"/>
        </w:rPr>
        <w:t>upajāti</w:t>
      </w:r>
      <w:r>
        <w:t>)</w:t>
      </w:r>
    </w:p>
    <w:p w14:paraId="2091FCEB" w14:textId="77777777">
      <w:pPr>
        <w:pStyle w:val="Lista"/>
      </w:pPr>
      <w:r>
        <w:t>however, the mixed metres are more widely used than the pure ones, therefore</w:t>
      </w:r>
    </w:p>
    <w:p w14:paraId="1BA095CB" w14:textId="77777777">
      <w:pPr>
        <w:pStyle w:val="Lista2"/>
      </w:pPr>
      <w:r>
        <w:t>if an inscription includes several successive stanzas of a mixed metre among which one or a few stanzas are in a pure metre, then it makes better sense to classify the pure stanza</w:t>
      </w:r>
      <w:r>
        <w:rPr>
          <w:noProof/>
        </w:rPr>
        <w:t>(</w:t>
      </w:r>
      <w:r>
        <w:t xml:space="preserve">s) as being also of the mixed metre </w:t>
      </w:r>
      <w:r>
        <w:rPr>
          <w:noProof/>
        </w:rPr>
        <w:t>(</w:t>
      </w:r>
      <w:r>
        <w:t>assuming that the poet was composing in the mixed metre and by chance all lines of that particular stanza turned out in one of the pure metres)</w:t>
      </w:r>
    </w:p>
    <w:p w14:paraId="7A9F5F17" w14:textId="77777777">
      <w:pPr>
        <w:pStyle w:val="Lista2"/>
      </w:pPr>
      <w:r>
        <w:t>if an inscription includes a stanza in one of these metres with at least one line-initial syllable lost, then it is better to assume the stanza to be in the mixed metre even if all the fully extant lines are in one of the pure metres</w:t>
      </w:r>
    </w:p>
    <w:p w14:paraId="4F0FE719" w14:textId="77777777">
      <w:pPr>
        <w:pStyle w:val="Lista2"/>
      </w:pPr>
      <w:r>
        <w:t>there may always be cases where the above considerations do not apply; for example when a composer shows off his skill by employing a wide variety of metres</w:t>
      </w:r>
    </w:p>
    <w:p w14:paraId="302179BB" w14:textId="77777777">
      <w:pPr>
        <w:pStyle w:val="Cmsor3"/>
      </w:pPr>
      <w:bookmarkStart w:id="34" w:name="_Ref43991879"/>
      <w:bookmarkStart w:id="35" w:name="_Toc233988981"/>
      <w:r>
        <w:t>Pre-classical trimeter</w:t>
      </w:r>
      <w:bookmarkEnd w:id="34"/>
      <w:bookmarkEnd w:id="35"/>
    </w:p>
    <w:p w14:paraId="0F47D7FF" w14:textId="79B1A698">
      <w:r>
        <w:rPr>
          <w:lang w:eastAsia="en-US" w:bidi="ar-SA"/>
        </w:rPr>
        <w:t>The intricacies of partially constrained Vedic metres are beyond the scope of our interest. Some stanzas attested in epigraphy and in the manuscript tradition do, however, conform to pre-classical conventions. As noted above (§</w:t>
      </w:r>
      <w:r>
        <w:rPr>
          <w:lang w:eastAsia="en-US" w:bidi="ar-SA"/>
        </w:rPr>
        <w:fldChar w:fldCharType="begin"/>
      </w:r>
      <w:r>
        <w:rPr>
          <w:lang w:eastAsia="en-US" w:bidi="ar-SA"/>
        </w:rPr>
        <w:instrText xml:space="preserve"> REF _Ref48034509 \r \h </w:instrText>
      </w:r>
      <w:r>
        <w:rPr>
          <w:lang w:eastAsia="en-US" w:bidi="ar-SA"/>
        </w:rPr>
      </w:r>
      <w:r>
        <w:rPr>
          <w:lang w:eastAsia="en-US" w:bidi="ar-SA"/>
        </w:rPr>
        <w:fldChar w:fldCharType="separate"/>
      </w:r>
      <w:r>
        <w:rPr>
          <w:lang w:eastAsia="en-US" w:bidi="ar-SA"/>
        </w:rPr>
        <w:t>2.2.1</w:t>
      </w:r>
      <w:r>
        <w:rPr>
          <w:lang w:eastAsia="en-US" w:bidi="ar-SA"/>
        </w:rPr>
        <w:fldChar w:fldCharType="end"/>
      </w:r>
      <w:r>
        <w:rPr>
          <w:lang w:eastAsia="en-US" w:bidi="ar-SA"/>
        </w:rPr>
        <w:t xml:space="preserve">), Vedic </w:t>
      </w:r>
      <w:r>
        <w:rPr>
          <w:rStyle w:val="Foreign"/>
        </w:rPr>
        <w:t>anuṣṭubh</w:t>
      </w:r>
      <w:r>
        <w:t xml:space="preserve"> is for our purposes merely a metrically deviant version of classical </w:t>
      </w:r>
      <w:r>
        <w:rPr>
          <w:rStyle w:val="Foreign"/>
        </w:rPr>
        <w:t>anuṣṭubh</w:t>
      </w:r>
      <w:r>
        <w:t xml:space="preserve">. Slightly more common in the corpora we deal with are stanzas consisting of eleven- and/or twelve-syllable lines that do not conform to the strict constraints of </w:t>
      </w:r>
      <w:r>
        <w:rPr>
          <w:rStyle w:val="Foreign"/>
        </w:rPr>
        <w:t>indravajrā/upendravajrā</w:t>
      </w:r>
      <w:r>
        <w:t xml:space="preserve"> or </w:t>
      </w:r>
      <w:r>
        <w:rPr>
          <w:rStyle w:val="Foreign"/>
        </w:rPr>
        <w:t>indravaṁśā/vaṁśastha</w:t>
      </w:r>
      <w:r>
        <w:t xml:space="preserve">, nor to the minimally relaxed constraints of </w:t>
      </w:r>
      <w:r>
        <w:rPr>
          <w:rStyle w:val="Foreign"/>
        </w:rPr>
        <w:t>upajāti</w:t>
      </w:r>
      <w:r>
        <w:t xml:space="preserve"> or </w:t>
      </w:r>
      <w:r>
        <w:rPr>
          <w:rStyle w:val="Foreign"/>
        </w:rPr>
        <w:t>vaṁśamālā</w:t>
      </w:r>
      <w:r>
        <w:t xml:space="preserve"> (§</w:t>
      </w:r>
      <w:r>
        <w:fldChar w:fldCharType="begin"/>
      </w:r>
      <w:r>
        <w:instrText xml:space="preserve"> REF _Ref240470516 \r \h </w:instrText>
      </w:r>
      <w:r>
        <w:fldChar w:fldCharType="separate"/>
      </w:r>
      <w:r>
        <w:t>2.2.2</w:t>
      </w:r>
      <w:r>
        <w:fldChar w:fldCharType="end"/>
      </w:r>
      <w:r>
        <w:t xml:space="preserve">). We refer to such metres collectively as trimeter following Arnold </w:t>
      </w:r>
      <w:r>
        <w:rPr>
          <w:rFonts w:cs="Gentium"/>
          <w:kern w:val="0"/>
          <w:szCs w:val="24"/>
        </w:rPr>
        <w:t>(1905, 7, 11–14)</w:t>
      </w:r>
      <w:r>
        <w:t>.</w:t>
      </w:r>
    </w:p>
    <w:p w14:paraId="52361C0A" w14:textId="77777777">
      <w:pPr>
        <w:pStyle w:val="Lista"/>
      </w:pPr>
      <w:r>
        <w:t>the general characteristics of trimeter verse are the following</w:t>
      </w:r>
    </w:p>
    <w:p w14:paraId="00DE93A3" w14:textId="77777777">
      <w:pPr>
        <w:pStyle w:val="Lista2"/>
      </w:pPr>
      <w:r>
        <w:t>lines consist of 11±1 or 12±1 syllables, with varying line number permitted within a stanza</w:t>
      </w:r>
    </w:p>
    <w:p w14:paraId="75D28C2F" w14:textId="77777777">
      <w:pPr>
        <w:pStyle w:val="Lista2"/>
      </w:pPr>
      <w:r>
        <w:t>there is a more or less clear caesura after the fourth or fifth syllable</w:t>
      </w:r>
    </w:p>
    <w:p w14:paraId="2958DB37" w14:textId="77777777">
      <w:pPr>
        <w:pStyle w:val="Lista2"/>
      </w:pPr>
      <w:r>
        <w:t xml:space="preserve">the initial colon </w:t>
      </w:r>
      <w:r>
        <w:rPr>
          <w:noProof/>
        </w:rPr>
        <w:t>(</w:t>
      </w:r>
      <w:r>
        <w:t>the “opening”) is relatively free, but predominantly trochaic</w:t>
      </w:r>
    </w:p>
    <w:p w14:paraId="50DEA0D3" w14:textId="77777777">
      <w:pPr>
        <w:pStyle w:val="Lista2"/>
      </w:pPr>
      <w:r>
        <w:t xml:space="preserve">the caesura is generally followed by a pair of short syllables </w:t>
      </w:r>
      <w:r>
        <w:rPr>
          <w:noProof/>
        </w:rPr>
        <w:t xml:space="preserve">(the </w:t>
      </w:r>
      <w:r>
        <w:t>“break”)</w:t>
      </w:r>
    </w:p>
    <w:p w14:paraId="07CCA250" w14:textId="77777777">
      <w:pPr>
        <w:pStyle w:val="Lista2"/>
      </w:pPr>
      <w:r>
        <w:t xml:space="preserve">the final part of each line </w:t>
      </w:r>
      <w:r>
        <w:rPr>
          <w:noProof/>
        </w:rPr>
        <w:t>(the “</w:t>
      </w:r>
      <w:r>
        <w:t>cadence”) is relatively fixed in a trochaic pattern</w:t>
      </w:r>
    </w:p>
    <w:p w14:paraId="507B7A81" w14:textId="77777777">
      <w:pPr>
        <w:pStyle w:val="Lista"/>
        <w:rPr>
          <w:lang w:eastAsia="en-US" w:bidi="ar-SA"/>
        </w:rPr>
      </w:pPr>
      <w:r>
        <w:t xml:space="preserve">we judge that a rough typology of metrical patterns serves our needs better than a detailed encoding that could give due consideration to the intricacies of these metres, and hence we </w:t>
      </w:r>
      <w:r>
        <w:rPr>
          <w:lang w:eastAsia="en-US" w:bidi="ar-SA"/>
        </w:rPr>
        <w:t>classify them into the following rough categories</w:t>
      </w:r>
    </w:p>
    <w:p w14:paraId="2C177D7B" w14:textId="77777777">
      <w:pPr>
        <w:pStyle w:val="Lista2"/>
        <w:rPr>
          <w:rStyle w:val="MetreCode"/>
        </w:rPr>
      </w:pPr>
      <w:r>
        <w:rPr>
          <w:rStyle w:val="Foreign"/>
        </w:rPr>
        <w:t>triṣṭubh</w:t>
      </w:r>
      <w:r>
        <w:t xml:space="preserve"> is our term for stanzas of predominantly 11-syllable lines which predominantly conform to the pattern </w:t>
      </w:r>
      <w:r>
        <w:rPr>
          <w:rStyle w:val="MetreCode"/>
        </w:rPr>
        <w:t>⏓–⏓–||⏑⏑––⏑–⏓</w:t>
      </w:r>
      <w:r>
        <w:t xml:space="preserve"> or </w:t>
      </w:r>
      <w:r>
        <w:rPr>
          <w:rStyle w:val="MetreCode"/>
        </w:rPr>
        <w:t>⏓–⏓–⏓||⏑⏑–⏑–⏓</w:t>
      </w:r>
      <w:r>
        <w:t xml:space="preserve"> as shown in </w:t>
      </w:r>
      <w:r>
        <w:fldChar w:fldCharType="begin"/>
      </w:r>
      <w:r>
        <w:instrText xml:space="preserve"> REF _Ref240472212 \h </w:instrText>
      </w:r>
      <w:r>
        <w:fldChar w:fldCharType="separate"/>
      </w:r>
      <w:r>
        <w:t xml:space="preserve">Table </w:t>
      </w:r>
      <w:r>
        <w:rPr>
          <w:noProof/>
        </w:rPr>
        <w:t>4</w:t>
      </w:r>
      <w:r>
        <w:fldChar w:fldCharType="end"/>
      </w:r>
    </w:p>
    <w:p w14:paraId="1C35B0A0" w14:textId="77777777">
      <w:pPr>
        <w:pStyle w:val="Lista2"/>
        <w:rPr>
          <w:rStyle w:val="MetreCode"/>
        </w:rPr>
      </w:pPr>
      <w:r>
        <w:rPr>
          <w:rStyle w:val="Foreign"/>
        </w:rPr>
        <w:t>jagatī</w:t>
      </w:r>
      <w:r>
        <w:t xml:space="preserve"> is our term for stanzas of predominantly 12-syllable lines which predominantly conform to the pattern </w:t>
      </w:r>
      <w:r>
        <w:rPr>
          <w:rStyle w:val="MetreCode"/>
        </w:rPr>
        <w:t>⏓–⏓–||⏑⏑––⏑–⏑⏓</w:t>
      </w:r>
      <w:r>
        <w:t xml:space="preserve"> or </w:t>
      </w:r>
      <w:r>
        <w:rPr>
          <w:rStyle w:val="MetreCode"/>
        </w:rPr>
        <w:t>⏓–⏓–⏓||⏑⏑–⏑–⏑⏓</w:t>
      </w:r>
      <w:r>
        <w:t xml:space="preserve"> as shown in </w:t>
      </w:r>
      <w:r>
        <w:fldChar w:fldCharType="begin"/>
      </w:r>
      <w:r>
        <w:instrText xml:space="preserve"> REF _Ref240472212 \h </w:instrText>
      </w:r>
      <w:r>
        <w:fldChar w:fldCharType="separate"/>
      </w:r>
      <w:r>
        <w:t xml:space="preserve">Table </w:t>
      </w:r>
      <w:r>
        <w:rPr>
          <w:noProof/>
        </w:rPr>
        <w:t>4</w:t>
      </w:r>
      <w:r>
        <w:fldChar w:fldCharType="end"/>
      </w:r>
    </w:p>
    <w:p w14:paraId="52C5B4E7" w14:textId="77777777">
      <w:pPr>
        <w:pStyle w:val="Lista2"/>
      </w:pPr>
      <w:r>
        <w:rPr>
          <w:rStyle w:val="Foreign"/>
        </w:rPr>
        <w:t>trimeter</w:t>
      </w:r>
      <w:r>
        <w:t xml:space="preserve"> is our fallback term for stanzas where the metrical pattern and/or length of the lines varies more than in the more specific metres named above</w:t>
      </w:r>
    </w:p>
    <w:p w14:paraId="05B9E667" w14:textId="77777777">
      <w:pPr>
        <w:pStyle w:val="Kpalrs"/>
        <w:keepNext/>
        <w:rPr>
          <w:rStyle w:val="Foreign"/>
        </w:rPr>
      </w:pPr>
      <w:bookmarkStart w:id="36" w:name="_Ref240472212"/>
      <w:r>
        <w:t xml:space="preserve">Table </w:t>
      </w:r>
      <w:fldSimple w:instr=" SEQ Table \* ARABIC ">
        <w:r>
          <w:rPr>
            <w:noProof/>
          </w:rPr>
          <w:t>4</w:t>
        </w:r>
      </w:fldSimple>
      <w:bookmarkEnd w:id="36"/>
      <w:r>
        <w:t xml:space="preserve">. Templates of </w:t>
      </w:r>
      <w:r>
        <w:rPr>
          <w:rStyle w:val="Foreign"/>
        </w:rPr>
        <w:t>triṣṭubh</w:t>
      </w:r>
      <w:r>
        <w:t xml:space="preserve"> and </w:t>
      </w:r>
      <w:r>
        <w:rPr>
          <w:rStyle w:val="Foreign"/>
        </w:rPr>
        <w:t>jagatī</w:t>
      </w:r>
    </w:p>
    <w:tbl>
      <w:tblPr>
        <w:tblStyle w:val="14"/>
        <w:tblW w:w="309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253"/>
        <w:gridCol w:w="2886"/>
        <w:gridCol w:w="1805"/>
      </w:tblGrid>
      <w:tr w14:paraId="4AF33CA1" w14:textId="77777777">
        <w:trPr>
          <w:jc w:val="center"/>
        </w:trPr>
        <w:tc>
          <w:tcPr>
            <w:tcW w:w="1053" w:type="pct"/>
            <w:shd w:val="clear" w:color="auto" w:fill="F0F7D7"/>
            <w:tcMar>
              <w:top w:w="100" w:type="dxa"/>
              <w:left w:w="100" w:type="dxa"/>
              <w:bottom w:w="100" w:type="dxa"/>
              <w:right w:w="100" w:type="dxa"/>
            </w:tcMar>
          </w:tcPr>
          <w:p w14:paraId="47C8A0C9" w14:textId="77777777">
            <w:pPr>
              <w:pStyle w:val="Tabletext"/>
              <w:keepNext/>
              <w:rPr>
                <w:rStyle w:val="Foreign"/>
              </w:rPr>
            </w:pPr>
          </w:p>
        </w:tc>
        <w:tc>
          <w:tcPr>
            <w:tcW w:w="2428" w:type="pct"/>
            <w:shd w:val="clear" w:color="auto" w:fill="F0F7D7"/>
            <w:tcMar>
              <w:top w:w="100" w:type="dxa"/>
              <w:left w:w="100" w:type="dxa"/>
              <w:bottom w:w="100" w:type="dxa"/>
              <w:right w:w="100" w:type="dxa"/>
            </w:tcMar>
          </w:tcPr>
          <w:p w14:paraId="76CD0EAA" w14:textId="77777777">
            <w:pPr>
              <w:pStyle w:val="Tabletext"/>
              <w:keepNext/>
              <w:rPr>
                <w:noProof/>
              </w:rPr>
            </w:pPr>
            <w:r>
              <w:rPr>
                <w:noProof/>
              </w:rPr>
              <w:t>opening and break</w:t>
            </w:r>
          </w:p>
        </w:tc>
        <w:tc>
          <w:tcPr>
            <w:tcW w:w="1518" w:type="pct"/>
            <w:shd w:val="clear" w:color="auto" w:fill="F0F7D7"/>
          </w:tcPr>
          <w:p w14:paraId="33B8932F" w14:textId="77777777">
            <w:pPr>
              <w:pStyle w:val="Tabletext"/>
              <w:keepNext/>
              <w:rPr>
                <w:noProof/>
              </w:rPr>
            </w:pPr>
            <w:r>
              <w:rPr>
                <w:noProof/>
              </w:rPr>
              <w:t>cadence</w:t>
            </w:r>
          </w:p>
        </w:tc>
      </w:tr>
      <w:tr w14:paraId="0298C2CB" w14:textId="77777777">
        <w:trPr>
          <w:jc w:val="center"/>
        </w:trPr>
        <w:tc>
          <w:tcPr>
            <w:tcW w:w="1053" w:type="pct"/>
            <w:shd w:val="clear" w:color="auto" w:fill="F0F7D7"/>
            <w:tcMar>
              <w:top w:w="100" w:type="dxa"/>
              <w:left w:w="100" w:type="dxa"/>
              <w:bottom w:w="100" w:type="dxa"/>
              <w:right w:w="100" w:type="dxa"/>
            </w:tcMar>
          </w:tcPr>
          <w:p w14:paraId="7069BC0F" w14:textId="77777777">
            <w:pPr>
              <w:pStyle w:val="Tabletext"/>
              <w:keepNext/>
              <w:rPr>
                <w:rStyle w:val="Foreign"/>
              </w:rPr>
            </w:pPr>
            <w:r>
              <w:rPr>
                <w:rStyle w:val="Foreign"/>
              </w:rPr>
              <w:t>triṣṭubh</w:t>
            </w:r>
          </w:p>
        </w:tc>
        <w:tc>
          <w:tcPr>
            <w:tcW w:w="2428" w:type="pct"/>
            <w:vMerge w:val="restart"/>
            <w:tcMar>
              <w:top w:w="100" w:type="dxa"/>
              <w:left w:w="100" w:type="dxa"/>
              <w:bottom w:w="100" w:type="dxa"/>
              <w:right w:w="100" w:type="dxa"/>
            </w:tcMar>
          </w:tcPr>
          <w:p w14:paraId="236087E8" w14:textId="77777777">
            <w:pPr>
              <w:pStyle w:val="Tabletext"/>
              <w:keepNext/>
            </w:pPr>
            <w:r>
              <w:rPr>
                <w:rStyle w:val="MetreCode"/>
              </w:rPr>
              <w:t>⏓–⏓–||⏑⏑–</w:t>
            </w:r>
            <w:r>
              <w:t xml:space="preserve"> (early caesura)</w:t>
            </w:r>
          </w:p>
          <w:p w14:paraId="494A9DE1" w14:textId="77777777">
            <w:pPr>
              <w:pStyle w:val="Tabletext"/>
              <w:keepNext/>
              <w:jc w:val="center"/>
            </w:pPr>
            <w:r>
              <w:t>or</w:t>
            </w:r>
          </w:p>
          <w:p w14:paraId="4E97AF55" w14:textId="77777777">
            <w:pPr>
              <w:pStyle w:val="Tabletext"/>
              <w:keepNext/>
            </w:pPr>
            <w:r>
              <w:rPr>
                <w:rStyle w:val="MetreCode"/>
              </w:rPr>
              <w:t>⏓–⏓–⏓||⏑⏑</w:t>
            </w:r>
            <w:r>
              <w:t xml:space="preserve"> (late caesura)</w:t>
            </w:r>
          </w:p>
        </w:tc>
        <w:tc>
          <w:tcPr>
            <w:tcW w:w="1518" w:type="pct"/>
          </w:tcPr>
          <w:p w14:paraId="2C2E2D9E" w14:textId="77777777">
            <w:pPr>
              <w:pStyle w:val="Tabletext"/>
              <w:keepNext/>
              <w:rPr>
                <w:noProof/>
              </w:rPr>
            </w:pPr>
            <w:r>
              <w:rPr>
                <w:rStyle w:val="MetreCode"/>
              </w:rPr>
              <w:t>–⏑–⏓</w:t>
            </w:r>
          </w:p>
        </w:tc>
      </w:tr>
      <w:tr w14:paraId="7603C3ED" w14:textId="77777777">
        <w:trPr>
          <w:jc w:val="center"/>
        </w:trPr>
        <w:tc>
          <w:tcPr>
            <w:tcW w:w="1053" w:type="pct"/>
            <w:shd w:val="clear" w:color="auto" w:fill="F0F7D7"/>
            <w:tcMar>
              <w:top w:w="100" w:type="dxa"/>
              <w:left w:w="100" w:type="dxa"/>
              <w:bottom w:w="100" w:type="dxa"/>
              <w:right w:w="100" w:type="dxa"/>
            </w:tcMar>
          </w:tcPr>
          <w:p w14:paraId="3975A8A8" w14:textId="77777777">
            <w:pPr>
              <w:pStyle w:val="Tabletext"/>
              <w:keepNext/>
              <w:rPr>
                <w:rStyle w:val="Foreign"/>
              </w:rPr>
            </w:pPr>
            <w:r>
              <w:rPr>
                <w:rStyle w:val="Foreign"/>
              </w:rPr>
              <w:t>jagatī</w:t>
            </w:r>
          </w:p>
        </w:tc>
        <w:tc>
          <w:tcPr>
            <w:tcW w:w="2428" w:type="pct"/>
            <w:vMerge/>
            <w:tcMar>
              <w:top w:w="100" w:type="dxa"/>
              <w:left w:w="100" w:type="dxa"/>
              <w:bottom w:w="100" w:type="dxa"/>
              <w:right w:w="100" w:type="dxa"/>
            </w:tcMar>
          </w:tcPr>
          <w:p w14:paraId="71D416BD" w14:textId="77777777">
            <w:pPr>
              <w:pStyle w:val="Tabletext"/>
              <w:keepNext/>
              <w:rPr>
                <w:noProof/>
              </w:rPr>
            </w:pPr>
          </w:p>
        </w:tc>
        <w:tc>
          <w:tcPr>
            <w:tcW w:w="1518" w:type="pct"/>
          </w:tcPr>
          <w:p w14:paraId="70793C1B" w14:textId="77777777">
            <w:pPr>
              <w:pStyle w:val="Tabletext"/>
              <w:keepNext/>
              <w:rPr>
                <w:noProof/>
              </w:rPr>
            </w:pPr>
            <w:r>
              <w:rPr>
                <w:rStyle w:val="MetreCode"/>
              </w:rPr>
              <w:t>–⏑–⏑⏓</w:t>
            </w:r>
          </w:p>
        </w:tc>
      </w:tr>
    </w:tbl>
    <w:p w14:paraId="09805F80" w14:textId="77777777">
      <w:pPr>
        <w:rPr>
          <w:rStyle w:val="Codeattribute"/>
          <w:rFonts w:ascii="Gentium Plus" w:hAnsi="Gentium Plus" w:cs="Arial Unicode MS"/>
          <w:noProof w:val="0"/>
          <w:color w:val="auto"/>
          <w:shd w:val="clear" w:color="auto" w:fill="auto"/>
        </w:rPr>
      </w:pPr>
    </w:p>
    <w:p w14:paraId="1CDC637B" w14:textId="77777777">
      <w:pPr>
        <w:pStyle w:val="Cmsor3"/>
        <w:rPr>
          <w:rStyle w:val="Codeattribute"/>
          <w:rFonts w:ascii="Gentium Plus" w:hAnsi="Gentium Plus" w:cs="Arial Unicode MS"/>
          <w:noProof w:val="0"/>
          <w:color w:val="auto"/>
          <w:shd w:val="clear" w:color="auto" w:fill="auto"/>
        </w:rPr>
      </w:pPr>
      <w:r>
        <w:rPr>
          <w:rStyle w:val="Codeattribute"/>
          <w:rFonts w:ascii="Gentium Plus" w:hAnsi="Gentium Plus" w:cs="Arial Unicode MS"/>
          <w:noProof w:val="0"/>
          <w:color w:val="auto"/>
          <w:shd w:val="clear" w:color="auto" w:fill="auto"/>
        </w:rPr>
        <w:lastRenderedPageBreak/>
        <w:t xml:space="preserve">The </w:t>
      </w:r>
      <w:r>
        <w:rPr>
          <w:rStyle w:val="Foreign"/>
        </w:rPr>
        <w:t>daṇḍaka</w:t>
      </w:r>
      <w:r>
        <w:rPr>
          <w:rStyle w:val="Codeattribute"/>
          <w:rFonts w:ascii="Gentium Plus" w:hAnsi="Gentium Plus" w:cs="Arial Unicode MS"/>
          <w:noProof w:val="0"/>
          <w:color w:val="auto"/>
          <w:shd w:val="clear" w:color="auto" w:fill="auto"/>
        </w:rPr>
        <w:t xml:space="preserve"> class</w:t>
      </w:r>
    </w:p>
    <w:p w14:paraId="4DE11F14" w14:textId="77777777">
      <w:r>
        <w:rPr>
          <w:lang w:eastAsia="en-US" w:bidi="ar-SA"/>
        </w:rPr>
        <w:t xml:space="preserve">The </w:t>
      </w:r>
      <w:r>
        <w:rPr>
          <w:rStyle w:val="Foreign"/>
        </w:rPr>
        <w:t>daṇḍaka</w:t>
      </w:r>
      <w:r>
        <w:rPr>
          <w:lang w:eastAsia="en-US" w:bidi="ar-SA"/>
        </w:rPr>
        <w:t xml:space="preserve"> is a rather vaguely defined class of syllabic metres with very long lines. Their common feature is an arbitrary (but usually large) number of iterations of a basic trisyllabic sequence, typically the </w:t>
      </w:r>
      <w:r>
        <w:rPr>
          <w:rStyle w:val="Foreign"/>
        </w:rPr>
        <w:t>ra-gaṇa</w:t>
      </w:r>
      <w:r>
        <w:t xml:space="preserve"> (</w:t>
      </w:r>
      <w:r>
        <w:rPr>
          <w:rStyle w:val="MetreCode"/>
        </w:rPr>
        <w:t>–⏑–</w:t>
      </w:r>
      <w:r>
        <w:t xml:space="preserve">), </w:t>
      </w:r>
      <w:r>
        <w:rPr>
          <w:rStyle w:val="Foreign"/>
        </w:rPr>
        <w:t>ya-gaṇa</w:t>
      </w:r>
      <w:r>
        <w:t xml:space="preserve"> (</w:t>
      </w:r>
      <w:r>
        <w:rPr>
          <w:rStyle w:val="MetreCode"/>
        </w:rPr>
        <w:t>⏑––</w:t>
      </w:r>
      <w:r>
        <w:t xml:space="preserve">) or the </w:t>
      </w:r>
      <w:r>
        <w:rPr>
          <w:rStyle w:val="Foreign"/>
        </w:rPr>
        <w:t>sa-gaṇa</w:t>
      </w:r>
      <w:r>
        <w:t xml:space="preserve"> (</w:t>
      </w:r>
      <w:r>
        <w:rPr>
          <w:rStyle w:val="MetreCode"/>
        </w:rPr>
        <w:t>⏑⏑–</w:t>
      </w:r>
      <w:r>
        <w:t xml:space="preserve">). This iterative part is most often preceded by a fixed sequence of six short syllables, but metres classified as </w:t>
      </w:r>
      <w:r>
        <w:rPr>
          <w:rStyle w:val="Foreign"/>
        </w:rPr>
        <w:t>daṇḍaka</w:t>
      </w:r>
      <w:r>
        <w:t xml:space="preserve"> may also lack a fixed sequence, contain a different fixed sequence, or have a fixed sequence at the end rather than at the beginning.</w:t>
      </w:r>
    </w:p>
    <w:p w14:paraId="50722159" w14:textId="77777777">
      <w:pPr>
        <w:pStyle w:val="Cmsor2"/>
      </w:pPr>
      <w:r>
        <w:t>Moraic metres</w:t>
      </w:r>
    </w:p>
    <w:p w14:paraId="4576406D" w14:textId="63C8CF5D">
      <w:r>
        <w:rPr>
          <w:lang w:eastAsia="en-US" w:bidi="ar-SA"/>
        </w:rPr>
        <w:t xml:space="preserve">The metres in this section, called </w:t>
      </w:r>
      <w:r>
        <w:rPr>
          <w:rStyle w:val="Foreign"/>
        </w:rPr>
        <w:t>āryā</w:t>
      </w:r>
      <w:r>
        <w:t xml:space="preserve"> or </w:t>
      </w:r>
      <w:r>
        <w:rPr>
          <w:rStyle w:val="Foreign"/>
        </w:rPr>
        <w:t>gāthā</w:t>
      </w:r>
      <w:r>
        <w:t xml:space="preserve"> in the </w:t>
      </w:r>
      <w:r>
        <w:rPr>
          <w:lang w:eastAsia="en-US" w:bidi="ar-SA"/>
        </w:rPr>
        <w:t>Sanskritic tradition, are based on moraic feet (</w:t>
      </w:r>
      <w:proofErr w:type="spellStart"/>
      <w:r>
        <w:rPr>
          <w:rStyle w:val="Foreign"/>
        </w:rPr>
        <w:t>gaṇa</w:t>
      </w:r>
      <w:proofErr w:type="spellEnd"/>
      <w:r>
        <w:t xml:space="preserve">), and are therefore also referred to as </w:t>
      </w:r>
      <w:r>
        <w:rPr>
          <w:rStyle w:val="Foreign"/>
        </w:rPr>
        <w:t>gaṇacchandas</w:t>
      </w:r>
      <w:r>
        <w:t xml:space="preserve">. They consist of two hemistichs, each comprised of eight feet and divided by a caesura after the third foot. Indian theorists usually regard the resulting four cola as four quarters of a quatrain, but in our encoding and discussion we treat each hemistich of such a stanza as a line. Foot boundaries must coincide with syllable boundaries (i.e. a long syllable must never be shared between the end of one foot and the beginning of the next foot), but not necessarily with word boundaries. The varieties of </w:t>
      </w:r>
      <w:r>
        <w:rPr>
          <w:rStyle w:val="Foreign"/>
        </w:rPr>
        <w:t>gaṇacchandas</w:t>
      </w:r>
      <w:r>
        <w:t xml:space="preserve"> metres are summarised below, with their line structure illustrated in </w:t>
      </w:r>
      <w:r>
        <w:fldChar w:fldCharType="begin"/>
      </w:r>
      <w:r>
        <w:instrText xml:space="preserve"> REF _Ref48034862 \h </w:instrText>
      </w:r>
      <w:r>
        <w:fldChar w:fldCharType="separate"/>
      </w:r>
      <w:r>
        <w:t xml:space="preserve">Table </w:t>
      </w:r>
      <w:r>
        <w:rPr>
          <w:noProof/>
        </w:rPr>
        <w:t>5</w:t>
      </w:r>
      <w:r>
        <w:fldChar w:fldCharType="end"/>
      </w:r>
      <w:r>
        <w:t xml:space="preserve"> (where white cells contain invariant pattern components, yellow shading indicates the distinctive segment of each pattern, and peach shading indicates additional constraints imposed on certain variants), and their stanza structure illustrated in </w:t>
      </w:r>
      <w:r>
        <w:fldChar w:fldCharType="begin"/>
      </w:r>
      <w:r>
        <w:instrText xml:space="preserve"> REF _Ref48034870 \h </w:instrText>
      </w:r>
      <w:r>
        <w:fldChar w:fldCharType="separate"/>
      </w:r>
      <w:r>
        <w:t xml:space="preserve">Table </w:t>
      </w:r>
      <w:r>
        <w:rPr>
          <w:noProof/>
        </w:rPr>
        <w:t>6</w:t>
      </w:r>
      <w:r>
        <w:fldChar w:fldCharType="end"/>
      </w:r>
      <w:r>
        <w:t xml:space="preserve"> and </w:t>
      </w:r>
      <w:r>
        <w:fldChar w:fldCharType="begin"/>
      </w:r>
      <w:r>
        <w:instrText xml:space="preserve"> REF _Ref240536641 \h </w:instrText>
      </w:r>
      <w:r>
        <w:fldChar w:fldCharType="separate"/>
      </w:r>
      <w:r>
        <w:t xml:space="preserve">Table </w:t>
      </w:r>
      <w:r>
        <w:rPr>
          <w:noProof/>
        </w:rPr>
        <w:t>7</w:t>
      </w:r>
      <w:r>
        <w:fldChar w:fldCharType="end"/>
      </w:r>
      <w:r>
        <w:t xml:space="preserve">. For an in-depth study see Jacobi </w:t>
      </w:r>
      <w:r>
        <w:rPr>
          <w:rFonts w:cs="Gentium"/>
        </w:rPr>
        <w:t>(Jacobi 1886)</w:t>
      </w:r>
      <w:r>
        <w:t xml:space="preserve"> and </w:t>
      </w:r>
      <w:proofErr w:type="spellStart"/>
      <w:r>
        <w:t>Ollett</w:t>
      </w:r>
      <w:proofErr w:type="spellEnd"/>
      <w:r>
        <w:t xml:space="preserve"> </w:t>
      </w:r>
      <w:r>
        <w:rPr>
          <w:rFonts w:cs="Gentium"/>
        </w:rPr>
        <w:t>(2013)</w:t>
      </w:r>
      <w:r>
        <w:t>.</w:t>
      </w:r>
    </w:p>
    <w:p w14:paraId="6492816B" w14:textId="77777777">
      <w:pPr>
        <w:pStyle w:val="Cmsor3"/>
      </w:pPr>
      <w:bookmarkStart w:id="37" w:name="_Ref240535526"/>
      <w:r>
        <w:t>The structure of moraic lines</w:t>
      </w:r>
      <w:bookmarkEnd w:id="37"/>
    </w:p>
    <w:p w14:paraId="637BCE52" w14:textId="77777777">
      <w:r>
        <w:t xml:space="preserve">Lines (hemistichs) of the </w:t>
      </w:r>
      <w:r>
        <w:rPr>
          <w:rStyle w:val="Foreign"/>
        </w:rPr>
        <w:t>āryā</w:t>
      </w:r>
      <w:r>
        <w:t xml:space="preserve"> class consist of eight feet, the first seven of which are tetramoraic (consist of four morae), while the last is bimoraic (consists of two morae), comprised of a single syllable that is always regarded as long.</w:t>
      </w:r>
    </w:p>
    <w:p w14:paraId="1FA70193" w14:textId="77777777">
      <w:pPr>
        <w:pStyle w:val="Lista"/>
      </w:pPr>
      <w:r>
        <w:t xml:space="preserve">the foot structure permits the following variations, illustrated in </w:t>
      </w:r>
      <w:r>
        <w:fldChar w:fldCharType="begin"/>
      </w:r>
      <w:r>
        <w:instrText xml:space="preserve"> REF _Ref48034862 \h </w:instrText>
      </w:r>
      <w:r>
        <w:fldChar w:fldCharType="separate"/>
      </w:r>
      <w:r>
        <w:t xml:space="preserve">Table </w:t>
      </w:r>
      <w:r>
        <w:rPr>
          <w:noProof/>
        </w:rPr>
        <w:t>5</w:t>
      </w:r>
      <w:r>
        <w:fldChar w:fldCharType="end"/>
      </w:r>
      <w:r>
        <w:t xml:space="preserve"> below</w:t>
      </w:r>
    </w:p>
    <w:p w14:paraId="64F41973" w14:textId="77777777">
      <w:pPr>
        <w:pStyle w:val="Lista2"/>
      </w:pPr>
      <w:r>
        <w:t>7 × 4 + 2 = 30 morae, the basic line template</w:t>
      </w:r>
    </w:p>
    <w:p w14:paraId="038141B3" w14:textId="77777777">
      <w:pPr>
        <w:pStyle w:val="Lista2"/>
      </w:pPr>
      <w:r>
        <w:t>5 × 4 + 1 + 4 + 2 =27 morae, a shortened template where the sixth foot is reduced to a single mora (one short syllable)</w:t>
      </w:r>
    </w:p>
    <w:p w14:paraId="10C2193E" w14:textId="77777777">
      <w:pPr>
        <w:pStyle w:val="Lista2"/>
      </w:pPr>
      <w:r>
        <w:t>8 × 4 = 32 morae, a lengthened template where the eighth foot is expanded to four morae</w:t>
      </w:r>
    </w:p>
    <w:p w14:paraId="014F0F42" w14:textId="3BB35915">
      <w:pPr>
        <w:pStyle w:val="Lista2"/>
      </w:pPr>
      <w:r>
        <w:t xml:space="preserve">some theorists mention a combination of the two variants, i.e. a line of 5 × 4 + 1 + 4 + 4 =29 morae, but such a line is not known to exist in extant literature </w:t>
      </w:r>
      <w:r>
        <w:rPr>
          <w:rFonts w:cs="Gentium"/>
        </w:rPr>
        <w:t>(Warder 1967, 143)</w:t>
      </w:r>
    </w:p>
    <w:p w14:paraId="5108FF23" w14:textId="77777777">
      <w:pPr>
        <w:pStyle w:val="Lista"/>
      </w:pPr>
      <w:r>
        <w:t xml:space="preserve">beyond the mora count, the following constraints apply to the prosodic composition of the individual feet, also illustrated in </w:t>
      </w:r>
      <w:r>
        <w:fldChar w:fldCharType="begin"/>
      </w:r>
      <w:r>
        <w:instrText xml:space="preserve"> REF _Ref48034862 \h </w:instrText>
      </w:r>
      <w:r>
        <w:fldChar w:fldCharType="separate"/>
      </w:r>
      <w:r>
        <w:t xml:space="preserve">Table </w:t>
      </w:r>
      <w:r>
        <w:rPr>
          <w:noProof/>
        </w:rPr>
        <w:t>5</w:t>
      </w:r>
      <w:r>
        <w:fldChar w:fldCharType="end"/>
      </w:r>
      <w:r>
        <w:t xml:space="preserve"> below</w:t>
      </w:r>
    </w:p>
    <w:p w14:paraId="6130C957" w14:textId="77777777">
      <w:pPr>
        <w:pStyle w:val="Lista2"/>
      </w:pPr>
      <w:r>
        <w:t xml:space="preserve">in the odd-numbered feet (1, 3, 5 and 7) the pattern </w:t>
      </w:r>
      <w:r>
        <w:rPr>
          <w:rStyle w:val="MetreCode"/>
        </w:rPr>
        <w:t>⏑–⏑</w:t>
      </w:r>
      <w:r>
        <w:t xml:space="preserve"> is forbidden</w:t>
      </w:r>
    </w:p>
    <w:p w14:paraId="27A8FBED" w14:textId="77777777">
      <w:pPr>
        <w:pStyle w:val="Lista3"/>
      </w:pPr>
      <w:r>
        <w:t xml:space="preserve">if the pattern is </w:t>
      </w:r>
      <w:r>
        <w:rPr>
          <w:rStyle w:val="MetreCode"/>
        </w:rPr>
        <w:t>⏑⏑⏑⏑</w:t>
      </w:r>
      <w:r>
        <w:t xml:space="preserve"> in the fifth foot of a 27-mora line or the seventh foot of any line, then this foot must be preceded by a secondary caesura (i.e. begin at a word beginning)</w:t>
      </w:r>
    </w:p>
    <w:p w14:paraId="18D58D77" w14:textId="77777777">
      <w:pPr>
        <w:pStyle w:val="Lista2"/>
      </w:pPr>
      <w:r>
        <w:t>in the even-numbered tetramoraic feet (2, 4 and 6 unless it is reduced) any mora structure is permitted</w:t>
      </w:r>
    </w:p>
    <w:p w14:paraId="53A0C3F4" w14:textId="77777777">
      <w:pPr>
        <w:pStyle w:val="Lista3"/>
      </w:pPr>
      <w:r>
        <w:t xml:space="preserve">the pattern </w:t>
      </w:r>
      <w:r>
        <w:rPr>
          <w:rStyle w:val="MetreCode"/>
        </w:rPr>
        <w:t>⏑–⏑</w:t>
      </w:r>
      <w:r>
        <w:t xml:space="preserve"> is often preferred, but not required</w:t>
      </w:r>
    </w:p>
    <w:p w14:paraId="598A4A8B" w14:textId="77777777">
      <w:pPr>
        <w:pStyle w:val="Lista3"/>
      </w:pPr>
      <w:r>
        <w:t>in foot 6, only the following patterns are permitted</w:t>
      </w:r>
    </w:p>
    <w:p w14:paraId="295AADB5" w14:textId="77777777">
      <w:pPr>
        <w:pStyle w:val="Lista4"/>
      </w:pPr>
      <w:r>
        <w:t xml:space="preserve">either </w:t>
      </w:r>
      <w:r>
        <w:rPr>
          <w:rStyle w:val="MetreCode"/>
        </w:rPr>
        <w:t>⏑–⏑</w:t>
      </w:r>
      <w:r>
        <w:t xml:space="preserve"> </w:t>
      </w:r>
    </w:p>
    <w:p w14:paraId="16C6D239" w14:textId="77777777">
      <w:pPr>
        <w:pStyle w:val="Lista4"/>
      </w:pPr>
      <w:r>
        <w:t xml:space="preserve">or </w:t>
      </w:r>
      <w:r>
        <w:rPr>
          <w:rStyle w:val="MetreCode"/>
        </w:rPr>
        <w:t>⏑||⏑⏑⏑</w:t>
      </w:r>
      <w:r>
        <w:t>, with a secondary caesura after the first syllable</w:t>
      </w:r>
    </w:p>
    <w:p w14:paraId="647B8389" w14:textId="77777777">
      <w:pPr>
        <w:pStyle w:val="Lista"/>
      </w:pPr>
      <w:r>
        <w:t xml:space="preserve">a line (of any foot structure) that conforms to the above constraints is called a </w:t>
      </w:r>
      <w:r>
        <w:rPr>
          <w:rStyle w:val="Foreign"/>
        </w:rPr>
        <w:t>pathyā</w:t>
      </w:r>
      <w:r>
        <w:t xml:space="preserve"> line, but the following alternatives are also available</w:t>
      </w:r>
    </w:p>
    <w:p w14:paraId="71720CC3" w14:textId="77777777">
      <w:pPr>
        <w:pStyle w:val="Lista2"/>
      </w:pPr>
      <w:r>
        <w:t xml:space="preserve">a lifting or shifting of the mandatory caesura after the third foot is called </w:t>
      </w:r>
      <w:r>
        <w:rPr>
          <w:rStyle w:val="Foreign"/>
        </w:rPr>
        <w:t>vipulā</w:t>
      </w:r>
      <w:r>
        <w:t>, in which case the fourth foot must have one of the following patterns</w:t>
      </w:r>
    </w:p>
    <w:p w14:paraId="3F60878E" w14:textId="77777777">
      <w:pPr>
        <w:pStyle w:val="Lista3"/>
      </w:pPr>
      <w:r>
        <w:t xml:space="preserve">either </w:t>
      </w:r>
      <w:r>
        <w:rPr>
          <w:rStyle w:val="MetreCode"/>
        </w:rPr>
        <w:t>⏑–⏑</w:t>
      </w:r>
    </w:p>
    <w:p w14:paraId="753D3005" w14:textId="77777777">
      <w:pPr>
        <w:pStyle w:val="Lista3"/>
      </w:pPr>
      <w:r>
        <w:t xml:space="preserve">or </w:t>
      </w:r>
      <w:r>
        <w:rPr>
          <w:rStyle w:val="MetreCode"/>
        </w:rPr>
        <w:t>⏑||⏑⏑⏑</w:t>
      </w:r>
      <w:r>
        <w:t>, with the caesura shifted to the point after this foot’s first syllable</w:t>
      </w:r>
    </w:p>
    <w:p w14:paraId="47681D10" w14:textId="77777777">
      <w:pPr>
        <w:pStyle w:val="Lista2"/>
      </w:pPr>
      <w:r>
        <w:t xml:space="preserve">a stricter constraint imposed on the first five feet (requiring the pattern </w:t>
      </w:r>
      <w:r>
        <w:rPr>
          <w:rStyle w:val="MetreCode"/>
        </w:rPr>
        <w:t>⏕–⏑–⏑––||⏑–⏑–⏕</w:t>
      </w:r>
      <w:r>
        <w:t xml:space="preserve">) is called a </w:t>
      </w:r>
      <w:r>
        <w:rPr>
          <w:rStyle w:val="Foreign"/>
        </w:rPr>
        <w:t>capalā</w:t>
      </w:r>
    </w:p>
    <w:p w14:paraId="002FC25D" w14:textId="77777777">
      <w:pPr>
        <w:pStyle w:val="Lista2"/>
      </w:pPr>
      <w:r>
        <w:lastRenderedPageBreak/>
        <w:t xml:space="preserve">stanzas involving one or two </w:t>
      </w:r>
      <w:r>
        <w:rPr>
          <w:rStyle w:val="Foreign"/>
        </w:rPr>
        <w:t>capalā</w:t>
      </w:r>
      <w:r>
        <w:t xml:space="preserve"> lines have the following designations</w:t>
      </w:r>
    </w:p>
    <w:p w14:paraId="43400B34" w14:textId="77777777">
      <w:pPr>
        <w:pStyle w:val="Lista3"/>
      </w:pPr>
      <w:r>
        <w:rPr>
          <w:rStyle w:val="Foreign"/>
        </w:rPr>
        <w:t>mukhacapalā</w:t>
      </w:r>
      <w:r>
        <w:t xml:space="preserve"> if the constraint is applied to the first hemistich</w:t>
      </w:r>
    </w:p>
    <w:p w14:paraId="0AFAA42F" w14:textId="77777777">
      <w:pPr>
        <w:pStyle w:val="Lista3"/>
      </w:pPr>
      <w:r>
        <w:rPr>
          <w:rStyle w:val="Foreign"/>
        </w:rPr>
        <w:t>jaghanacapalā</w:t>
      </w:r>
      <w:r>
        <w:t xml:space="preserve"> if the constraint is applied to the second hemistich</w:t>
      </w:r>
    </w:p>
    <w:p w14:paraId="4C795C37" w14:textId="77777777">
      <w:pPr>
        <w:pStyle w:val="Lista3"/>
      </w:pPr>
      <w:r>
        <w:rPr>
          <w:rStyle w:val="Foreign"/>
        </w:rPr>
        <w:t>mahācapalā</w:t>
      </w:r>
      <w:r>
        <w:t xml:space="preserve"> or </w:t>
      </w:r>
      <w:r>
        <w:rPr>
          <w:rStyle w:val="Foreign"/>
        </w:rPr>
        <w:t>ubhayacapalā</w:t>
      </w:r>
      <w:r>
        <w:t xml:space="preserve"> if the constraint is applied to both hemistichs</w:t>
      </w:r>
    </w:p>
    <w:p w14:paraId="66D38C36" w14:textId="77777777">
      <w:pPr>
        <w:pStyle w:val="Lista2"/>
      </w:pPr>
      <w:r>
        <w:t xml:space="preserve">neither </w:t>
      </w:r>
      <w:r>
        <w:rPr>
          <w:rStyle w:val="Foreign"/>
        </w:rPr>
        <w:t>vipulā</w:t>
      </w:r>
      <w:r>
        <w:t xml:space="preserve"> nor </w:t>
      </w:r>
      <w:r>
        <w:rPr>
          <w:rStyle w:val="Foreign"/>
        </w:rPr>
        <w:t>capalā</w:t>
      </w:r>
      <w:r>
        <w:t xml:space="preserve"> forms are encoded explicitly in DHARMA practice, but encoders wishing to promote the study of prosody may encode the former as an unobserved caesura and the latter as an actual prosodic realisation</w:t>
      </w:r>
    </w:p>
    <w:p w14:paraId="5CB6D27A" w14:textId="77777777">
      <w:pPr>
        <w:pStyle w:val="Kpalrs"/>
        <w:keepNext/>
      </w:pPr>
      <w:bookmarkStart w:id="38" w:name="_Ref48034862"/>
      <w:r>
        <w:t xml:space="preserve">Table </w:t>
      </w:r>
      <w:fldSimple w:instr=" SEQ Table \* ARABIC ">
        <w:r>
          <w:rPr>
            <w:noProof/>
          </w:rPr>
          <w:t>5</w:t>
        </w:r>
      </w:fldSimple>
      <w:bookmarkEnd w:id="38"/>
      <w:r>
        <w:t>. Prosodic templates of lines in moraic metres</w:t>
      </w:r>
    </w:p>
    <w:tbl>
      <w:tblPr>
        <w:tblStyle w:val="15"/>
        <w:tblW w:w="5000" w:type="pct"/>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067"/>
        <w:gridCol w:w="1069"/>
        <w:gridCol w:w="1069"/>
        <w:gridCol w:w="1067"/>
        <w:gridCol w:w="1070"/>
        <w:gridCol w:w="1070"/>
        <w:gridCol w:w="1068"/>
        <w:gridCol w:w="1070"/>
        <w:gridCol w:w="1068"/>
      </w:tblGrid>
      <w:tr w14:paraId="522FA17A" w14:textId="77777777">
        <w:tc>
          <w:tcPr>
            <w:tcW w:w="555" w:type="pct"/>
            <w:tcBorders>
              <w:top w:val="single" w:sz="8" w:space="0" w:color="000000"/>
              <w:left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6CB56A82" w14:textId="77777777">
            <w:pPr>
              <w:pStyle w:val="Tabletext"/>
              <w:keepNext/>
              <w:rPr>
                <w:noProof/>
              </w:rPr>
            </w:pPr>
            <w:r>
              <w:rPr>
                <w:noProof/>
              </w:rPr>
              <w:t xml:space="preserve"> </w:t>
            </w:r>
          </w:p>
        </w:tc>
        <w:tc>
          <w:tcPr>
            <w:tcW w:w="556" w:type="pct"/>
            <w:tcBorders>
              <w:top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06C3F56A" w14:textId="77777777">
            <w:pPr>
              <w:pStyle w:val="Tabletext"/>
              <w:keepNext/>
            </w:pPr>
            <w:r>
              <w:t>1</w:t>
            </w:r>
          </w:p>
        </w:tc>
        <w:tc>
          <w:tcPr>
            <w:tcW w:w="556" w:type="pct"/>
            <w:tcBorders>
              <w:top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26AAA479" w14:textId="77777777">
            <w:pPr>
              <w:pStyle w:val="Tabletext"/>
              <w:keepNext/>
            </w:pPr>
            <w:r>
              <w:t>2</w:t>
            </w:r>
          </w:p>
        </w:tc>
        <w:tc>
          <w:tcPr>
            <w:tcW w:w="555" w:type="pct"/>
            <w:tcBorders>
              <w:top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7B747BF0" w14:textId="77777777">
            <w:pPr>
              <w:pStyle w:val="Tabletext"/>
              <w:keepNext/>
            </w:pPr>
            <w:r>
              <w:t>3</w:t>
            </w:r>
          </w:p>
        </w:tc>
        <w:tc>
          <w:tcPr>
            <w:tcW w:w="556" w:type="pct"/>
            <w:tcBorders>
              <w:top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3EC3990E" w14:textId="77777777">
            <w:pPr>
              <w:pStyle w:val="Tabletext"/>
              <w:keepNext/>
            </w:pPr>
            <w:r>
              <w:t>4</w:t>
            </w:r>
          </w:p>
        </w:tc>
        <w:tc>
          <w:tcPr>
            <w:tcW w:w="556" w:type="pct"/>
            <w:tcBorders>
              <w:top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70D37318" w14:textId="77777777">
            <w:pPr>
              <w:pStyle w:val="Tabletext"/>
              <w:keepNext/>
            </w:pPr>
            <w:r>
              <w:t>5</w:t>
            </w:r>
          </w:p>
        </w:tc>
        <w:tc>
          <w:tcPr>
            <w:tcW w:w="555" w:type="pct"/>
            <w:tcBorders>
              <w:top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7AF344B8" w14:textId="77777777">
            <w:pPr>
              <w:pStyle w:val="Tabletext"/>
              <w:keepNext/>
            </w:pPr>
            <w:r>
              <w:t>6</w:t>
            </w:r>
          </w:p>
        </w:tc>
        <w:tc>
          <w:tcPr>
            <w:tcW w:w="556" w:type="pct"/>
            <w:tcBorders>
              <w:top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61A0415A" w14:textId="77777777">
            <w:pPr>
              <w:pStyle w:val="Tabletext"/>
              <w:keepNext/>
            </w:pPr>
            <w:r>
              <w:t>7</w:t>
            </w:r>
          </w:p>
        </w:tc>
        <w:tc>
          <w:tcPr>
            <w:tcW w:w="555" w:type="pct"/>
            <w:tcBorders>
              <w:top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5BF7F2EF" w14:textId="77777777">
            <w:pPr>
              <w:pStyle w:val="Tabletext"/>
              <w:keepNext/>
            </w:pPr>
            <w:r>
              <w:t>8</w:t>
            </w:r>
          </w:p>
        </w:tc>
      </w:tr>
      <w:tr w14:paraId="63D083A7" w14:textId="77777777">
        <w:tc>
          <w:tcPr>
            <w:tcW w:w="5000" w:type="pct"/>
            <w:gridSpan w:val="9"/>
            <w:tcBorders>
              <w:top w:val="single" w:sz="8" w:space="0" w:color="000000"/>
              <w:left w:val="single" w:sz="8" w:space="0" w:color="000000"/>
              <w:bottom w:val="single" w:sz="8" w:space="0" w:color="000000"/>
              <w:right w:val="single" w:sz="8" w:space="0" w:color="000000"/>
            </w:tcBorders>
            <w:shd w:val="clear" w:color="auto" w:fill="F0F7D7"/>
            <w:tcMar>
              <w:top w:w="100" w:type="dxa"/>
              <w:left w:w="100" w:type="dxa"/>
              <w:bottom w:w="100" w:type="dxa"/>
              <w:right w:w="100" w:type="dxa"/>
            </w:tcMar>
            <w:vAlign w:val="center"/>
          </w:tcPr>
          <w:p w14:paraId="08529952" w14:textId="77777777">
            <w:pPr>
              <w:pStyle w:val="Tabletext"/>
              <w:keepNext/>
              <w:jc w:val="center"/>
            </w:pPr>
            <w:r>
              <w:t>generic templates</w:t>
            </w:r>
          </w:p>
        </w:tc>
      </w:tr>
      <w:tr w14:paraId="5E656CB8" w14:textId="77777777">
        <w:tc>
          <w:tcPr>
            <w:tcW w:w="555" w:type="pct"/>
            <w:tcBorders>
              <w:left w:val="single" w:sz="8" w:space="0" w:color="000000"/>
              <w:bottom w:val="single" w:sz="8" w:space="0" w:color="000000"/>
              <w:right w:val="single" w:sz="8" w:space="0" w:color="000000"/>
            </w:tcBorders>
            <w:shd w:val="clear" w:color="auto" w:fill="F0F7D7"/>
            <w:tcMar>
              <w:top w:w="100" w:type="dxa"/>
              <w:left w:w="100" w:type="dxa"/>
              <w:bottom w:w="100" w:type="dxa"/>
              <w:right w:w="100" w:type="dxa"/>
            </w:tcMar>
            <w:vAlign w:val="center"/>
          </w:tcPr>
          <w:p w14:paraId="51578598" w14:textId="77777777">
            <w:pPr>
              <w:pStyle w:val="Tabletext"/>
              <w:keepNext/>
              <w:jc w:val="right"/>
              <w:rPr>
                <w:noProof/>
              </w:rPr>
            </w:pPr>
            <w:r>
              <w:rPr>
                <w:noProof/>
              </w:rPr>
              <w:t>30 morae</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25ACEF96" w14:textId="77777777">
            <w:pPr>
              <w:pStyle w:val="Tabletext"/>
              <w:keepNext/>
              <w:jc w:val="center"/>
              <w:rPr>
                <w:rStyle w:val="MetreCode"/>
              </w:rPr>
            </w:pPr>
            <w:r>
              <w:rPr>
                <w:rStyle w:val="MetreCode"/>
              </w:rPr>
              <w:t>⏕⏕</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76701F63" w14:textId="77777777">
            <w:pPr>
              <w:pStyle w:val="Tabletext"/>
              <w:keepNext/>
              <w:jc w:val="center"/>
              <w:rPr>
                <w:rStyle w:val="MetreCode"/>
              </w:rPr>
            </w:pPr>
            <w:r>
              <w:rPr>
                <w:rStyle w:val="MetreCode"/>
              </w:rPr>
              <w:t>⏑–⏑</w:t>
            </w:r>
          </w:p>
          <w:p w14:paraId="46710742" w14:textId="77777777">
            <w:pPr>
              <w:pStyle w:val="Tabletext"/>
              <w:keepNext/>
              <w:jc w:val="center"/>
              <w:rPr>
                <w:rStyle w:val="MetreCode"/>
              </w:rPr>
            </w:pPr>
            <w:r>
              <w:rPr>
                <w:rStyle w:val="MetreCode"/>
              </w:rPr>
              <w:t>⏕⏕</w:t>
            </w:r>
          </w:p>
        </w:tc>
        <w:tc>
          <w:tcPr>
            <w:tcW w:w="555" w:type="pct"/>
            <w:tcBorders>
              <w:bottom w:val="single" w:sz="8" w:space="0" w:color="000000"/>
              <w:right w:val="single" w:sz="8" w:space="0" w:color="000000"/>
            </w:tcBorders>
            <w:tcMar>
              <w:top w:w="100" w:type="dxa"/>
              <w:left w:w="100" w:type="dxa"/>
              <w:bottom w:w="100" w:type="dxa"/>
              <w:right w:w="100" w:type="dxa"/>
            </w:tcMar>
            <w:vAlign w:val="center"/>
          </w:tcPr>
          <w:p w14:paraId="79305733" w14:textId="77777777">
            <w:pPr>
              <w:pStyle w:val="Tabletext"/>
              <w:keepNext/>
              <w:jc w:val="center"/>
              <w:rPr>
                <w:rStyle w:val="MetreCode"/>
              </w:rPr>
            </w:pPr>
            <w:r>
              <w:rPr>
                <w:rStyle w:val="MetreCode"/>
              </w:rPr>
              <w:t>⏕⏕</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4E8E32C4" w14:textId="77777777">
            <w:pPr>
              <w:pStyle w:val="Tabletext"/>
              <w:keepNext/>
              <w:jc w:val="center"/>
              <w:rPr>
                <w:rStyle w:val="MetreCode"/>
              </w:rPr>
            </w:pPr>
            <w:r>
              <w:rPr>
                <w:rStyle w:val="MetreCode"/>
              </w:rPr>
              <w:t>||⏑–⏑</w:t>
            </w:r>
          </w:p>
          <w:p w14:paraId="403E7121" w14:textId="77777777">
            <w:pPr>
              <w:pStyle w:val="Tabletext"/>
              <w:keepNext/>
              <w:jc w:val="center"/>
              <w:rPr>
                <w:rStyle w:val="MetreCode"/>
              </w:rPr>
            </w:pPr>
            <w:r>
              <w:rPr>
                <w:rStyle w:val="MetreCode"/>
              </w:rPr>
              <w:t>||⏕⏕</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3686D65B" w14:textId="77777777">
            <w:pPr>
              <w:pStyle w:val="Tabletext"/>
              <w:keepNext/>
              <w:jc w:val="center"/>
              <w:rPr>
                <w:rStyle w:val="MetreCode"/>
              </w:rPr>
            </w:pPr>
            <w:r>
              <w:rPr>
                <w:rStyle w:val="MetreCode"/>
              </w:rPr>
              <w:t>⏕⏕</w:t>
            </w:r>
          </w:p>
        </w:tc>
        <w:tc>
          <w:tcPr>
            <w:tcW w:w="555" w:type="pct"/>
            <w:tcBorders>
              <w:bottom w:val="single" w:sz="8" w:space="0" w:color="000000"/>
              <w:right w:val="single" w:sz="8" w:space="0" w:color="000000"/>
            </w:tcBorders>
            <w:tcMar>
              <w:top w:w="100" w:type="dxa"/>
              <w:left w:w="100" w:type="dxa"/>
              <w:bottom w:w="100" w:type="dxa"/>
              <w:right w:w="100" w:type="dxa"/>
            </w:tcMar>
            <w:vAlign w:val="center"/>
          </w:tcPr>
          <w:p w14:paraId="6DDA32F4" w14:textId="77777777">
            <w:pPr>
              <w:pStyle w:val="Tabletext"/>
              <w:keepNext/>
              <w:jc w:val="center"/>
              <w:rPr>
                <w:rStyle w:val="MetreCode"/>
              </w:rPr>
            </w:pPr>
            <w:r>
              <w:rPr>
                <w:rStyle w:val="MetreCode"/>
              </w:rPr>
              <w:t>⏑–⏑</w:t>
            </w:r>
          </w:p>
          <w:p w14:paraId="66E1A8EF" w14:textId="77777777">
            <w:pPr>
              <w:pStyle w:val="Tabletext"/>
              <w:keepNext/>
              <w:jc w:val="center"/>
              <w:rPr>
                <w:rStyle w:val="MetreCode"/>
              </w:rPr>
            </w:pPr>
            <w:r>
              <w:rPr>
                <w:rStyle w:val="MetreCode"/>
              </w:rPr>
              <w:t>⏑||⏑⏑⏑</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7A1AC10C" w14:textId="77777777">
            <w:pPr>
              <w:pStyle w:val="Tabletext"/>
              <w:keepNext/>
              <w:jc w:val="center"/>
              <w:rPr>
                <w:rStyle w:val="MetreCode"/>
              </w:rPr>
            </w:pPr>
            <w:r>
              <w:rPr>
                <w:rStyle w:val="MetreCode"/>
              </w:rPr>
              <w:t>||⏑⏑⏑⏑</w:t>
            </w:r>
          </w:p>
          <w:p w14:paraId="6F6CDC99" w14:textId="77777777">
            <w:pPr>
              <w:pStyle w:val="Tabletext"/>
              <w:keepNext/>
              <w:jc w:val="center"/>
              <w:rPr>
                <w:rStyle w:val="MetreCode"/>
              </w:rPr>
            </w:pPr>
            <w:r>
              <w:rPr>
                <w:rStyle w:val="MetreCode"/>
              </w:rPr>
              <w:t>⏑⏑–</w:t>
            </w:r>
          </w:p>
          <w:p w14:paraId="3E57C182" w14:textId="77777777">
            <w:pPr>
              <w:pStyle w:val="Tabletext"/>
              <w:keepNext/>
              <w:jc w:val="center"/>
              <w:rPr>
                <w:rStyle w:val="MetreCode"/>
              </w:rPr>
            </w:pPr>
            <w:r>
              <w:rPr>
                <w:rStyle w:val="MetreCode"/>
              </w:rPr>
              <w:t>–⏑⏑</w:t>
            </w:r>
          </w:p>
          <w:p w14:paraId="47A76FAB" w14:textId="77777777">
            <w:pPr>
              <w:pStyle w:val="Tabletext"/>
              <w:keepNext/>
              <w:jc w:val="center"/>
              <w:rPr>
                <w:rStyle w:val="MetreCode"/>
              </w:rPr>
            </w:pPr>
            <w:r>
              <w:rPr>
                <w:rStyle w:val="MetreCode"/>
              </w:rPr>
              <w:t>––</w:t>
            </w:r>
          </w:p>
        </w:tc>
        <w:tc>
          <w:tcPr>
            <w:tcW w:w="555" w:type="pct"/>
            <w:tcBorders>
              <w:bottom w:val="single" w:sz="8" w:space="0" w:color="000000"/>
              <w:right w:val="single" w:sz="8" w:space="0" w:color="000000"/>
            </w:tcBorders>
            <w:tcMar>
              <w:top w:w="100" w:type="dxa"/>
              <w:left w:w="100" w:type="dxa"/>
              <w:bottom w:w="100" w:type="dxa"/>
              <w:right w:w="100" w:type="dxa"/>
            </w:tcMar>
            <w:vAlign w:val="center"/>
          </w:tcPr>
          <w:p w14:paraId="7D73CBFC" w14:textId="77777777">
            <w:pPr>
              <w:pStyle w:val="Tabletext"/>
              <w:keepNext/>
              <w:jc w:val="center"/>
              <w:rPr>
                <w:rStyle w:val="MetreCode"/>
              </w:rPr>
            </w:pPr>
            <w:r>
              <w:rPr>
                <w:rStyle w:val="MetreCode"/>
              </w:rPr>
              <w:t>⏓</w:t>
            </w:r>
          </w:p>
        </w:tc>
      </w:tr>
      <w:tr w14:paraId="22DCCBBB" w14:textId="77777777">
        <w:tc>
          <w:tcPr>
            <w:tcW w:w="555" w:type="pct"/>
            <w:tcBorders>
              <w:left w:val="single" w:sz="8" w:space="0" w:color="000000"/>
              <w:bottom w:val="single" w:sz="8" w:space="0" w:color="000000"/>
              <w:right w:val="single" w:sz="8" w:space="0" w:color="000000"/>
            </w:tcBorders>
            <w:shd w:val="clear" w:color="auto" w:fill="F0F7D7"/>
            <w:tcMar>
              <w:top w:w="100" w:type="dxa"/>
              <w:left w:w="100" w:type="dxa"/>
              <w:bottom w:w="100" w:type="dxa"/>
              <w:right w:w="100" w:type="dxa"/>
            </w:tcMar>
            <w:vAlign w:val="center"/>
          </w:tcPr>
          <w:p w14:paraId="7408B784" w14:textId="77777777">
            <w:pPr>
              <w:pStyle w:val="Tabletext"/>
              <w:keepNext/>
              <w:jc w:val="right"/>
              <w:rPr>
                <w:noProof/>
              </w:rPr>
            </w:pPr>
            <w:r>
              <w:rPr>
                <w:noProof/>
              </w:rPr>
              <w:t>27 morae</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0D7539A5" w14:textId="77777777">
            <w:pPr>
              <w:pStyle w:val="Tabletext"/>
              <w:keepNext/>
              <w:jc w:val="center"/>
              <w:rPr>
                <w:rStyle w:val="MetreCode"/>
              </w:rPr>
            </w:pPr>
            <w:r>
              <w:rPr>
                <w:rStyle w:val="MetreCode"/>
              </w:rPr>
              <w:t>⏕⏕</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653117A0" w14:textId="77777777">
            <w:pPr>
              <w:pStyle w:val="Tabletext"/>
              <w:keepNext/>
              <w:jc w:val="center"/>
              <w:rPr>
                <w:rStyle w:val="MetreCode"/>
              </w:rPr>
            </w:pPr>
            <w:r>
              <w:rPr>
                <w:rStyle w:val="MetreCode"/>
              </w:rPr>
              <w:t>⏑–⏑</w:t>
            </w:r>
          </w:p>
          <w:p w14:paraId="2764472B" w14:textId="77777777">
            <w:pPr>
              <w:pStyle w:val="Tabletext"/>
              <w:keepNext/>
              <w:jc w:val="center"/>
              <w:rPr>
                <w:rStyle w:val="MetreCode"/>
              </w:rPr>
            </w:pPr>
            <w:r>
              <w:rPr>
                <w:rStyle w:val="MetreCode"/>
              </w:rPr>
              <w:t>⏕⏕</w:t>
            </w:r>
          </w:p>
        </w:tc>
        <w:tc>
          <w:tcPr>
            <w:tcW w:w="555" w:type="pct"/>
            <w:tcBorders>
              <w:bottom w:val="single" w:sz="8" w:space="0" w:color="000000"/>
              <w:right w:val="single" w:sz="8" w:space="0" w:color="000000"/>
            </w:tcBorders>
            <w:tcMar>
              <w:top w:w="100" w:type="dxa"/>
              <w:left w:w="100" w:type="dxa"/>
              <w:bottom w:w="100" w:type="dxa"/>
              <w:right w:w="100" w:type="dxa"/>
            </w:tcMar>
            <w:vAlign w:val="center"/>
          </w:tcPr>
          <w:p w14:paraId="4D0B01A1" w14:textId="77777777">
            <w:pPr>
              <w:pStyle w:val="Tabletext"/>
              <w:keepNext/>
              <w:jc w:val="center"/>
              <w:rPr>
                <w:rStyle w:val="MetreCode"/>
              </w:rPr>
            </w:pPr>
            <w:r>
              <w:rPr>
                <w:rStyle w:val="MetreCode"/>
              </w:rPr>
              <w:t>⏕⏕</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3A4A627E" w14:textId="77777777">
            <w:pPr>
              <w:pStyle w:val="Tabletext"/>
              <w:keepNext/>
              <w:jc w:val="center"/>
              <w:rPr>
                <w:rStyle w:val="MetreCode"/>
              </w:rPr>
            </w:pPr>
            <w:r>
              <w:rPr>
                <w:rStyle w:val="MetreCode"/>
              </w:rPr>
              <w:t>||⏑–⏑</w:t>
            </w:r>
          </w:p>
          <w:p w14:paraId="52B14FEB" w14:textId="77777777">
            <w:pPr>
              <w:pStyle w:val="Tabletext"/>
              <w:keepNext/>
              <w:jc w:val="center"/>
              <w:rPr>
                <w:rStyle w:val="MetreCode"/>
              </w:rPr>
            </w:pPr>
            <w:r>
              <w:rPr>
                <w:rStyle w:val="MetreCode"/>
              </w:rPr>
              <w:t>||⏕⏕</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7753C388" w14:textId="77777777">
            <w:pPr>
              <w:pStyle w:val="Tabletext"/>
              <w:keepNext/>
              <w:jc w:val="center"/>
              <w:rPr>
                <w:rStyle w:val="MetreCode"/>
              </w:rPr>
            </w:pPr>
            <w:r>
              <w:rPr>
                <w:rStyle w:val="MetreCode"/>
              </w:rPr>
              <w:t>||⏑⏑⏑⏑</w:t>
            </w:r>
          </w:p>
          <w:p w14:paraId="63813E73" w14:textId="77777777">
            <w:pPr>
              <w:pStyle w:val="Tabletext"/>
              <w:keepNext/>
              <w:jc w:val="center"/>
              <w:rPr>
                <w:rStyle w:val="MetreCode"/>
              </w:rPr>
            </w:pPr>
            <w:r>
              <w:rPr>
                <w:rStyle w:val="MetreCode"/>
              </w:rPr>
              <w:t>⏑⏑–</w:t>
            </w:r>
          </w:p>
          <w:p w14:paraId="7045C054" w14:textId="77777777">
            <w:pPr>
              <w:pStyle w:val="Tabletext"/>
              <w:keepNext/>
              <w:jc w:val="center"/>
              <w:rPr>
                <w:rStyle w:val="MetreCode"/>
              </w:rPr>
            </w:pPr>
            <w:r>
              <w:rPr>
                <w:rStyle w:val="MetreCode"/>
              </w:rPr>
              <w:t>–⏑⏑</w:t>
            </w:r>
          </w:p>
          <w:p w14:paraId="3EF04EB3" w14:textId="77777777">
            <w:pPr>
              <w:pStyle w:val="Tabletext"/>
              <w:keepNext/>
              <w:jc w:val="center"/>
              <w:rPr>
                <w:rStyle w:val="MetreCode"/>
              </w:rPr>
            </w:pPr>
            <w:r>
              <w:rPr>
                <w:rStyle w:val="MetreCode"/>
              </w:rPr>
              <w:t>––</w:t>
            </w:r>
          </w:p>
        </w:tc>
        <w:tc>
          <w:tcPr>
            <w:tcW w:w="555" w:type="pct"/>
            <w:tcBorders>
              <w:bottom w:val="single" w:sz="8" w:space="0" w:color="000000"/>
              <w:right w:val="single" w:sz="8" w:space="0" w:color="000000"/>
            </w:tcBorders>
            <w:shd w:val="clear" w:color="auto" w:fill="FFFF00"/>
            <w:tcMar>
              <w:top w:w="100" w:type="dxa"/>
              <w:left w:w="100" w:type="dxa"/>
              <w:bottom w:w="100" w:type="dxa"/>
              <w:right w:w="100" w:type="dxa"/>
            </w:tcMar>
            <w:vAlign w:val="center"/>
          </w:tcPr>
          <w:p w14:paraId="2408105B" w14:textId="77777777">
            <w:pPr>
              <w:pStyle w:val="Tabletext"/>
              <w:keepNext/>
              <w:jc w:val="center"/>
              <w:rPr>
                <w:rStyle w:val="MetreCode"/>
              </w:rPr>
            </w:pPr>
            <w:r>
              <w:rPr>
                <w:rStyle w:val="MetreCode"/>
              </w:rPr>
              <w:t>⏑</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6468390A" w14:textId="77777777">
            <w:pPr>
              <w:pStyle w:val="Tabletext"/>
              <w:keepNext/>
              <w:jc w:val="center"/>
              <w:rPr>
                <w:rStyle w:val="MetreCode"/>
              </w:rPr>
            </w:pPr>
            <w:r>
              <w:rPr>
                <w:rStyle w:val="MetreCode"/>
              </w:rPr>
              <w:t>||⏑⏑⏑⏑</w:t>
            </w:r>
          </w:p>
          <w:p w14:paraId="0D612780" w14:textId="77777777">
            <w:pPr>
              <w:pStyle w:val="Tabletext"/>
              <w:keepNext/>
              <w:jc w:val="center"/>
              <w:rPr>
                <w:rStyle w:val="MetreCode"/>
              </w:rPr>
            </w:pPr>
            <w:r>
              <w:rPr>
                <w:rStyle w:val="MetreCode"/>
              </w:rPr>
              <w:t>⏑⏑–</w:t>
            </w:r>
          </w:p>
          <w:p w14:paraId="63351E6F" w14:textId="77777777">
            <w:pPr>
              <w:pStyle w:val="Tabletext"/>
              <w:keepNext/>
              <w:jc w:val="center"/>
              <w:rPr>
                <w:rStyle w:val="MetreCode"/>
              </w:rPr>
            </w:pPr>
            <w:r>
              <w:rPr>
                <w:rStyle w:val="MetreCode"/>
              </w:rPr>
              <w:t>–⏑⏑</w:t>
            </w:r>
          </w:p>
          <w:p w14:paraId="07DD665D" w14:textId="77777777">
            <w:pPr>
              <w:pStyle w:val="Tabletext"/>
              <w:keepNext/>
              <w:jc w:val="center"/>
              <w:rPr>
                <w:rStyle w:val="MetreCode"/>
              </w:rPr>
            </w:pPr>
            <w:r>
              <w:rPr>
                <w:rStyle w:val="MetreCode"/>
              </w:rPr>
              <w:t>––</w:t>
            </w:r>
          </w:p>
        </w:tc>
        <w:tc>
          <w:tcPr>
            <w:tcW w:w="555" w:type="pct"/>
            <w:tcBorders>
              <w:bottom w:val="single" w:sz="8" w:space="0" w:color="000000"/>
              <w:right w:val="single" w:sz="8" w:space="0" w:color="000000"/>
            </w:tcBorders>
            <w:tcMar>
              <w:top w:w="100" w:type="dxa"/>
              <w:left w:w="100" w:type="dxa"/>
              <w:bottom w:w="100" w:type="dxa"/>
              <w:right w:w="100" w:type="dxa"/>
            </w:tcMar>
            <w:vAlign w:val="center"/>
          </w:tcPr>
          <w:p w14:paraId="53ACAFB0" w14:textId="77777777">
            <w:pPr>
              <w:pStyle w:val="Tabletext"/>
              <w:keepNext/>
              <w:jc w:val="center"/>
              <w:rPr>
                <w:rStyle w:val="MetreCode"/>
              </w:rPr>
            </w:pPr>
            <w:r>
              <w:rPr>
                <w:rStyle w:val="MetreCode"/>
              </w:rPr>
              <w:t>⏓</w:t>
            </w:r>
          </w:p>
        </w:tc>
      </w:tr>
      <w:tr w14:paraId="67BBEED8" w14:textId="77777777">
        <w:tc>
          <w:tcPr>
            <w:tcW w:w="555" w:type="pct"/>
            <w:tcBorders>
              <w:left w:val="single" w:sz="8" w:space="0" w:color="000000"/>
              <w:bottom w:val="single" w:sz="8" w:space="0" w:color="000000"/>
              <w:right w:val="single" w:sz="8" w:space="0" w:color="000000"/>
            </w:tcBorders>
            <w:shd w:val="clear" w:color="auto" w:fill="F0F7D7"/>
            <w:tcMar>
              <w:top w:w="100" w:type="dxa"/>
              <w:left w:w="100" w:type="dxa"/>
              <w:bottom w:w="100" w:type="dxa"/>
              <w:right w:w="100" w:type="dxa"/>
            </w:tcMar>
            <w:vAlign w:val="center"/>
          </w:tcPr>
          <w:p w14:paraId="0B8081C7" w14:textId="77777777">
            <w:pPr>
              <w:pStyle w:val="Tabletext"/>
              <w:keepNext/>
              <w:jc w:val="right"/>
              <w:rPr>
                <w:noProof/>
              </w:rPr>
            </w:pPr>
            <w:r>
              <w:rPr>
                <w:noProof/>
              </w:rPr>
              <w:t xml:space="preserve">32 morae </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5BFF75A6" w14:textId="77777777">
            <w:pPr>
              <w:pStyle w:val="Tabletext"/>
              <w:keepNext/>
              <w:jc w:val="center"/>
              <w:rPr>
                <w:rStyle w:val="MetreCode"/>
              </w:rPr>
            </w:pPr>
            <w:r>
              <w:rPr>
                <w:rStyle w:val="MetreCode"/>
              </w:rPr>
              <w:t>⏕⏕</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725150A5" w14:textId="77777777">
            <w:pPr>
              <w:pStyle w:val="Tabletext"/>
              <w:keepNext/>
              <w:jc w:val="center"/>
              <w:rPr>
                <w:rStyle w:val="MetreCode"/>
              </w:rPr>
            </w:pPr>
            <w:r>
              <w:rPr>
                <w:rStyle w:val="MetreCode"/>
              </w:rPr>
              <w:t>⏑–⏑</w:t>
            </w:r>
          </w:p>
          <w:p w14:paraId="348FC6FF" w14:textId="77777777">
            <w:pPr>
              <w:pStyle w:val="Tabletext"/>
              <w:keepNext/>
              <w:jc w:val="center"/>
              <w:rPr>
                <w:rStyle w:val="MetreCode"/>
              </w:rPr>
            </w:pPr>
            <w:r>
              <w:rPr>
                <w:rStyle w:val="MetreCode"/>
              </w:rPr>
              <w:t>⏕⏕</w:t>
            </w:r>
          </w:p>
        </w:tc>
        <w:tc>
          <w:tcPr>
            <w:tcW w:w="555" w:type="pct"/>
            <w:tcBorders>
              <w:bottom w:val="single" w:sz="8" w:space="0" w:color="000000"/>
              <w:right w:val="single" w:sz="8" w:space="0" w:color="000000"/>
            </w:tcBorders>
            <w:tcMar>
              <w:top w:w="100" w:type="dxa"/>
              <w:left w:w="100" w:type="dxa"/>
              <w:bottom w:w="100" w:type="dxa"/>
              <w:right w:w="100" w:type="dxa"/>
            </w:tcMar>
            <w:vAlign w:val="center"/>
          </w:tcPr>
          <w:p w14:paraId="0AD204A0" w14:textId="77777777">
            <w:pPr>
              <w:pStyle w:val="Tabletext"/>
              <w:keepNext/>
              <w:jc w:val="center"/>
              <w:rPr>
                <w:rStyle w:val="MetreCode"/>
              </w:rPr>
            </w:pPr>
            <w:r>
              <w:rPr>
                <w:rStyle w:val="MetreCode"/>
              </w:rPr>
              <w:t>⏕⏕</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36081563" w14:textId="77777777">
            <w:pPr>
              <w:pStyle w:val="Tabletext"/>
              <w:keepNext/>
              <w:jc w:val="center"/>
              <w:rPr>
                <w:rStyle w:val="MetreCode"/>
              </w:rPr>
            </w:pPr>
            <w:r>
              <w:rPr>
                <w:rStyle w:val="MetreCode"/>
              </w:rPr>
              <w:t>||⏑–⏑</w:t>
            </w:r>
          </w:p>
          <w:p w14:paraId="6F2957B2" w14:textId="77777777">
            <w:pPr>
              <w:pStyle w:val="Tabletext"/>
              <w:keepNext/>
              <w:jc w:val="center"/>
              <w:rPr>
                <w:rStyle w:val="MetreCode"/>
              </w:rPr>
            </w:pPr>
            <w:r>
              <w:rPr>
                <w:rStyle w:val="MetreCode"/>
              </w:rPr>
              <w:t>||⏕⏕</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2016349D" w14:textId="77777777">
            <w:pPr>
              <w:pStyle w:val="Tabletext"/>
              <w:keepNext/>
              <w:jc w:val="center"/>
              <w:rPr>
                <w:rStyle w:val="MetreCode"/>
              </w:rPr>
            </w:pPr>
            <w:r>
              <w:rPr>
                <w:rStyle w:val="MetreCode"/>
              </w:rPr>
              <w:t>⏕⏕</w:t>
            </w:r>
          </w:p>
        </w:tc>
        <w:tc>
          <w:tcPr>
            <w:tcW w:w="555" w:type="pct"/>
            <w:tcBorders>
              <w:bottom w:val="single" w:sz="8" w:space="0" w:color="000000"/>
              <w:right w:val="single" w:sz="8" w:space="0" w:color="000000"/>
            </w:tcBorders>
            <w:tcMar>
              <w:top w:w="100" w:type="dxa"/>
              <w:left w:w="100" w:type="dxa"/>
              <w:bottom w:w="100" w:type="dxa"/>
              <w:right w:w="100" w:type="dxa"/>
            </w:tcMar>
            <w:vAlign w:val="center"/>
          </w:tcPr>
          <w:p w14:paraId="0EED22B6" w14:textId="77777777">
            <w:pPr>
              <w:pStyle w:val="Tabletext"/>
              <w:keepNext/>
              <w:jc w:val="center"/>
              <w:rPr>
                <w:rStyle w:val="MetreCode"/>
              </w:rPr>
            </w:pPr>
            <w:r>
              <w:rPr>
                <w:rStyle w:val="MetreCode"/>
              </w:rPr>
              <w:t>⏑–⏑</w:t>
            </w:r>
          </w:p>
          <w:p w14:paraId="3A595205" w14:textId="77777777">
            <w:pPr>
              <w:pStyle w:val="Tabletext"/>
              <w:keepNext/>
              <w:jc w:val="center"/>
              <w:rPr>
                <w:rStyle w:val="MetreCode"/>
              </w:rPr>
            </w:pPr>
            <w:r>
              <w:rPr>
                <w:rStyle w:val="MetreCode"/>
              </w:rPr>
              <w:t>⏑||⏑⏑⏑</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0FAC629C" w14:textId="77777777">
            <w:pPr>
              <w:pStyle w:val="Tabletext"/>
              <w:keepNext/>
              <w:jc w:val="center"/>
              <w:rPr>
                <w:rStyle w:val="MetreCode"/>
              </w:rPr>
            </w:pPr>
            <w:r>
              <w:rPr>
                <w:rStyle w:val="MetreCode"/>
              </w:rPr>
              <w:t>||⏑⏑⏑⏑</w:t>
            </w:r>
          </w:p>
          <w:p w14:paraId="634FB783" w14:textId="77777777">
            <w:pPr>
              <w:pStyle w:val="Tabletext"/>
              <w:keepNext/>
              <w:jc w:val="center"/>
              <w:rPr>
                <w:rStyle w:val="MetreCode"/>
              </w:rPr>
            </w:pPr>
            <w:r>
              <w:rPr>
                <w:rStyle w:val="MetreCode"/>
              </w:rPr>
              <w:t>⏑⏑–</w:t>
            </w:r>
          </w:p>
          <w:p w14:paraId="04400951" w14:textId="77777777">
            <w:pPr>
              <w:pStyle w:val="Tabletext"/>
              <w:keepNext/>
              <w:jc w:val="center"/>
              <w:rPr>
                <w:rStyle w:val="MetreCode"/>
              </w:rPr>
            </w:pPr>
            <w:r>
              <w:rPr>
                <w:rStyle w:val="MetreCode"/>
              </w:rPr>
              <w:t>–⏑⏑</w:t>
            </w:r>
          </w:p>
          <w:p w14:paraId="27B20B0B" w14:textId="77777777">
            <w:pPr>
              <w:pStyle w:val="Tabletext"/>
              <w:keepNext/>
              <w:jc w:val="center"/>
              <w:rPr>
                <w:rStyle w:val="MetreCode"/>
              </w:rPr>
            </w:pPr>
            <w:r>
              <w:rPr>
                <w:rStyle w:val="MetreCode"/>
              </w:rPr>
              <w:t>––</w:t>
            </w:r>
          </w:p>
        </w:tc>
        <w:tc>
          <w:tcPr>
            <w:tcW w:w="555" w:type="pct"/>
            <w:tcBorders>
              <w:bottom w:val="single" w:sz="8" w:space="0" w:color="000000"/>
              <w:right w:val="single" w:sz="8" w:space="0" w:color="000000"/>
            </w:tcBorders>
            <w:shd w:val="clear" w:color="auto" w:fill="FFFF00"/>
            <w:tcMar>
              <w:top w:w="100" w:type="dxa"/>
              <w:left w:w="100" w:type="dxa"/>
              <w:bottom w:w="100" w:type="dxa"/>
              <w:right w:w="100" w:type="dxa"/>
            </w:tcMar>
            <w:vAlign w:val="center"/>
          </w:tcPr>
          <w:p w14:paraId="745E7BAF" w14:textId="77777777">
            <w:pPr>
              <w:pStyle w:val="Tabletext"/>
              <w:keepNext/>
              <w:jc w:val="center"/>
              <w:rPr>
                <w:rStyle w:val="MetreCode"/>
              </w:rPr>
            </w:pPr>
            <w:r>
              <w:rPr>
                <w:rStyle w:val="MetreCode"/>
              </w:rPr>
              <w:t>⏕⏓</w:t>
            </w:r>
          </w:p>
        </w:tc>
      </w:tr>
      <w:tr w14:paraId="76F9BD43" w14:textId="77777777">
        <w:tc>
          <w:tcPr>
            <w:tcW w:w="5000" w:type="pct"/>
            <w:gridSpan w:val="9"/>
            <w:tcBorders>
              <w:left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2FC6C17E" w14:textId="77777777">
            <w:pPr>
              <w:pStyle w:val="Tabletext"/>
              <w:keepNext/>
              <w:jc w:val="center"/>
            </w:pPr>
            <w:r>
              <w:t>variations and constraints</w:t>
            </w:r>
          </w:p>
        </w:tc>
      </w:tr>
      <w:tr w14:paraId="5E1C08A8" w14:textId="77777777">
        <w:tc>
          <w:tcPr>
            <w:tcW w:w="555" w:type="pct"/>
            <w:tcBorders>
              <w:left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65DE9FE9" w14:textId="77777777">
            <w:pPr>
              <w:pStyle w:val="Tabletext"/>
              <w:keepNext/>
              <w:rPr>
                <w:noProof/>
              </w:rPr>
            </w:pPr>
            <w:bookmarkStart w:id="39" w:name="_Hlk240535159"/>
            <w:r>
              <w:rPr>
                <w:rStyle w:val="Foreign"/>
              </w:rPr>
              <w:t>capalā</w:t>
            </w:r>
          </w:p>
        </w:tc>
        <w:tc>
          <w:tcPr>
            <w:tcW w:w="556" w:type="pct"/>
            <w:tcBorders>
              <w:bottom w:val="single" w:sz="8" w:space="0" w:color="000000"/>
              <w:right w:val="single" w:sz="8" w:space="0" w:color="000000"/>
            </w:tcBorders>
            <w:shd w:val="clear" w:color="auto" w:fill="FBD4B4"/>
            <w:tcMar>
              <w:top w:w="100" w:type="dxa"/>
              <w:left w:w="100" w:type="dxa"/>
              <w:bottom w:w="100" w:type="dxa"/>
              <w:right w:w="100" w:type="dxa"/>
            </w:tcMar>
            <w:vAlign w:val="center"/>
          </w:tcPr>
          <w:p w14:paraId="28A98F21" w14:textId="77777777">
            <w:pPr>
              <w:pStyle w:val="Tabletext"/>
              <w:keepNext/>
              <w:jc w:val="center"/>
              <w:rPr>
                <w:rStyle w:val="MetreCode"/>
              </w:rPr>
            </w:pPr>
            <w:r>
              <w:rPr>
                <w:rStyle w:val="MetreCode"/>
              </w:rPr>
              <w:t>⏕–</w:t>
            </w:r>
          </w:p>
        </w:tc>
        <w:tc>
          <w:tcPr>
            <w:tcW w:w="556" w:type="pct"/>
            <w:tcBorders>
              <w:bottom w:val="single" w:sz="8" w:space="0" w:color="000000"/>
              <w:right w:val="single" w:sz="8" w:space="0" w:color="000000"/>
            </w:tcBorders>
            <w:shd w:val="clear" w:color="auto" w:fill="FBD4B4"/>
            <w:tcMar>
              <w:top w:w="100" w:type="dxa"/>
              <w:left w:w="100" w:type="dxa"/>
              <w:bottom w:w="100" w:type="dxa"/>
              <w:right w:w="100" w:type="dxa"/>
            </w:tcMar>
            <w:vAlign w:val="center"/>
          </w:tcPr>
          <w:p w14:paraId="0BE4A488" w14:textId="77777777">
            <w:pPr>
              <w:pStyle w:val="Tabletext"/>
              <w:keepNext/>
              <w:jc w:val="center"/>
              <w:rPr>
                <w:rStyle w:val="MetreCode"/>
              </w:rPr>
            </w:pPr>
            <w:r>
              <w:rPr>
                <w:rStyle w:val="MetreCode"/>
              </w:rPr>
              <w:t>⏑–⏑</w:t>
            </w:r>
          </w:p>
        </w:tc>
        <w:tc>
          <w:tcPr>
            <w:tcW w:w="555" w:type="pct"/>
            <w:tcBorders>
              <w:bottom w:val="single" w:sz="8" w:space="0" w:color="000000"/>
              <w:right w:val="single" w:sz="8" w:space="0" w:color="000000"/>
            </w:tcBorders>
            <w:shd w:val="clear" w:color="auto" w:fill="FBD4B4"/>
            <w:tcMar>
              <w:top w:w="100" w:type="dxa"/>
              <w:left w:w="100" w:type="dxa"/>
              <w:bottom w:w="100" w:type="dxa"/>
              <w:right w:w="100" w:type="dxa"/>
            </w:tcMar>
            <w:vAlign w:val="center"/>
          </w:tcPr>
          <w:p w14:paraId="5D88AA14" w14:textId="77777777">
            <w:pPr>
              <w:pStyle w:val="Tabletext"/>
              <w:keepNext/>
              <w:jc w:val="center"/>
              <w:rPr>
                <w:rStyle w:val="MetreCode"/>
              </w:rPr>
            </w:pPr>
            <w:r>
              <w:rPr>
                <w:rStyle w:val="MetreCode"/>
              </w:rPr>
              <w:t>––</w:t>
            </w:r>
          </w:p>
        </w:tc>
        <w:tc>
          <w:tcPr>
            <w:tcW w:w="556" w:type="pct"/>
            <w:tcBorders>
              <w:bottom w:val="single" w:sz="8" w:space="0" w:color="000000"/>
              <w:right w:val="single" w:sz="8" w:space="0" w:color="000000"/>
            </w:tcBorders>
            <w:shd w:val="clear" w:color="auto" w:fill="FBD4B4"/>
            <w:tcMar>
              <w:top w:w="100" w:type="dxa"/>
              <w:left w:w="100" w:type="dxa"/>
              <w:bottom w:w="100" w:type="dxa"/>
              <w:right w:w="100" w:type="dxa"/>
            </w:tcMar>
            <w:vAlign w:val="center"/>
          </w:tcPr>
          <w:p w14:paraId="5EF1B5B4" w14:textId="77777777">
            <w:pPr>
              <w:pStyle w:val="Tabletext"/>
              <w:keepNext/>
              <w:jc w:val="center"/>
              <w:rPr>
                <w:rStyle w:val="MetreCode"/>
              </w:rPr>
            </w:pPr>
            <w:r>
              <w:rPr>
                <w:rStyle w:val="MetreCode"/>
              </w:rPr>
              <w:t>||⏑–⏑</w:t>
            </w:r>
          </w:p>
        </w:tc>
        <w:tc>
          <w:tcPr>
            <w:tcW w:w="556" w:type="pct"/>
            <w:tcBorders>
              <w:bottom w:val="single" w:sz="8" w:space="0" w:color="000000"/>
              <w:right w:val="single" w:sz="8" w:space="0" w:color="000000"/>
            </w:tcBorders>
            <w:shd w:val="clear" w:color="auto" w:fill="FBD4B4"/>
            <w:tcMar>
              <w:top w:w="100" w:type="dxa"/>
              <w:left w:w="100" w:type="dxa"/>
              <w:bottom w:w="100" w:type="dxa"/>
              <w:right w:w="100" w:type="dxa"/>
            </w:tcMar>
            <w:vAlign w:val="center"/>
          </w:tcPr>
          <w:p w14:paraId="79D49E91" w14:textId="77777777">
            <w:pPr>
              <w:pStyle w:val="Tabletext"/>
              <w:keepNext/>
              <w:jc w:val="center"/>
              <w:rPr>
                <w:rStyle w:val="MetreCode"/>
              </w:rPr>
            </w:pPr>
            <w:r>
              <w:rPr>
                <w:rStyle w:val="MetreCode"/>
              </w:rPr>
              <w:t>–⏕</w:t>
            </w:r>
          </w:p>
        </w:tc>
        <w:tc>
          <w:tcPr>
            <w:tcW w:w="555" w:type="pct"/>
            <w:tcBorders>
              <w:bottom w:val="single" w:sz="8" w:space="0" w:color="000000"/>
              <w:right w:val="single" w:sz="8" w:space="0" w:color="000000"/>
            </w:tcBorders>
            <w:tcMar>
              <w:top w:w="100" w:type="dxa"/>
              <w:left w:w="100" w:type="dxa"/>
              <w:bottom w:w="100" w:type="dxa"/>
              <w:right w:w="100" w:type="dxa"/>
            </w:tcMar>
            <w:vAlign w:val="center"/>
          </w:tcPr>
          <w:p w14:paraId="6CD41B42" w14:textId="77777777">
            <w:pPr>
              <w:pStyle w:val="Tabletext"/>
              <w:keepNext/>
              <w:jc w:val="center"/>
              <w:rPr>
                <w:rStyle w:val="MetreCode"/>
              </w:rPr>
            </w:pP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2026931D" w14:textId="77777777">
            <w:pPr>
              <w:pStyle w:val="Tabletext"/>
              <w:keepNext/>
              <w:jc w:val="center"/>
              <w:rPr>
                <w:rStyle w:val="MetreCode"/>
              </w:rPr>
            </w:pPr>
          </w:p>
        </w:tc>
        <w:tc>
          <w:tcPr>
            <w:tcW w:w="555" w:type="pct"/>
            <w:tcBorders>
              <w:bottom w:val="single" w:sz="8" w:space="0" w:color="000000"/>
              <w:right w:val="single" w:sz="8" w:space="0" w:color="000000"/>
            </w:tcBorders>
            <w:tcMar>
              <w:top w:w="100" w:type="dxa"/>
              <w:left w:w="100" w:type="dxa"/>
              <w:bottom w:w="100" w:type="dxa"/>
              <w:right w:w="100" w:type="dxa"/>
            </w:tcMar>
            <w:vAlign w:val="center"/>
          </w:tcPr>
          <w:p w14:paraId="02E674D0" w14:textId="77777777">
            <w:pPr>
              <w:pStyle w:val="Tabletext"/>
              <w:keepNext/>
              <w:jc w:val="center"/>
              <w:rPr>
                <w:rStyle w:val="MetreCode"/>
              </w:rPr>
            </w:pPr>
          </w:p>
        </w:tc>
      </w:tr>
      <w:bookmarkEnd w:id="39"/>
      <w:tr w14:paraId="27034C9E" w14:textId="77777777">
        <w:tc>
          <w:tcPr>
            <w:tcW w:w="555" w:type="pct"/>
            <w:tcBorders>
              <w:left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7484FE9B" w14:textId="77777777">
            <w:pPr>
              <w:pStyle w:val="Tabletext"/>
              <w:rPr>
                <w:noProof/>
              </w:rPr>
            </w:pPr>
            <w:r>
              <w:rPr>
                <w:rStyle w:val="Foreign"/>
              </w:rPr>
              <w:t>vipulā</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2D286E88" w14:textId="77777777">
            <w:pPr>
              <w:pStyle w:val="Tabletext"/>
              <w:jc w:val="center"/>
              <w:rPr>
                <w:rStyle w:val="MetreCode"/>
              </w:rPr>
            </w:pP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03251261" w14:textId="77777777">
            <w:pPr>
              <w:pStyle w:val="Tabletext"/>
              <w:jc w:val="center"/>
              <w:rPr>
                <w:rStyle w:val="MetreCode"/>
              </w:rPr>
            </w:pPr>
          </w:p>
        </w:tc>
        <w:tc>
          <w:tcPr>
            <w:tcW w:w="555" w:type="pct"/>
            <w:tcBorders>
              <w:bottom w:val="single" w:sz="8" w:space="0" w:color="000000"/>
              <w:right w:val="single" w:sz="8" w:space="0" w:color="000000"/>
            </w:tcBorders>
            <w:tcMar>
              <w:top w:w="100" w:type="dxa"/>
              <w:left w:w="100" w:type="dxa"/>
              <w:bottom w:w="100" w:type="dxa"/>
              <w:right w:w="100" w:type="dxa"/>
            </w:tcMar>
            <w:vAlign w:val="center"/>
          </w:tcPr>
          <w:p w14:paraId="403EC4D7" w14:textId="77777777">
            <w:pPr>
              <w:pStyle w:val="Tabletext"/>
              <w:jc w:val="center"/>
              <w:rPr>
                <w:rStyle w:val="MetreCode"/>
              </w:rPr>
            </w:pPr>
          </w:p>
        </w:tc>
        <w:tc>
          <w:tcPr>
            <w:tcW w:w="556" w:type="pct"/>
            <w:tcBorders>
              <w:bottom w:val="single" w:sz="8" w:space="0" w:color="000000"/>
              <w:right w:val="single" w:sz="8" w:space="0" w:color="000000"/>
            </w:tcBorders>
            <w:shd w:val="clear" w:color="auto" w:fill="FBD4B4"/>
            <w:tcMar>
              <w:top w:w="100" w:type="dxa"/>
              <w:left w:w="100" w:type="dxa"/>
              <w:bottom w:w="100" w:type="dxa"/>
              <w:right w:w="100" w:type="dxa"/>
            </w:tcMar>
            <w:vAlign w:val="center"/>
          </w:tcPr>
          <w:p w14:paraId="43124F63" w14:textId="77777777">
            <w:pPr>
              <w:pStyle w:val="Tabletext"/>
              <w:jc w:val="center"/>
              <w:rPr>
                <w:rStyle w:val="MetreCode"/>
              </w:rPr>
            </w:pPr>
            <w:r>
              <w:rPr>
                <w:rStyle w:val="MetreCode"/>
              </w:rPr>
              <w:t>⏑–⏑</w:t>
            </w:r>
          </w:p>
          <w:p w14:paraId="307C6D4C" w14:textId="77777777">
            <w:pPr>
              <w:pStyle w:val="Tabletext"/>
              <w:jc w:val="center"/>
              <w:rPr>
                <w:rStyle w:val="MetreCode"/>
              </w:rPr>
            </w:pPr>
            <w:r>
              <w:rPr>
                <w:rStyle w:val="MetreCode"/>
              </w:rPr>
              <w:t>⏑||⏑⏑⏑</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3079B867" w14:textId="77777777">
            <w:pPr>
              <w:pStyle w:val="Tabletext"/>
              <w:jc w:val="center"/>
              <w:rPr>
                <w:rStyle w:val="MetreCode"/>
              </w:rPr>
            </w:pPr>
          </w:p>
        </w:tc>
        <w:tc>
          <w:tcPr>
            <w:tcW w:w="555" w:type="pct"/>
            <w:tcBorders>
              <w:bottom w:val="single" w:sz="8" w:space="0" w:color="000000"/>
              <w:right w:val="single" w:sz="8" w:space="0" w:color="000000"/>
            </w:tcBorders>
            <w:tcMar>
              <w:top w:w="100" w:type="dxa"/>
              <w:left w:w="100" w:type="dxa"/>
              <w:bottom w:w="100" w:type="dxa"/>
              <w:right w:w="100" w:type="dxa"/>
            </w:tcMar>
            <w:vAlign w:val="center"/>
          </w:tcPr>
          <w:p w14:paraId="48A41F4F" w14:textId="77777777">
            <w:pPr>
              <w:pStyle w:val="Tabletext"/>
              <w:jc w:val="center"/>
              <w:rPr>
                <w:rStyle w:val="MetreCode"/>
              </w:rPr>
            </w:pP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5B51F602" w14:textId="77777777">
            <w:pPr>
              <w:pStyle w:val="Tabletext"/>
              <w:jc w:val="center"/>
              <w:rPr>
                <w:rStyle w:val="MetreCode"/>
              </w:rPr>
            </w:pPr>
          </w:p>
        </w:tc>
        <w:tc>
          <w:tcPr>
            <w:tcW w:w="555" w:type="pct"/>
            <w:tcBorders>
              <w:bottom w:val="single" w:sz="8" w:space="0" w:color="000000"/>
              <w:right w:val="single" w:sz="8" w:space="0" w:color="000000"/>
            </w:tcBorders>
            <w:tcMar>
              <w:top w:w="100" w:type="dxa"/>
              <w:left w:w="100" w:type="dxa"/>
              <w:bottom w:w="100" w:type="dxa"/>
              <w:right w:w="100" w:type="dxa"/>
            </w:tcMar>
            <w:vAlign w:val="center"/>
          </w:tcPr>
          <w:p w14:paraId="7257A289" w14:textId="77777777">
            <w:pPr>
              <w:pStyle w:val="Tabletext"/>
              <w:jc w:val="center"/>
              <w:rPr>
                <w:rStyle w:val="MetreCode"/>
              </w:rPr>
            </w:pPr>
          </w:p>
        </w:tc>
      </w:tr>
    </w:tbl>
    <w:p w14:paraId="449F2423" w14:textId="77777777"/>
    <w:p w14:paraId="283A2B48" w14:textId="77777777">
      <w:pPr>
        <w:pStyle w:val="Cmsor3"/>
      </w:pPr>
      <w:r>
        <w:t>The structure and classification of moraic stanzas</w:t>
      </w:r>
    </w:p>
    <w:p w14:paraId="5A9B3774" w14:textId="77777777">
      <w:r>
        <w:t>The varieties of moraic lines discussed in §</w:t>
      </w:r>
      <w:r>
        <w:fldChar w:fldCharType="begin"/>
      </w:r>
      <w:r>
        <w:instrText xml:space="preserve"> REF _Ref240535526 \r \h </w:instrText>
      </w:r>
      <w:r>
        <w:fldChar w:fldCharType="separate"/>
      </w:r>
      <w:r>
        <w:t>2.3.1</w:t>
      </w:r>
      <w:r>
        <w:fldChar w:fldCharType="end"/>
      </w:r>
      <w:r>
        <w:t xml:space="preserve"> above can be used in various combinations, but not all combinations occur in poetic practice, and the names assigned to the individual combinations are not entirely consistent across the schools of the tradition. In DHARMA practice we assign the following names to the actually occurring combinations, shown in list form in </w:t>
      </w:r>
      <w:r>
        <w:fldChar w:fldCharType="begin"/>
      </w:r>
      <w:r>
        <w:instrText xml:space="preserve"> REF _Ref48034870 \h </w:instrText>
      </w:r>
      <w:r>
        <w:fldChar w:fldCharType="separate"/>
      </w:r>
      <w:r>
        <w:t xml:space="preserve">Table </w:t>
      </w:r>
      <w:r>
        <w:rPr>
          <w:noProof/>
        </w:rPr>
        <w:t>6</w:t>
      </w:r>
      <w:r>
        <w:fldChar w:fldCharType="end"/>
      </w:r>
      <w:r>
        <w:t xml:space="preserve"> and crosstabulated in </w:t>
      </w:r>
      <w:r>
        <w:fldChar w:fldCharType="begin"/>
      </w:r>
      <w:r>
        <w:instrText xml:space="preserve"> REF _Ref240536641 \h </w:instrText>
      </w:r>
      <w:r>
        <w:fldChar w:fldCharType="separate"/>
      </w:r>
      <w:r>
        <w:t xml:space="preserve">Table </w:t>
      </w:r>
      <w:r>
        <w:rPr>
          <w:noProof/>
        </w:rPr>
        <w:t>7</w:t>
      </w:r>
      <w:r>
        <w:fldChar w:fldCharType="end"/>
      </w:r>
      <w:r>
        <w:t>.</w:t>
      </w:r>
    </w:p>
    <w:p w14:paraId="0FAB563A" w14:textId="77777777">
      <w:pPr>
        <w:pStyle w:val="Lista"/>
      </w:pPr>
      <w:r>
        <w:t>all possible combinations of 30-mora and 27-mora hemistichs occur widely:</w:t>
      </w:r>
    </w:p>
    <w:p w14:paraId="3B17B6ED" w14:textId="77777777">
      <w:pPr>
        <w:pStyle w:val="Lista2"/>
      </w:pPr>
      <w:r>
        <w:t xml:space="preserve">the </w:t>
      </w:r>
      <w:r>
        <w:rPr>
          <w:rStyle w:val="Foreign"/>
        </w:rPr>
        <w:t>āryā</w:t>
      </w:r>
      <w:r>
        <w:t xml:space="preserve"> of 30/27 morae, the most common combination and the archetypal </w:t>
      </w:r>
      <w:r>
        <w:rPr>
          <w:rStyle w:val="Foreign"/>
        </w:rPr>
        <w:t>gaṇacchandas</w:t>
      </w:r>
      <w:r>
        <w:t xml:space="preserve"> metre</w:t>
      </w:r>
    </w:p>
    <w:p w14:paraId="17D1835B" w14:textId="77777777">
      <w:pPr>
        <w:pStyle w:val="Lista2"/>
      </w:pPr>
      <w:r>
        <w:t xml:space="preserve">the </w:t>
      </w:r>
      <w:r>
        <w:rPr>
          <w:rStyle w:val="Foreign"/>
        </w:rPr>
        <w:t>gīti</w:t>
      </w:r>
      <w:r>
        <w:t xml:space="preserve"> of 30/30 morae</w:t>
      </w:r>
    </w:p>
    <w:p w14:paraId="5BA90B0E" w14:textId="77777777">
      <w:pPr>
        <w:pStyle w:val="Lista2"/>
      </w:pPr>
      <w:r>
        <w:t xml:space="preserve">the </w:t>
      </w:r>
      <w:r>
        <w:rPr>
          <w:rStyle w:val="Foreign"/>
        </w:rPr>
        <w:t>udgīti</w:t>
      </w:r>
      <w:r>
        <w:t xml:space="preserve"> of 27/30 morae</w:t>
      </w:r>
    </w:p>
    <w:p w14:paraId="7F19FF7C" w14:textId="77777777">
      <w:pPr>
        <w:pStyle w:val="Lista"/>
      </w:pPr>
      <w:r>
        <w:t>there is only one common combination involving the 32-mora line:</w:t>
      </w:r>
    </w:p>
    <w:p w14:paraId="236B2B5D" w14:textId="77777777">
      <w:pPr>
        <w:pStyle w:val="Lista2"/>
      </w:pPr>
      <w:r>
        <w:t xml:space="preserve">the </w:t>
      </w:r>
      <w:r>
        <w:rPr>
          <w:rStyle w:val="Foreign"/>
        </w:rPr>
        <w:t>āryāgīti</w:t>
      </w:r>
      <w:r>
        <w:t xml:space="preserve"> of 32/32 morae</w:t>
      </w:r>
    </w:p>
    <w:p w14:paraId="616B573D" w14:textId="5C3F0EB0">
      <w:pPr>
        <w:pStyle w:val="Lista"/>
      </w:pPr>
      <w:r>
        <w:t xml:space="preserve">other combinations are barely attested in known literature and their nomenclature is rarely and inconsistently given </w:t>
      </w:r>
      <w:r>
        <w:rPr>
          <w:rFonts w:cs="Gentium"/>
          <w:szCs w:val="24"/>
        </w:rPr>
        <w:t xml:space="preserve">(Warder 1967, 143–44; </w:t>
      </w:r>
      <w:proofErr w:type="spellStart"/>
      <w:r>
        <w:rPr>
          <w:rFonts w:cs="Gentium"/>
          <w:szCs w:val="24"/>
        </w:rPr>
        <w:t>Cappeller</w:t>
      </w:r>
      <w:proofErr w:type="spellEnd"/>
      <w:r>
        <w:rPr>
          <w:rFonts w:cs="Gentium"/>
          <w:szCs w:val="24"/>
        </w:rPr>
        <w:t xml:space="preserve"> 1872, 14, 21–24; Colebrooke 1811)</w:t>
      </w:r>
      <w:r>
        <w:t>, but since several of these forms do occur in some of our epigraphic texts, we classify and name them as follows</w:t>
      </w:r>
    </w:p>
    <w:p w14:paraId="6DFEB1CC" w14:textId="77777777">
      <w:pPr>
        <w:pStyle w:val="Lista2"/>
        <w:rPr>
          <w:lang w:eastAsia="hu-HU" w:bidi="sa-IN"/>
        </w:rPr>
      </w:pPr>
      <w:r>
        <w:rPr>
          <w:rStyle w:val="Foreign"/>
        </w:rPr>
        <w:t>sugīti</w:t>
      </w:r>
      <w:r>
        <w:rPr>
          <w:lang w:eastAsia="hu-HU" w:bidi="sa-IN"/>
        </w:rPr>
        <w:t>: 32/27 morae</w:t>
      </w:r>
    </w:p>
    <w:p w14:paraId="5EF7DBDD" w14:textId="77777777">
      <w:pPr>
        <w:pStyle w:val="Lista2"/>
        <w:rPr>
          <w:lang w:eastAsia="hu-HU" w:bidi="sa-IN"/>
        </w:rPr>
      </w:pPr>
      <w:r>
        <w:rPr>
          <w:rStyle w:val="Foreign"/>
        </w:rPr>
        <w:t>anugīti</w:t>
      </w:r>
      <w:r>
        <w:rPr>
          <w:lang w:eastAsia="hu-HU" w:bidi="sa-IN"/>
        </w:rPr>
        <w:t>: 27/32 morae</w:t>
      </w:r>
    </w:p>
    <w:p w14:paraId="65BA97C2" w14:textId="77777777">
      <w:pPr>
        <w:pStyle w:val="Lista2"/>
        <w:rPr>
          <w:lang w:eastAsia="hu-HU" w:bidi="sa-IN"/>
        </w:rPr>
      </w:pPr>
      <w:r>
        <w:rPr>
          <w:rStyle w:val="Foreign"/>
        </w:rPr>
        <w:t>vallarī</w:t>
      </w:r>
      <w:r>
        <w:rPr>
          <w:lang w:eastAsia="hu-HU" w:bidi="sa-IN"/>
        </w:rPr>
        <w:t>: 32/30 morae</w:t>
      </w:r>
    </w:p>
    <w:p w14:paraId="425CCB96" w14:textId="77777777">
      <w:pPr>
        <w:pStyle w:val="Lista2"/>
        <w:rPr>
          <w:lang w:eastAsia="hu-HU" w:bidi="sa-IN"/>
        </w:rPr>
      </w:pPr>
      <w:r>
        <w:rPr>
          <w:rStyle w:val="Foreign"/>
        </w:rPr>
        <w:t>lalitā</w:t>
      </w:r>
      <w:r>
        <w:rPr>
          <w:lang w:eastAsia="hu-HU" w:bidi="sa-IN"/>
        </w:rPr>
        <w:t>: 30/32 morae</w:t>
      </w:r>
    </w:p>
    <w:p w14:paraId="7CFB18B9" w14:textId="77777777">
      <w:pPr>
        <w:pStyle w:val="Kpalrs"/>
        <w:keepNext/>
      </w:pPr>
      <w:bookmarkStart w:id="40" w:name="_Ref48034870"/>
      <w:r>
        <w:lastRenderedPageBreak/>
        <w:t xml:space="preserve">Table </w:t>
      </w:r>
      <w:fldSimple w:instr=" SEQ Table \* ARABIC ">
        <w:r>
          <w:rPr>
            <w:noProof/>
          </w:rPr>
          <w:t>6</w:t>
        </w:r>
      </w:fldSimple>
      <w:bookmarkEnd w:id="40"/>
      <w:r>
        <w:t>. Names and foot structure of stanzas in moraic metres</w:t>
      </w:r>
    </w:p>
    <w:tbl>
      <w:tblPr>
        <w:tblStyle w:val="16"/>
        <w:tblW w:w="5035" w:type="pct"/>
        <w:tblInd w:w="0" w:type="dxa"/>
        <w:tblBorders>
          <w:top w:val="nil"/>
          <w:left w:val="nil"/>
          <w:bottom w:val="nil"/>
          <w:right w:val="nil"/>
          <w:insideH w:val="nil"/>
          <w:insideV w:val="nil"/>
        </w:tblBorders>
        <w:tblLook w:val="0600" w:firstRow="0" w:lastRow="0" w:firstColumn="0" w:lastColumn="0" w:noHBand="1" w:noVBand="1"/>
      </w:tblPr>
      <w:tblGrid>
        <w:gridCol w:w="1365"/>
        <w:gridCol w:w="4161"/>
        <w:gridCol w:w="4159"/>
      </w:tblGrid>
      <w:tr w14:paraId="74FFB097" w14:textId="77777777">
        <w:tc>
          <w:tcPr>
            <w:tcW w:w="705" w:type="pct"/>
            <w:tcBorders>
              <w:top w:val="single" w:sz="8" w:space="0" w:color="000000"/>
              <w:left w:val="single" w:sz="8" w:space="0" w:color="000000"/>
              <w:bottom w:val="single" w:sz="8" w:space="0" w:color="000000"/>
              <w:right w:val="single" w:sz="8" w:space="0" w:color="000000"/>
            </w:tcBorders>
            <w:shd w:val="clear" w:color="auto" w:fill="F0F7D7"/>
            <w:tcMar>
              <w:top w:w="100" w:type="dxa"/>
              <w:left w:w="40" w:type="dxa"/>
              <w:bottom w:w="100" w:type="dxa"/>
              <w:right w:w="40" w:type="dxa"/>
            </w:tcMar>
            <w:vAlign w:val="bottom"/>
          </w:tcPr>
          <w:p w14:paraId="47F06C3D" w14:textId="77777777">
            <w:pPr>
              <w:pStyle w:val="Tabletext"/>
              <w:keepNext/>
              <w:rPr>
                <w:noProof/>
              </w:rPr>
            </w:pPr>
            <w:r>
              <w:rPr>
                <w:noProof/>
              </w:rPr>
              <w:t xml:space="preserve"> </w:t>
            </w:r>
          </w:p>
        </w:tc>
        <w:tc>
          <w:tcPr>
            <w:tcW w:w="2148" w:type="pct"/>
            <w:tcBorders>
              <w:top w:val="single" w:sz="8" w:space="0" w:color="000000"/>
              <w:bottom w:val="single" w:sz="8" w:space="0" w:color="000000"/>
            </w:tcBorders>
            <w:shd w:val="clear" w:color="auto" w:fill="F0F7D7"/>
          </w:tcPr>
          <w:p w14:paraId="6D7543E3" w14:textId="77777777">
            <w:pPr>
              <w:pStyle w:val="Tabletext"/>
              <w:keepNext/>
            </w:pPr>
            <w:r>
              <w:t>Line structure</w:t>
            </w:r>
          </w:p>
        </w:tc>
        <w:tc>
          <w:tcPr>
            <w:tcW w:w="2147" w:type="pct"/>
            <w:tcBorders>
              <w:top w:val="single" w:sz="8" w:space="0" w:color="000000"/>
              <w:bottom w:val="single" w:sz="8" w:space="0" w:color="000000"/>
              <w:right w:val="single" w:sz="8" w:space="0" w:color="000000"/>
            </w:tcBorders>
            <w:shd w:val="clear" w:color="auto" w:fill="F0F7D7"/>
            <w:tcMar>
              <w:top w:w="100" w:type="dxa"/>
              <w:left w:w="40" w:type="dxa"/>
              <w:bottom w:w="100" w:type="dxa"/>
              <w:right w:w="40" w:type="dxa"/>
            </w:tcMar>
            <w:vAlign w:val="bottom"/>
          </w:tcPr>
          <w:p w14:paraId="46BA529A" w14:textId="77777777">
            <w:pPr>
              <w:pStyle w:val="Tabletext"/>
              <w:keepNext/>
            </w:pPr>
            <w:r>
              <w:t xml:space="preserve">Foot structure </w:t>
            </w:r>
            <w:r>
              <w:rPr>
                <w:noProof/>
              </w:rPr>
              <w:t>(</w:t>
            </w:r>
            <w:r>
              <w:t xml:space="preserve">detailed template in </w:t>
            </w:r>
            <w:r>
              <w:fldChar w:fldCharType="begin"/>
            </w:r>
            <w:r>
              <w:instrText xml:space="preserve"> REF _Ref48034862 \h  \* MERGEFORMAT </w:instrText>
            </w:r>
            <w:r>
              <w:fldChar w:fldCharType="separate"/>
            </w:r>
            <w:r>
              <w:t xml:space="preserve">Table </w:t>
            </w:r>
            <w:r>
              <w:rPr>
                <w:noProof/>
              </w:rPr>
              <w:t>5</w:t>
            </w:r>
            <w:r>
              <w:fldChar w:fldCharType="end"/>
            </w:r>
            <w:r>
              <w:t>)</w:t>
            </w:r>
          </w:p>
        </w:tc>
      </w:tr>
      <w:tr w14:paraId="2EDA8956" w14:textId="77777777">
        <w:tc>
          <w:tcPr>
            <w:tcW w:w="5000" w:type="pct"/>
            <w:gridSpan w:val="3"/>
            <w:tcBorders>
              <w:left w:val="single" w:sz="8" w:space="0" w:color="000000"/>
              <w:bottom w:val="single" w:sz="8" w:space="0" w:color="000000"/>
              <w:right w:val="single" w:sz="8" w:space="0" w:color="000000"/>
            </w:tcBorders>
            <w:shd w:val="clear" w:color="auto" w:fill="F0F7D7"/>
            <w:tcMar>
              <w:top w:w="100" w:type="dxa"/>
              <w:left w:w="40" w:type="dxa"/>
              <w:bottom w:w="100" w:type="dxa"/>
              <w:right w:w="40" w:type="dxa"/>
            </w:tcMar>
            <w:vAlign w:val="center"/>
          </w:tcPr>
          <w:p w14:paraId="1026781C" w14:textId="77777777">
            <w:pPr>
              <w:pStyle w:val="Tabletext"/>
              <w:keepNext/>
              <w:jc w:val="center"/>
            </w:pPr>
            <w:r>
              <w:t>common combinations</w:t>
            </w:r>
          </w:p>
        </w:tc>
      </w:tr>
      <w:tr w14:paraId="5D0CF516" w14:textId="77777777">
        <w:tc>
          <w:tcPr>
            <w:tcW w:w="705" w:type="pct"/>
            <w:tcBorders>
              <w:left w:val="single" w:sz="8" w:space="0" w:color="000000"/>
              <w:bottom w:val="single" w:sz="8" w:space="0" w:color="000000"/>
              <w:right w:val="single" w:sz="8" w:space="0" w:color="000000"/>
            </w:tcBorders>
            <w:shd w:val="clear" w:color="auto" w:fill="F0F7D7"/>
            <w:tcMar>
              <w:top w:w="100" w:type="dxa"/>
              <w:left w:w="40" w:type="dxa"/>
              <w:bottom w:w="100" w:type="dxa"/>
              <w:right w:w="40" w:type="dxa"/>
            </w:tcMar>
            <w:vAlign w:val="center"/>
          </w:tcPr>
          <w:p w14:paraId="10D386CE" w14:textId="77777777">
            <w:pPr>
              <w:pStyle w:val="Tabletext"/>
              <w:keepNext/>
              <w:rPr>
                <w:rStyle w:val="Foreign"/>
              </w:rPr>
            </w:pPr>
            <w:r>
              <w:rPr>
                <w:rStyle w:val="Foreign"/>
              </w:rPr>
              <w:t>āryā</w:t>
            </w:r>
          </w:p>
        </w:tc>
        <w:tc>
          <w:tcPr>
            <w:tcW w:w="2148" w:type="pct"/>
            <w:tcBorders>
              <w:bottom w:val="single" w:sz="8" w:space="0" w:color="000000"/>
            </w:tcBorders>
          </w:tcPr>
          <w:p w14:paraId="1DE74928" w14:textId="77777777">
            <w:pPr>
              <w:pStyle w:val="Tabletext"/>
              <w:keepNext/>
            </w:pPr>
            <w:r>
              <w:t>30 / 27 morae</w:t>
            </w:r>
          </w:p>
        </w:tc>
        <w:tc>
          <w:tcPr>
            <w:tcW w:w="2147" w:type="pct"/>
            <w:tcBorders>
              <w:bottom w:val="single" w:sz="8" w:space="0" w:color="000000"/>
              <w:right w:val="single" w:sz="8" w:space="0" w:color="000000"/>
            </w:tcBorders>
            <w:tcMar>
              <w:top w:w="100" w:type="dxa"/>
              <w:left w:w="40" w:type="dxa"/>
              <w:bottom w:w="100" w:type="dxa"/>
              <w:right w:w="40" w:type="dxa"/>
            </w:tcMar>
            <w:vAlign w:val="bottom"/>
          </w:tcPr>
          <w:p w14:paraId="4CEE3F79" w14:textId="77777777">
            <w:pPr>
              <w:pStyle w:val="Tabletext"/>
              <w:keepNext/>
            </w:pPr>
            <w:r>
              <w:t>4|4|4|4|4|4|4|2/</w:t>
            </w:r>
          </w:p>
          <w:p w14:paraId="6B05EAC8" w14:textId="77777777">
            <w:pPr>
              <w:pStyle w:val="Tabletext"/>
              <w:keepNext/>
              <w:rPr>
                <w:rStyle w:val="MetreCode"/>
                <w:rFonts w:ascii="Calibri" w:hAnsi="Calibri"/>
              </w:rPr>
            </w:pPr>
            <w:r>
              <w:t>4|4|4|4|4|1|4|2</w:t>
            </w:r>
          </w:p>
        </w:tc>
      </w:tr>
      <w:tr w14:paraId="2EA1519F" w14:textId="77777777">
        <w:tc>
          <w:tcPr>
            <w:tcW w:w="705" w:type="pct"/>
            <w:tcBorders>
              <w:left w:val="single" w:sz="8" w:space="0" w:color="000000"/>
              <w:bottom w:val="single" w:sz="8" w:space="0" w:color="000000"/>
              <w:right w:val="single" w:sz="8" w:space="0" w:color="000000"/>
            </w:tcBorders>
            <w:shd w:val="clear" w:color="auto" w:fill="F0F7D7"/>
            <w:tcMar>
              <w:top w:w="100" w:type="dxa"/>
              <w:left w:w="40" w:type="dxa"/>
              <w:bottom w:w="100" w:type="dxa"/>
              <w:right w:w="40" w:type="dxa"/>
            </w:tcMar>
            <w:vAlign w:val="center"/>
          </w:tcPr>
          <w:p w14:paraId="552345B3" w14:textId="77777777">
            <w:pPr>
              <w:pStyle w:val="Tabletext"/>
              <w:keepNext/>
              <w:rPr>
                <w:rStyle w:val="Foreign"/>
              </w:rPr>
            </w:pPr>
            <w:r>
              <w:rPr>
                <w:rStyle w:val="Foreign"/>
              </w:rPr>
              <w:t>gīti</w:t>
            </w:r>
          </w:p>
        </w:tc>
        <w:tc>
          <w:tcPr>
            <w:tcW w:w="2148" w:type="pct"/>
            <w:tcBorders>
              <w:bottom w:val="single" w:sz="8" w:space="0" w:color="000000"/>
            </w:tcBorders>
          </w:tcPr>
          <w:p w14:paraId="4535D5C5" w14:textId="77777777">
            <w:pPr>
              <w:pStyle w:val="Tabletext"/>
              <w:keepNext/>
            </w:pPr>
            <w:r>
              <w:t>30 / 30 morae</w:t>
            </w:r>
          </w:p>
        </w:tc>
        <w:tc>
          <w:tcPr>
            <w:tcW w:w="2147" w:type="pct"/>
            <w:tcBorders>
              <w:bottom w:val="single" w:sz="8" w:space="0" w:color="000000"/>
              <w:right w:val="single" w:sz="8" w:space="0" w:color="000000"/>
            </w:tcBorders>
            <w:tcMar>
              <w:top w:w="100" w:type="dxa"/>
              <w:left w:w="40" w:type="dxa"/>
              <w:bottom w:w="100" w:type="dxa"/>
              <w:right w:w="40" w:type="dxa"/>
            </w:tcMar>
            <w:vAlign w:val="bottom"/>
          </w:tcPr>
          <w:p w14:paraId="3D56B611" w14:textId="77777777">
            <w:pPr>
              <w:pStyle w:val="Tabletext"/>
              <w:keepNext/>
            </w:pPr>
            <w:r>
              <w:t>4|4|4|4|4|4|4|2/</w:t>
            </w:r>
          </w:p>
          <w:p w14:paraId="4293794D" w14:textId="77777777">
            <w:pPr>
              <w:pStyle w:val="Tabletext"/>
              <w:keepNext/>
              <w:rPr>
                <w:rStyle w:val="MetreCode"/>
                <w:rFonts w:ascii="Calibri" w:hAnsi="Calibri"/>
              </w:rPr>
            </w:pPr>
            <w:r>
              <w:t>4|4|4|4|4|4|4|2</w:t>
            </w:r>
          </w:p>
        </w:tc>
      </w:tr>
      <w:tr w14:paraId="7B414070" w14:textId="77777777">
        <w:tc>
          <w:tcPr>
            <w:tcW w:w="705" w:type="pct"/>
            <w:tcBorders>
              <w:left w:val="single" w:sz="8" w:space="0" w:color="000000"/>
              <w:bottom w:val="single" w:sz="8" w:space="0" w:color="000000"/>
              <w:right w:val="single" w:sz="8" w:space="0" w:color="000000"/>
            </w:tcBorders>
            <w:shd w:val="clear" w:color="auto" w:fill="F0F7D7"/>
            <w:tcMar>
              <w:top w:w="100" w:type="dxa"/>
              <w:left w:w="40" w:type="dxa"/>
              <w:bottom w:w="100" w:type="dxa"/>
              <w:right w:w="40" w:type="dxa"/>
            </w:tcMar>
            <w:vAlign w:val="center"/>
          </w:tcPr>
          <w:p w14:paraId="7DC501A5" w14:textId="77777777">
            <w:pPr>
              <w:pStyle w:val="Tabletext"/>
              <w:keepNext/>
              <w:rPr>
                <w:rStyle w:val="Foreign"/>
              </w:rPr>
            </w:pPr>
            <w:r>
              <w:rPr>
                <w:rStyle w:val="Foreign"/>
              </w:rPr>
              <w:t>upagīti</w:t>
            </w:r>
          </w:p>
        </w:tc>
        <w:tc>
          <w:tcPr>
            <w:tcW w:w="2148" w:type="pct"/>
            <w:tcBorders>
              <w:bottom w:val="single" w:sz="8" w:space="0" w:color="000000"/>
            </w:tcBorders>
          </w:tcPr>
          <w:p w14:paraId="09DD22B0" w14:textId="77777777">
            <w:pPr>
              <w:pStyle w:val="Tabletext"/>
              <w:keepNext/>
            </w:pPr>
            <w:r>
              <w:t>27 / 27 morae</w:t>
            </w:r>
          </w:p>
        </w:tc>
        <w:tc>
          <w:tcPr>
            <w:tcW w:w="2147" w:type="pct"/>
            <w:tcBorders>
              <w:bottom w:val="single" w:sz="8" w:space="0" w:color="000000"/>
              <w:right w:val="single" w:sz="8" w:space="0" w:color="000000"/>
            </w:tcBorders>
            <w:tcMar>
              <w:top w:w="100" w:type="dxa"/>
              <w:left w:w="40" w:type="dxa"/>
              <w:bottom w:w="100" w:type="dxa"/>
              <w:right w:w="40" w:type="dxa"/>
            </w:tcMar>
            <w:vAlign w:val="bottom"/>
          </w:tcPr>
          <w:p w14:paraId="03886447" w14:textId="77777777">
            <w:pPr>
              <w:pStyle w:val="Tabletext"/>
              <w:keepNext/>
            </w:pPr>
            <w:r>
              <w:t>4|4|4|4|4|1|4|2/</w:t>
            </w:r>
          </w:p>
          <w:p w14:paraId="227B9CF6" w14:textId="77777777">
            <w:pPr>
              <w:pStyle w:val="Tabletext"/>
              <w:keepNext/>
              <w:rPr>
                <w:rStyle w:val="MetreCode"/>
                <w:rFonts w:ascii="Calibri" w:hAnsi="Calibri"/>
              </w:rPr>
            </w:pPr>
            <w:r>
              <w:t>4|4|4|4|4|1|4|2</w:t>
            </w:r>
          </w:p>
        </w:tc>
      </w:tr>
      <w:tr w14:paraId="2E0514E4" w14:textId="77777777">
        <w:tc>
          <w:tcPr>
            <w:tcW w:w="705" w:type="pct"/>
            <w:tcBorders>
              <w:left w:val="single" w:sz="8" w:space="0" w:color="000000"/>
              <w:bottom w:val="single" w:sz="8" w:space="0" w:color="000000"/>
              <w:right w:val="single" w:sz="8" w:space="0" w:color="000000"/>
            </w:tcBorders>
            <w:shd w:val="clear" w:color="auto" w:fill="F0F7D7"/>
            <w:tcMar>
              <w:top w:w="100" w:type="dxa"/>
              <w:left w:w="40" w:type="dxa"/>
              <w:bottom w:w="100" w:type="dxa"/>
              <w:right w:w="40" w:type="dxa"/>
            </w:tcMar>
            <w:vAlign w:val="center"/>
          </w:tcPr>
          <w:p w14:paraId="1151F5F0" w14:textId="77777777">
            <w:pPr>
              <w:pStyle w:val="Tabletext"/>
              <w:keepNext/>
              <w:rPr>
                <w:rStyle w:val="Foreign"/>
              </w:rPr>
            </w:pPr>
            <w:r>
              <w:rPr>
                <w:rStyle w:val="Foreign"/>
              </w:rPr>
              <w:t>udgīti</w:t>
            </w:r>
          </w:p>
        </w:tc>
        <w:tc>
          <w:tcPr>
            <w:tcW w:w="2148" w:type="pct"/>
            <w:tcBorders>
              <w:bottom w:val="single" w:sz="8" w:space="0" w:color="000000"/>
            </w:tcBorders>
          </w:tcPr>
          <w:p w14:paraId="1054A55F" w14:textId="77777777">
            <w:pPr>
              <w:pStyle w:val="Tabletext"/>
              <w:keepNext/>
            </w:pPr>
            <w:r>
              <w:t>27 / 30 morae</w:t>
            </w:r>
          </w:p>
        </w:tc>
        <w:tc>
          <w:tcPr>
            <w:tcW w:w="2147" w:type="pct"/>
            <w:tcBorders>
              <w:bottom w:val="single" w:sz="8" w:space="0" w:color="000000"/>
              <w:right w:val="single" w:sz="8" w:space="0" w:color="000000"/>
            </w:tcBorders>
            <w:tcMar>
              <w:top w:w="100" w:type="dxa"/>
              <w:left w:w="40" w:type="dxa"/>
              <w:bottom w:w="100" w:type="dxa"/>
              <w:right w:w="40" w:type="dxa"/>
            </w:tcMar>
            <w:vAlign w:val="bottom"/>
          </w:tcPr>
          <w:p w14:paraId="1A58F54C" w14:textId="77777777">
            <w:pPr>
              <w:pStyle w:val="Tabletext"/>
              <w:keepNext/>
            </w:pPr>
            <w:r>
              <w:t>4|4|4|4|4|1|4|2/</w:t>
            </w:r>
          </w:p>
          <w:p w14:paraId="61C71888" w14:textId="77777777">
            <w:pPr>
              <w:pStyle w:val="Tabletext"/>
              <w:keepNext/>
              <w:rPr>
                <w:rStyle w:val="MetreCode"/>
                <w:rFonts w:ascii="Calibri" w:hAnsi="Calibri"/>
              </w:rPr>
            </w:pPr>
            <w:r>
              <w:t>4|4|4|4|4|1|4|2</w:t>
            </w:r>
          </w:p>
        </w:tc>
      </w:tr>
      <w:tr w14:paraId="69C0C352" w14:textId="77777777">
        <w:tc>
          <w:tcPr>
            <w:tcW w:w="705" w:type="pct"/>
            <w:tcBorders>
              <w:left w:val="single" w:sz="8" w:space="0" w:color="000000"/>
              <w:bottom w:val="single" w:sz="8" w:space="0" w:color="000000"/>
              <w:right w:val="single" w:sz="8" w:space="0" w:color="000000"/>
            </w:tcBorders>
            <w:shd w:val="clear" w:color="auto" w:fill="F0F7D7"/>
            <w:tcMar>
              <w:top w:w="100" w:type="dxa"/>
              <w:left w:w="40" w:type="dxa"/>
              <w:bottom w:w="100" w:type="dxa"/>
              <w:right w:w="40" w:type="dxa"/>
            </w:tcMar>
            <w:vAlign w:val="center"/>
          </w:tcPr>
          <w:p w14:paraId="13FF2F7F" w14:textId="77777777">
            <w:pPr>
              <w:pStyle w:val="Tabletext"/>
              <w:keepNext/>
              <w:rPr>
                <w:rStyle w:val="Foreign"/>
              </w:rPr>
            </w:pPr>
            <w:r>
              <w:rPr>
                <w:rStyle w:val="Foreign"/>
              </w:rPr>
              <w:t>āryāgīti</w:t>
            </w:r>
          </w:p>
        </w:tc>
        <w:tc>
          <w:tcPr>
            <w:tcW w:w="2148" w:type="pct"/>
            <w:tcBorders>
              <w:bottom w:val="single" w:sz="8" w:space="0" w:color="000000"/>
            </w:tcBorders>
          </w:tcPr>
          <w:p w14:paraId="3FCDC53F" w14:textId="77777777">
            <w:pPr>
              <w:pStyle w:val="Tabletext"/>
              <w:keepNext/>
            </w:pPr>
            <w:r>
              <w:t>32 / 32 morae</w:t>
            </w:r>
          </w:p>
        </w:tc>
        <w:tc>
          <w:tcPr>
            <w:tcW w:w="2147" w:type="pct"/>
            <w:tcBorders>
              <w:bottom w:val="single" w:sz="8" w:space="0" w:color="000000"/>
              <w:right w:val="single" w:sz="8" w:space="0" w:color="000000"/>
            </w:tcBorders>
            <w:tcMar>
              <w:top w:w="100" w:type="dxa"/>
              <w:left w:w="40" w:type="dxa"/>
              <w:bottom w:w="100" w:type="dxa"/>
              <w:right w:w="40" w:type="dxa"/>
            </w:tcMar>
            <w:vAlign w:val="bottom"/>
          </w:tcPr>
          <w:p w14:paraId="5414DEDF" w14:textId="77777777">
            <w:pPr>
              <w:pStyle w:val="Tabletext"/>
              <w:keepNext/>
            </w:pPr>
            <w:r>
              <w:t>4|4|4|4|4|4|4|4/</w:t>
            </w:r>
          </w:p>
          <w:p w14:paraId="3FB6FAD0" w14:textId="77777777">
            <w:pPr>
              <w:pStyle w:val="Tabletext"/>
              <w:keepNext/>
            </w:pPr>
            <w:r>
              <w:t>4|4|4|4|4|4|4|4</w:t>
            </w:r>
          </w:p>
        </w:tc>
      </w:tr>
      <w:tr w14:paraId="0466DD0D" w14:textId="77777777">
        <w:tc>
          <w:tcPr>
            <w:tcW w:w="5000" w:type="pct"/>
            <w:gridSpan w:val="3"/>
            <w:tcBorders>
              <w:left w:val="single" w:sz="8" w:space="0" w:color="000000"/>
              <w:bottom w:val="single" w:sz="8" w:space="0" w:color="000000"/>
              <w:right w:val="single" w:sz="8" w:space="0" w:color="000000"/>
            </w:tcBorders>
            <w:shd w:val="clear" w:color="auto" w:fill="F0F7D7"/>
            <w:tcMar>
              <w:top w:w="100" w:type="dxa"/>
              <w:left w:w="40" w:type="dxa"/>
              <w:bottom w:w="100" w:type="dxa"/>
              <w:right w:w="40" w:type="dxa"/>
            </w:tcMar>
            <w:vAlign w:val="center"/>
          </w:tcPr>
          <w:p w14:paraId="2311FEC0" w14:textId="77777777">
            <w:pPr>
              <w:pStyle w:val="Tabletext"/>
              <w:keepNext/>
              <w:jc w:val="center"/>
            </w:pPr>
            <w:r>
              <w:t>uncommon combinations</w:t>
            </w:r>
          </w:p>
        </w:tc>
      </w:tr>
      <w:tr w14:paraId="1598045B" w14:textId="77777777">
        <w:tc>
          <w:tcPr>
            <w:tcW w:w="705" w:type="pct"/>
            <w:tcBorders>
              <w:left w:val="single" w:sz="8" w:space="0" w:color="000000"/>
              <w:bottom w:val="single" w:sz="8" w:space="0" w:color="000000"/>
              <w:right w:val="single" w:sz="8" w:space="0" w:color="000000"/>
            </w:tcBorders>
            <w:shd w:val="clear" w:color="auto" w:fill="F0F7D7"/>
            <w:tcMar>
              <w:top w:w="100" w:type="dxa"/>
              <w:left w:w="40" w:type="dxa"/>
              <w:bottom w:w="100" w:type="dxa"/>
              <w:right w:w="40" w:type="dxa"/>
            </w:tcMar>
            <w:vAlign w:val="center"/>
          </w:tcPr>
          <w:p w14:paraId="793AF244" w14:textId="77777777">
            <w:pPr>
              <w:pStyle w:val="Tabletext"/>
              <w:keepNext/>
              <w:rPr>
                <w:rStyle w:val="Foreign"/>
              </w:rPr>
            </w:pPr>
            <w:r>
              <w:rPr>
                <w:rStyle w:val="Foreign"/>
              </w:rPr>
              <w:t>sugīti</w:t>
            </w:r>
          </w:p>
        </w:tc>
        <w:tc>
          <w:tcPr>
            <w:tcW w:w="2148" w:type="pct"/>
            <w:tcBorders>
              <w:bottom w:val="single" w:sz="8" w:space="0" w:color="000000"/>
            </w:tcBorders>
          </w:tcPr>
          <w:p w14:paraId="656D23E5" w14:textId="77777777">
            <w:pPr>
              <w:pStyle w:val="Tabletext"/>
              <w:keepNext/>
            </w:pPr>
            <w:r>
              <w:t>32 / 27 morae</w:t>
            </w:r>
          </w:p>
        </w:tc>
        <w:tc>
          <w:tcPr>
            <w:tcW w:w="2147" w:type="pct"/>
            <w:tcBorders>
              <w:bottom w:val="single" w:sz="8" w:space="0" w:color="000000"/>
              <w:right w:val="single" w:sz="8" w:space="0" w:color="000000"/>
            </w:tcBorders>
            <w:tcMar>
              <w:top w:w="100" w:type="dxa"/>
              <w:left w:w="40" w:type="dxa"/>
              <w:bottom w:w="100" w:type="dxa"/>
              <w:right w:w="40" w:type="dxa"/>
            </w:tcMar>
            <w:vAlign w:val="bottom"/>
          </w:tcPr>
          <w:p w14:paraId="2706F883" w14:textId="77777777">
            <w:pPr>
              <w:pStyle w:val="Tabletext"/>
              <w:keepNext/>
            </w:pPr>
            <w:r>
              <w:t>4|4|4|4|4|4|4|4/</w:t>
            </w:r>
          </w:p>
          <w:p w14:paraId="517877C8" w14:textId="77777777">
            <w:pPr>
              <w:pStyle w:val="Tabletext"/>
              <w:keepNext/>
            </w:pPr>
            <w:r>
              <w:t>4|4|4|4|4|1|4|2</w:t>
            </w:r>
          </w:p>
        </w:tc>
      </w:tr>
      <w:tr w14:paraId="6F9FD4FE" w14:textId="77777777">
        <w:tc>
          <w:tcPr>
            <w:tcW w:w="705" w:type="pct"/>
            <w:tcBorders>
              <w:left w:val="single" w:sz="8" w:space="0" w:color="000000"/>
              <w:bottom w:val="single" w:sz="8" w:space="0" w:color="000000"/>
              <w:right w:val="single" w:sz="8" w:space="0" w:color="000000"/>
            </w:tcBorders>
            <w:shd w:val="clear" w:color="auto" w:fill="F0F7D7"/>
            <w:tcMar>
              <w:top w:w="100" w:type="dxa"/>
              <w:left w:w="40" w:type="dxa"/>
              <w:bottom w:w="100" w:type="dxa"/>
              <w:right w:w="40" w:type="dxa"/>
            </w:tcMar>
            <w:vAlign w:val="center"/>
          </w:tcPr>
          <w:p w14:paraId="03EBE297" w14:textId="77777777">
            <w:pPr>
              <w:pStyle w:val="Tabletext"/>
              <w:keepNext/>
              <w:rPr>
                <w:rStyle w:val="Foreign"/>
              </w:rPr>
            </w:pPr>
            <w:r>
              <w:rPr>
                <w:rStyle w:val="Foreign"/>
              </w:rPr>
              <w:t>anugīti</w:t>
            </w:r>
          </w:p>
        </w:tc>
        <w:tc>
          <w:tcPr>
            <w:tcW w:w="2148" w:type="pct"/>
            <w:tcBorders>
              <w:bottom w:val="single" w:sz="8" w:space="0" w:color="000000"/>
            </w:tcBorders>
          </w:tcPr>
          <w:p w14:paraId="0B6071EE" w14:textId="77777777">
            <w:pPr>
              <w:pStyle w:val="Tabletext"/>
              <w:keepNext/>
            </w:pPr>
            <w:r>
              <w:t>27 / 32 morae</w:t>
            </w:r>
          </w:p>
        </w:tc>
        <w:tc>
          <w:tcPr>
            <w:tcW w:w="2147" w:type="pct"/>
            <w:tcBorders>
              <w:bottom w:val="single" w:sz="8" w:space="0" w:color="000000"/>
              <w:right w:val="single" w:sz="8" w:space="0" w:color="000000"/>
            </w:tcBorders>
            <w:tcMar>
              <w:top w:w="100" w:type="dxa"/>
              <w:left w:w="40" w:type="dxa"/>
              <w:bottom w:w="100" w:type="dxa"/>
              <w:right w:w="40" w:type="dxa"/>
            </w:tcMar>
            <w:vAlign w:val="bottom"/>
          </w:tcPr>
          <w:p w14:paraId="0DFF7E59" w14:textId="77777777">
            <w:pPr>
              <w:pStyle w:val="Tabletext"/>
              <w:keepNext/>
            </w:pPr>
            <w:r>
              <w:t>4|4|4|4|4|1|4|2/</w:t>
            </w:r>
          </w:p>
          <w:p w14:paraId="1D9EC95E" w14:textId="77777777">
            <w:pPr>
              <w:pStyle w:val="Tabletext"/>
              <w:keepNext/>
            </w:pPr>
            <w:r>
              <w:t>4|4|4|4|4|4|4|4</w:t>
            </w:r>
          </w:p>
        </w:tc>
      </w:tr>
      <w:tr w14:paraId="2E0C4662" w14:textId="77777777">
        <w:tc>
          <w:tcPr>
            <w:tcW w:w="705" w:type="pct"/>
            <w:tcBorders>
              <w:left w:val="single" w:sz="8" w:space="0" w:color="000000"/>
              <w:bottom w:val="single" w:sz="8" w:space="0" w:color="000000"/>
              <w:right w:val="single" w:sz="8" w:space="0" w:color="000000"/>
            </w:tcBorders>
            <w:shd w:val="clear" w:color="auto" w:fill="F0F7D7"/>
            <w:tcMar>
              <w:top w:w="100" w:type="dxa"/>
              <w:left w:w="40" w:type="dxa"/>
              <w:bottom w:w="100" w:type="dxa"/>
              <w:right w:w="40" w:type="dxa"/>
            </w:tcMar>
            <w:vAlign w:val="center"/>
          </w:tcPr>
          <w:p w14:paraId="61BAF6CD" w14:textId="77777777">
            <w:pPr>
              <w:pStyle w:val="Tabletext"/>
              <w:keepNext/>
              <w:rPr>
                <w:rStyle w:val="Foreign"/>
              </w:rPr>
            </w:pPr>
            <w:r>
              <w:rPr>
                <w:rStyle w:val="Foreign"/>
              </w:rPr>
              <w:t>vallarī</w:t>
            </w:r>
          </w:p>
        </w:tc>
        <w:tc>
          <w:tcPr>
            <w:tcW w:w="2148" w:type="pct"/>
            <w:tcBorders>
              <w:bottom w:val="single" w:sz="8" w:space="0" w:color="000000"/>
            </w:tcBorders>
          </w:tcPr>
          <w:p w14:paraId="5C9B1147" w14:textId="77777777">
            <w:pPr>
              <w:pStyle w:val="Tabletext"/>
              <w:keepNext/>
            </w:pPr>
            <w:r>
              <w:t>32 / 30 morae</w:t>
            </w:r>
          </w:p>
        </w:tc>
        <w:tc>
          <w:tcPr>
            <w:tcW w:w="2147" w:type="pct"/>
            <w:tcBorders>
              <w:bottom w:val="single" w:sz="8" w:space="0" w:color="000000"/>
              <w:right w:val="single" w:sz="8" w:space="0" w:color="000000"/>
            </w:tcBorders>
            <w:tcMar>
              <w:top w:w="100" w:type="dxa"/>
              <w:left w:w="40" w:type="dxa"/>
              <w:bottom w:w="100" w:type="dxa"/>
              <w:right w:w="40" w:type="dxa"/>
            </w:tcMar>
            <w:vAlign w:val="bottom"/>
          </w:tcPr>
          <w:p w14:paraId="43F2C5D5" w14:textId="77777777">
            <w:pPr>
              <w:pStyle w:val="Tabletext"/>
              <w:keepNext/>
            </w:pPr>
            <w:r>
              <w:t>4|4|4|4|4|4|4|4/</w:t>
            </w:r>
          </w:p>
          <w:p w14:paraId="539C4B94" w14:textId="77777777">
            <w:pPr>
              <w:pStyle w:val="Tabletext"/>
              <w:keepNext/>
            </w:pPr>
            <w:r>
              <w:t>4|4|4|4|4|4|4|2</w:t>
            </w:r>
          </w:p>
        </w:tc>
      </w:tr>
      <w:tr w14:paraId="01BD3DA8" w14:textId="77777777">
        <w:tc>
          <w:tcPr>
            <w:tcW w:w="705" w:type="pct"/>
            <w:tcBorders>
              <w:left w:val="single" w:sz="8" w:space="0" w:color="000000"/>
              <w:bottom w:val="single" w:sz="8" w:space="0" w:color="000000"/>
              <w:right w:val="single" w:sz="8" w:space="0" w:color="000000"/>
            </w:tcBorders>
            <w:shd w:val="clear" w:color="auto" w:fill="F0F7D7"/>
            <w:tcMar>
              <w:top w:w="100" w:type="dxa"/>
              <w:left w:w="40" w:type="dxa"/>
              <w:bottom w:w="100" w:type="dxa"/>
              <w:right w:w="40" w:type="dxa"/>
            </w:tcMar>
            <w:vAlign w:val="center"/>
          </w:tcPr>
          <w:p w14:paraId="27F4DA5F" w14:textId="77777777">
            <w:pPr>
              <w:pStyle w:val="Tabletext"/>
              <w:rPr>
                <w:rStyle w:val="Foreign"/>
              </w:rPr>
            </w:pPr>
            <w:r>
              <w:rPr>
                <w:rStyle w:val="Foreign"/>
              </w:rPr>
              <w:t>lalitā</w:t>
            </w:r>
          </w:p>
        </w:tc>
        <w:tc>
          <w:tcPr>
            <w:tcW w:w="2148" w:type="pct"/>
            <w:tcBorders>
              <w:bottom w:val="single" w:sz="8" w:space="0" w:color="000000"/>
            </w:tcBorders>
          </w:tcPr>
          <w:p w14:paraId="776A2DE6" w14:textId="77777777">
            <w:pPr>
              <w:pStyle w:val="Tabletext"/>
            </w:pPr>
            <w:r>
              <w:t>30 / 32 morae</w:t>
            </w:r>
          </w:p>
        </w:tc>
        <w:tc>
          <w:tcPr>
            <w:tcW w:w="2147" w:type="pct"/>
            <w:tcBorders>
              <w:bottom w:val="single" w:sz="8" w:space="0" w:color="000000"/>
              <w:right w:val="single" w:sz="8" w:space="0" w:color="000000"/>
            </w:tcBorders>
            <w:tcMar>
              <w:top w:w="100" w:type="dxa"/>
              <w:left w:w="40" w:type="dxa"/>
              <w:bottom w:w="100" w:type="dxa"/>
              <w:right w:w="40" w:type="dxa"/>
            </w:tcMar>
            <w:vAlign w:val="bottom"/>
          </w:tcPr>
          <w:p w14:paraId="3F6FC405" w14:textId="77777777">
            <w:pPr>
              <w:pStyle w:val="Tabletext"/>
              <w:rPr>
                <w:rStyle w:val="MetreCode"/>
                <w:rFonts w:ascii="Calibri" w:hAnsi="Calibri"/>
              </w:rPr>
            </w:pPr>
            <w:r>
              <w:t>4|4|4|4|4|4|4|2</w:t>
            </w:r>
          </w:p>
          <w:p w14:paraId="3DBFCA36" w14:textId="77777777">
            <w:pPr>
              <w:pStyle w:val="Tabletext"/>
              <w:rPr>
                <w:rStyle w:val="MetreCode"/>
                <w:rFonts w:ascii="Calibri" w:hAnsi="Calibri"/>
              </w:rPr>
            </w:pPr>
            <w:r>
              <w:t>4|4|4|4|4|4|4|4</w:t>
            </w:r>
          </w:p>
        </w:tc>
      </w:tr>
    </w:tbl>
    <w:p w14:paraId="53F306CF" w14:textId="77777777">
      <w:bookmarkStart w:id="41" w:name="_Ref44134646"/>
    </w:p>
    <w:p w14:paraId="2D59168F" w14:textId="77777777">
      <w:pPr>
        <w:pStyle w:val="Kpalrs"/>
        <w:keepNext/>
      </w:pPr>
      <w:bookmarkStart w:id="42" w:name="_Ref240536641"/>
      <w:r>
        <w:t xml:space="preserve">Table </w:t>
      </w:r>
      <w:fldSimple w:instr=" SEQ Table \* ARABIC ">
        <w:r>
          <w:rPr>
            <w:noProof/>
          </w:rPr>
          <w:t>7</w:t>
        </w:r>
      </w:fldSimple>
      <w:bookmarkEnd w:id="42"/>
      <w:r>
        <w:t>. Names for moraic metres with various hemistich lengths</w:t>
      </w:r>
    </w:p>
    <w:tbl>
      <w:tblPr>
        <w:tblStyle w:val="FigureTable"/>
        <w:tblW w:w="0" w:type="auto"/>
        <w:jc w:val="center"/>
        <w:tblLook w:val="04A0" w:firstRow="1" w:lastRow="0" w:firstColumn="1" w:lastColumn="0" w:noHBand="0" w:noVBand="1"/>
      </w:tblPr>
      <w:tblGrid>
        <w:gridCol w:w="1488"/>
        <w:gridCol w:w="1489"/>
        <w:gridCol w:w="1488"/>
        <w:gridCol w:w="1489"/>
      </w:tblGrid>
      <w:tr w14:paraId="143CFE1E" w14:textId="77777777">
        <w:trPr>
          <w:cnfStyle w:val="100000000000" w:firstRow="1" w:lastRow="0" w:firstColumn="0" w:lastColumn="0" w:oddVBand="0" w:evenVBand="0" w:oddHBand="0" w:evenHBand="0" w:firstRowFirstColumn="0" w:firstRowLastColumn="0" w:lastRowFirstColumn="0" w:lastRowLastColumn="0"/>
          <w:jc w:val="center"/>
        </w:trPr>
        <w:tc>
          <w:tcPr>
            <w:tcW w:w="1488" w:type="dxa"/>
            <w:tcBorders>
              <w:right w:val="single" w:sz="4" w:space="0" w:color="auto"/>
            </w:tcBorders>
          </w:tcPr>
          <w:p w14:paraId="4DC330E2" w14:textId="77777777">
            <w:pPr>
              <w:pStyle w:val="Tabletext"/>
              <w:jc w:val="right"/>
            </w:pPr>
            <w:r>
              <w:t>ab →</w:t>
            </w:r>
          </w:p>
          <w:p w14:paraId="54372C23" w14:textId="77777777">
            <w:pPr>
              <w:pStyle w:val="Tabletext"/>
              <w:jc w:val="center"/>
            </w:pPr>
            <w:r>
              <w:t>cd ↓</w:t>
            </w:r>
          </w:p>
        </w:tc>
        <w:tc>
          <w:tcPr>
            <w:tcW w:w="1489" w:type="dxa"/>
            <w:tcBorders>
              <w:left w:val="single" w:sz="4" w:space="0" w:color="auto"/>
            </w:tcBorders>
          </w:tcPr>
          <w:p w14:paraId="63A512FB" w14:textId="77777777">
            <w:pPr>
              <w:pStyle w:val="Tabletext"/>
              <w:jc w:val="center"/>
            </w:pPr>
            <w:r>
              <w:t>27</w:t>
            </w:r>
          </w:p>
        </w:tc>
        <w:tc>
          <w:tcPr>
            <w:tcW w:w="1488" w:type="dxa"/>
          </w:tcPr>
          <w:p w14:paraId="4ED5FFF9" w14:textId="77777777">
            <w:pPr>
              <w:pStyle w:val="Tabletext"/>
              <w:jc w:val="center"/>
            </w:pPr>
            <w:r>
              <w:t>30</w:t>
            </w:r>
          </w:p>
        </w:tc>
        <w:tc>
          <w:tcPr>
            <w:tcW w:w="1489" w:type="dxa"/>
          </w:tcPr>
          <w:p w14:paraId="02C9D6AB" w14:textId="77777777">
            <w:pPr>
              <w:pStyle w:val="Tabletext"/>
              <w:jc w:val="center"/>
            </w:pPr>
            <w:r>
              <w:t>32</w:t>
            </w:r>
          </w:p>
        </w:tc>
      </w:tr>
      <w:tr w14:paraId="31EA4E86" w14:textId="77777777">
        <w:trPr>
          <w:jc w:val="center"/>
        </w:trPr>
        <w:tc>
          <w:tcPr>
            <w:tcW w:w="1488" w:type="dxa"/>
            <w:tcBorders>
              <w:right w:val="single" w:sz="4" w:space="0" w:color="auto"/>
            </w:tcBorders>
            <w:shd w:val="clear" w:color="auto" w:fill="F0F7D7"/>
          </w:tcPr>
          <w:p w14:paraId="02ED8DE3" w14:textId="77777777">
            <w:pPr>
              <w:pStyle w:val="Tabletext"/>
              <w:jc w:val="center"/>
            </w:pPr>
            <w:r>
              <w:t>27</w:t>
            </w:r>
          </w:p>
        </w:tc>
        <w:tc>
          <w:tcPr>
            <w:tcW w:w="1489" w:type="dxa"/>
            <w:tcBorders>
              <w:left w:val="single" w:sz="4" w:space="0" w:color="auto"/>
            </w:tcBorders>
          </w:tcPr>
          <w:p w14:paraId="6E68DE6E" w14:textId="77777777">
            <w:pPr>
              <w:pStyle w:val="Tabletext"/>
              <w:jc w:val="center"/>
              <w:rPr>
                <w:rStyle w:val="Foreign"/>
              </w:rPr>
            </w:pPr>
            <w:r>
              <w:rPr>
                <w:rStyle w:val="Foreign"/>
              </w:rPr>
              <w:t>upagīti</w:t>
            </w:r>
          </w:p>
        </w:tc>
        <w:tc>
          <w:tcPr>
            <w:tcW w:w="1488" w:type="dxa"/>
          </w:tcPr>
          <w:p w14:paraId="482A1F2B" w14:textId="77777777">
            <w:pPr>
              <w:pStyle w:val="Tabletext"/>
              <w:jc w:val="center"/>
              <w:rPr>
                <w:rStyle w:val="Foreign"/>
              </w:rPr>
            </w:pPr>
            <w:r>
              <w:rPr>
                <w:rStyle w:val="Foreign"/>
              </w:rPr>
              <w:t>āryā</w:t>
            </w:r>
          </w:p>
        </w:tc>
        <w:tc>
          <w:tcPr>
            <w:tcW w:w="1489" w:type="dxa"/>
            <w:shd w:val="clear" w:color="auto" w:fill="FFFF00"/>
          </w:tcPr>
          <w:p w14:paraId="12FA931C" w14:textId="77777777">
            <w:pPr>
              <w:pStyle w:val="Tabletext"/>
              <w:jc w:val="center"/>
              <w:rPr>
                <w:rStyle w:val="Foreign"/>
              </w:rPr>
            </w:pPr>
            <w:r>
              <w:rPr>
                <w:rStyle w:val="Foreign"/>
              </w:rPr>
              <w:t>sugīti</w:t>
            </w:r>
          </w:p>
        </w:tc>
      </w:tr>
      <w:tr w14:paraId="745F5B58" w14:textId="77777777">
        <w:trPr>
          <w:jc w:val="center"/>
        </w:trPr>
        <w:tc>
          <w:tcPr>
            <w:tcW w:w="1488" w:type="dxa"/>
            <w:tcBorders>
              <w:right w:val="single" w:sz="4" w:space="0" w:color="auto"/>
            </w:tcBorders>
            <w:shd w:val="clear" w:color="auto" w:fill="F0F7D7"/>
          </w:tcPr>
          <w:p w14:paraId="04D32ABF" w14:textId="77777777">
            <w:pPr>
              <w:pStyle w:val="Tabletext"/>
              <w:jc w:val="center"/>
            </w:pPr>
            <w:r>
              <w:t>30</w:t>
            </w:r>
          </w:p>
        </w:tc>
        <w:tc>
          <w:tcPr>
            <w:tcW w:w="1489" w:type="dxa"/>
            <w:tcBorders>
              <w:left w:val="single" w:sz="4" w:space="0" w:color="auto"/>
            </w:tcBorders>
          </w:tcPr>
          <w:p w14:paraId="341BA07A" w14:textId="77777777">
            <w:pPr>
              <w:pStyle w:val="Tabletext"/>
              <w:jc w:val="center"/>
              <w:rPr>
                <w:rStyle w:val="Foreign"/>
              </w:rPr>
            </w:pPr>
            <w:r>
              <w:rPr>
                <w:rStyle w:val="Foreign"/>
              </w:rPr>
              <w:t>udgīti</w:t>
            </w:r>
          </w:p>
        </w:tc>
        <w:tc>
          <w:tcPr>
            <w:tcW w:w="1488" w:type="dxa"/>
          </w:tcPr>
          <w:p w14:paraId="22E83FEA" w14:textId="77777777">
            <w:pPr>
              <w:pStyle w:val="Tabletext"/>
              <w:jc w:val="center"/>
              <w:rPr>
                <w:rStyle w:val="Foreign"/>
              </w:rPr>
            </w:pPr>
            <w:r>
              <w:rPr>
                <w:rStyle w:val="Foreign"/>
              </w:rPr>
              <w:t>gīti</w:t>
            </w:r>
          </w:p>
        </w:tc>
        <w:tc>
          <w:tcPr>
            <w:tcW w:w="1489" w:type="dxa"/>
            <w:shd w:val="clear" w:color="auto" w:fill="FFFF00"/>
          </w:tcPr>
          <w:p w14:paraId="42E8B472" w14:textId="77777777">
            <w:pPr>
              <w:pStyle w:val="Tabletext"/>
              <w:jc w:val="center"/>
              <w:rPr>
                <w:rStyle w:val="Foreign"/>
              </w:rPr>
            </w:pPr>
            <w:r>
              <w:rPr>
                <w:rStyle w:val="Foreign"/>
              </w:rPr>
              <w:t>vallarī</w:t>
            </w:r>
          </w:p>
        </w:tc>
      </w:tr>
      <w:tr w14:paraId="43B05E39" w14:textId="77777777">
        <w:trPr>
          <w:jc w:val="center"/>
        </w:trPr>
        <w:tc>
          <w:tcPr>
            <w:tcW w:w="1488" w:type="dxa"/>
            <w:tcBorders>
              <w:right w:val="single" w:sz="4" w:space="0" w:color="auto"/>
            </w:tcBorders>
            <w:shd w:val="clear" w:color="auto" w:fill="F0F7D7"/>
          </w:tcPr>
          <w:p w14:paraId="09402852" w14:textId="77777777">
            <w:pPr>
              <w:pStyle w:val="Tabletext"/>
              <w:jc w:val="center"/>
            </w:pPr>
            <w:r>
              <w:t>32</w:t>
            </w:r>
          </w:p>
        </w:tc>
        <w:tc>
          <w:tcPr>
            <w:tcW w:w="1489" w:type="dxa"/>
            <w:tcBorders>
              <w:left w:val="single" w:sz="4" w:space="0" w:color="auto"/>
            </w:tcBorders>
            <w:shd w:val="clear" w:color="auto" w:fill="FFFF00"/>
          </w:tcPr>
          <w:p w14:paraId="7D57943F" w14:textId="77777777">
            <w:pPr>
              <w:pStyle w:val="Tabletext"/>
              <w:jc w:val="center"/>
              <w:rPr>
                <w:rStyle w:val="Foreign"/>
              </w:rPr>
            </w:pPr>
            <w:r>
              <w:rPr>
                <w:rStyle w:val="Foreign"/>
              </w:rPr>
              <w:t>anugīti</w:t>
            </w:r>
          </w:p>
        </w:tc>
        <w:tc>
          <w:tcPr>
            <w:tcW w:w="1488" w:type="dxa"/>
            <w:shd w:val="clear" w:color="auto" w:fill="FFFF00"/>
          </w:tcPr>
          <w:p w14:paraId="23DF3983" w14:textId="77777777">
            <w:pPr>
              <w:pStyle w:val="Tabletext"/>
              <w:jc w:val="center"/>
              <w:rPr>
                <w:rStyle w:val="Foreign"/>
              </w:rPr>
            </w:pPr>
            <w:r>
              <w:rPr>
                <w:rStyle w:val="Foreign"/>
              </w:rPr>
              <w:t>lalitā</w:t>
            </w:r>
          </w:p>
        </w:tc>
        <w:tc>
          <w:tcPr>
            <w:tcW w:w="1489" w:type="dxa"/>
          </w:tcPr>
          <w:p w14:paraId="45AE1D8C" w14:textId="77777777">
            <w:pPr>
              <w:pStyle w:val="Tabletext"/>
              <w:jc w:val="center"/>
              <w:rPr>
                <w:rStyle w:val="Foreign"/>
              </w:rPr>
            </w:pPr>
            <w:r>
              <w:rPr>
                <w:rStyle w:val="Foreign"/>
              </w:rPr>
              <w:t>āryāgīti</w:t>
            </w:r>
          </w:p>
        </w:tc>
      </w:tr>
    </w:tbl>
    <w:p w14:paraId="601B8CCB" w14:textId="77777777"/>
    <w:bookmarkEnd w:id="41"/>
    <w:p w14:paraId="1BF52AA7" w14:textId="77777777">
      <w:pPr>
        <w:pStyle w:val="Cmsor2"/>
        <w:rPr>
          <w:rStyle w:val="Codeattribute"/>
          <w:rFonts w:ascii="Gentium Plus" w:hAnsi="Gentium Plus" w:cs="Arial Unicode MS"/>
          <w:noProof w:val="0"/>
          <w:color w:val="auto"/>
          <w:shd w:val="clear" w:color="auto" w:fill="auto"/>
        </w:rPr>
      </w:pPr>
      <w:r>
        <w:rPr>
          <w:rStyle w:val="Codeattribute"/>
          <w:rFonts w:ascii="Gentium Plus" w:hAnsi="Gentium Plus" w:cs="Arial Unicode MS"/>
          <w:noProof w:val="0"/>
          <w:color w:val="auto"/>
          <w:shd w:val="clear" w:color="auto" w:fill="auto"/>
        </w:rPr>
        <w:t>Metres combining syllabic and moraic cola</w:t>
      </w:r>
    </w:p>
    <w:p w14:paraId="27721984" w14:textId="77777777">
      <w:pPr>
        <w:pStyle w:val="Cmsor3"/>
      </w:pPr>
      <w:bookmarkStart w:id="43" w:name="_Ref43991854"/>
      <w:bookmarkStart w:id="44" w:name="_Toc233988980"/>
      <w:r>
        <w:t xml:space="preserve">The </w:t>
      </w:r>
      <w:r>
        <w:rPr>
          <w:rStyle w:val="Foreign"/>
        </w:rPr>
        <w:t>vaitālīya</w:t>
      </w:r>
      <w:r>
        <w:t xml:space="preserve"> group</w:t>
      </w:r>
      <w:bookmarkEnd w:id="43"/>
      <w:bookmarkEnd w:id="44"/>
    </w:p>
    <w:p w14:paraId="5F49B66A" w14:textId="77777777">
      <w:r>
        <w:t xml:space="preserve">This group of </w:t>
      </w:r>
      <w:r>
        <w:rPr>
          <w:rStyle w:val="Foreign"/>
        </w:rPr>
        <w:t>ardhasama</w:t>
      </w:r>
      <w:r>
        <w:t xml:space="preserve"> metres involves a loose moraic template for the first part of each line (the opening) and a syllabic template for the final part of each line (the cadence). All of these metres have an opening of six morae in the odd lines and eight morae in the even lines, followed by a cadence of five or six syllables distinctive of the metre, illustrated in </w:t>
      </w:r>
      <w:r>
        <w:fldChar w:fldCharType="begin"/>
      </w:r>
      <w:r>
        <w:instrText xml:space="preserve"> REF _Ref240538811 \h </w:instrText>
      </w:r>
      <w:r>
        <w:fldChar w:fldCharType="separate"/>
      </w:r>
      <w:r>
        <w:t xml:space="preserve">Table </w:t>
      </w:r>
      <w:r>
        <w:rPr>
          <w:noProof/>
        </w:rPr>
        <w:t>8</w:t>
      </w:r>
      <w:r>
        <w:fldChar w:fldCharType="end"/>
      </w:r>
      <w:r>
        <w:t>.</w:t>
      </w:r>
    </w:p>
    <w:p w14:paraId="29E7FC11" w14:textId="77777777">
      <w:pPr>
        <w:pStyle w:val="Lista"/>
      </w:pPr>
      <w:r>
        <w:t>the following constraints apply to the moraic opening</w:t>
      </w:r>
    </w:p>
    <w:p w14:paraId="43BDDFCF" w14:textId="77777777">
      <w:pPr>
        <w:pStyle w:val="Lista2"/>
      </w:pPr>
      <w:r>
        <w:t>none of the even morae may belong to a long syllable shared with the next mora</w:t>
      </w:r>
    </w:p>
    <w:p w14:paraId="663FD48D" w14:textId="77777777">
      <w:pPr>
        <w:pStyle w:val="Lista3"/>
      </w:pPr>
      <w:r>
        <w:t xml:space="preserve">in other words, the openings may be understood as consisting of bimoraic feet (as shown in </w:t>
      </w:r>
      <w:r>
        <w:fldChar w:fldCharType="begin"/>
      </w:r>
      <w:r>
        <w:instrText xml:space="preserve"> REF _Ref240538811 \h </w:instrText>
      </w:r>
      <w:r>
        <w:fldChar w:fldCharType="separate"/>
      </w:r>
      <w:r>
        <w:t xml:space="preserve">Table </w:t>
      </w:r>
      <w:r>
        <w:rPr>
          <w:noProof/>
        </w:rPr>
        <w:t>8</w:t>
      </w:r>
      <w:r>
        <w:fldChar w:fldCharType="end"/>
      </w:r>
      <w:r>
        <w:t>) or as a series of units comprised of one long or two short syllables (as shown in the formulae below)</w:t>
      </w:r>
    </w:p>
    <w:p w14:paraId="39CA0296" w14:textId="77777777">
      <w:pPr>
        <w:pStyle w:val="Lista2"/>
        <w:rPr>
          <w:rStyle w:val="Foreign"/>
          <w:i w:val="0"/>
          <w:iCs w:val="0"/>
          <w:noProof w:val="0"/>
        </w:rPr>
      </w:pPr>
      <w:r>
        <w:rPr>
          <w:rStyle w:val="Foreign"/>
          <w:i w:val="0"/>
          <w:iCs w:val="0"/>
          <w:noProof w:val="0"/>
        </w:rPr>
        <w:t>the openings must not consist entirely of long syllables, nor entirely of short syllables</w:t>
      </w:r>
    </w:p>
    <w:p w14:paraId="15D1F469" w14:textId="77777777">
      <w:pPr>
        <w:pStyle w:val="Lista"/>
        <w:rPr>
          <w:rStyle w:val="Foreign"/>
          <w:i w:val="0"/>
          <w:iCs w:val="0"/>
          <w:noProof w:val="0"/>
        </w:rPr>
      </w:pPr>
      <w:r>
        <w:rPr>
          <w:rStyle w:val="Foreign"/>
          <w:i w:val="0"/>
          <w:iCs w:val="0"/>
          <w:noProof w:val="0"/>
        </w:rPr>
        <w:lastRenderedPageBreak/>
        <w:t>the cadences and the associated metre names are as follows</w:t>
      </w:r>
    </w:p>
    <w:p w14:paraId="329A114C" w14:textId="77777777">
      <w:pPr>
        <w:pStyle w:val="Lista2"/>
      </w:pPr>
      <w:r>
        <w:rPr>
          <w:rStyle w:val="Foreign"/>
        </w:rPr>
        <w:t>vaitālīya</w:t>
      </w:r>
      <w:r>
        <w:t xml:space="preserve"> has the cadence </w:t>
      </w:r>
      <w:r>
        <w:rPr>
          <w:rStyle w:val="MetreCode"/>
        </w:rPr>
        <w:t>–⏑–⏑⏓</w:t>
      </w:r>
    </w:p>
    <w:p w14:paraId="5B967071" w14:textId="77777777">
      <w:pPr>
        <w:pStyle w:val="Lista3"/>
      </w:pPr>
      <w:r>
        <w:t xml:space="preserve">its template is thus </w:t>
      </w:r>
      <w:r>
        <w:rPr>
          <w:rStyle w:val="MetreCode"/>
        </w:rPr>
        <w:t>⏕⏕⏕–⏑–⏑⏓/⏕⏕⏕⏕–⏑–⏑⏓</w:t>
      </w:r>
    </w:p>
    <w:p w14:paraId="3564851B" w14:textId="77777777">
      <w:pPr>
        <w:pStyle w:val="Lista2"/>
      </w:pPr>
      <w:r>
        <w:rPr>
          <w:rStyle w:val="Foreign"/>
        </w:rPr>
        <w:t>aupacchandasika</w:t>
      </w:r>
      <w:r>
        <w:t xml:space="preserve"> has the cadence </w:t>
      </w:r>
      <w:r>
        <w:rPr>
          <w:rStyle w:val="MetreCode"/>
        </w:rPr>
        <w:t>–⏑–⏑–⏓</w:t>
      </w:r>
    </w:p>
    <w:p w14:paraId="6C531F6B" w14:textId="77777777">
      <w:pPr>
        <w:pStyle w:val="Lista3"/>
      </w:pPr>
      <w:r>
        <w:t xml:space="preserve">its template is thus </w:t>
      </w:r>
      <w:r>
        <w:rPr>
          <w:rStyle w:val="MetreCode"/>
        </w:rPr>
        <w:t>⏕⏕⏕–⏑–⏑–⏓/⏕⏕⏕⏕–⏑–⏑–⏓</w:t>
      </w:r>
    </w:p>
    <w:p w14:paraId="4BE93811" w14:textId="77777777">
      <w:pPr>
        <w:pStyle w:val="Lista2"/>
      </w:pPr>
      <w:r>
        <w:t xml:space="preserve">the much rarer </w:t>
      </w:r>
      <w:r>
        <w:rPr>
          <w:rStyle w:val="Foreign"/>
        </w:rPr>
        <w:t>āpātalikā</w:t>
      </w:r>
      <w:r>
        <w:t xml:space="preserve"> has the cadence </w:t>
      </w:r>
      <w:r>
        <w:rPr>
          <w:rStyle w:val="MetreCode"/>
        </w:rPr>
        <w:t>–⏑⏑–⏓</w:t>
      </w:r>
    </w:p>
    <w:p w14:paraId="4D18C91B" w14:textId="77777777">
      <w:pPr>
        <w:pStyle w:val="Lista3"/>
      </w:pPr>
      <w:r>
        <w:t xml:space="preserve">its template is thus  </w:t>
      </w:r>
      <w:r>
        <w:rPr>
          <w:rStyle w:val="MetreCode"/>
        </w:rPr>
        <w:t>⏕⏕⏕–⏑⏑–⏓/⏕⏕⏕⏕–⏑⏑–⏓</w:t>
      </w:r>
    </w:p>
    <w:p w14:paraId="4AE7DDFC" w14:textId="77777777">
      <w:pPr>
        <w:pStyle w:val="Lista"/>
      </w:pPr>
      <w:r>
        <w:t>some realisations of the above templates are themselves named and recognised syllabic metres</w:t>
      </w:r>
    </w:p>
    <w:p w14:paraId="3C3BE9D5" w14:textId="77777777">
      <w:pPr>
        <w:pStyle w:val="Lista2"/>
      </w:pPr>
      <w:r>
        <w:rPr>
          <w:rStyle w:val="Foreign"/>
        </w:rPr>
        <w:t>vaitālīya</w:t>
      </w:r>
      <w:r>
        <w:t xml:space="preserve"> may be realised as</w:t>
      </w:r>
    </w:p>
    <w:p w14:paraId="61866FB0" w14:textId="77777777">
      <w:pPr>
        <w:pStyle w:val="Lista3"/>
      </w:pPr>
      <w:r>
        <w:rPr>
          <w:rStyle w:val="Foreign"/>
        </w:rPr>
        <w:t>viyoginī</w:t>
      </w:r>
      <w:r>
        <w:t xml:space="preserve">: </w:t>
      </w:r>
      <w:r>
        <w:rPr>
          <w:rStyle w:val="MetreCode"/>
        </w:rPr>
        <w:t>⏑⏑–⏑⏑–⏑–⏑⏓/⏑⏑––⏑⏑–⏑–⏑⏓</w:t>
      </w:r>
    </w:p>
    <w:p w14:paraId="7D778E92" w14:textId="77777777">
      <w:pPr>
        <w:pStyle w:val="Lista3"/>
      </w:pPr>
      <w:r>
        <w:rPr>
          <w:rStyle w:val="Foreign"/>
        </w:rPr>
        <w:t>aparavaktra</w:t>
      </w:r>
      <w:r>
        <w:t xml:space="preserve">: </w:t>
      </w:r>
      <w:r>
        <w:rPr>
          <w:rStyle w:val="MetreCode"/>
        </w:rPr>
        <w:t>⏑⏑⏑⏑⏑⏑–⏑–⏑⏓/⏑⏑⏑⏑–⏑⏑–⏑–⏑⏓</w:t>
      </w:r>
    </w:p>
    <w:p w14:paraId="6EA57CDC" w14:textId="77777777">
      <w:pPr>
        <w:pStyle w:val="Lista2"/>
      </w:pPr>
      <w:r>
        <w:rPr>
          <w:rStyle w:val="Foreign"/>
        </w:rPr>
        <w:t>aupacchandasika</w:t>
      </w:r>
      <w:r>
        <w:t xml:space="preserve"> may be realised as</w:t>
      </w:r>
    </w:p>
    <w:p w14:paraId="5DB3EDA5" w14:textId="77777777">
      <w:pPr>
        <w:pStyle w:val="Lista3"/>
      </w:pPr>
      <w:r>
        <w:rPr>
          <w:rStyle w:val="Foreign"/>
        </w:rPr>
        <w:t>mālabhāriṇī</w:t>
      </w:r>
      <w:r>
        <w:t xml:space="preserve">: </w:t>
      </w:r>
      <w:r>
        <w:rPr>
          <w:rStyle w:val="MetreCode"/>
        </w:rPr>
        <w:t>⏑⏑–⏑⏑–⏑–⏑–⏓/⏑⏑––⏑⏑–⏑–⏑–⏓</w:t>
      </w:r>
    </w:p>
    <w:p w14:paraId="5AB0B82B" w14:textId="77777777">
      <w:pPr>
        <w:pStyle w:val="Lista3"/>
      </w:pPr>
      <w:r>
        <w:rPr>
          <w:rStyle w:val="Foreign"/>
        </w:rPr>
        <w:t>puṣpitāgrā</w:t>
      </w:r>
      <w:r>
        <w:t xml:space="preserve">: </w:t>
      </w:r>
      <w:r>
        <w:rPr>
          <w:rStyle w:val="MetreCode"/>
        </w:rPr>
        <w:t>⏑⏑⏑⏑⏑⏑–⏑–⏑–⏓/⏑⏑⏑⏑–⏑⏑–⏑–⏑–⏓</w:t>
      </w:r>
    </w:p>
    <w:p w14:paraId="489632AC" w14:textId="77777777">
      <w:pPr>
        <w:pStyle w:val="Lista2"/>
      </w:pPr>
      <w:r>
        <w:rPr>
          <w:rStyle w:val="Foreign"/>
        </w:rPr>
        <w:t>āpātalikā</w:t>
      </w:r>
      <w:r>
        <w:t xml:space="preserve"> may be realised as</w:t>
      </w:r>
    </w:p>
    <w:p w14:paraId="4522BD49" w14:textId="77777777">
      <w:pPr>
        <w:pStyle w:val="Lista3"/>
      </w:pPr>
      <w:r>
        <w:rPr>
          <w:rStyle w:val="Foreign"/>
        </w:rPr>
        <w:t>vegavatī</w:t>
      </w:r>
      <w:r>
        <w:t xml:space="preserve">: </w:t>
      </w:r>
      <w:r>
        <w:rPr>
          <w:rStyle w:val="MetreCode"/>
        </w:rPr>
        <w:t>⏑⏑–⏑⏑–⏑⏑–⏓/–⏑⏑–⏑⏑–⏑⏑–⏓</w:t>
      </w:r>
    </w:p>
    <w:p w14:paraId="60C47A53" w14:textId="77777777">
      <w:pPr>
        <w:pStyle w:val="Lista2"/>
      </w:pPr>
      <w:r>
        <w:t>in actual poetic practice, these fully constrained realisations are much more common than the flexible moraic templates</w:t>
      </w:r>
    </w:p>
    <w:p w14:paraId="6C95B610" w14:textId="77777777">
      <w:pPr>
        <w:pStyle w:val="Lista3"/>
      </w:pPr>
      <w:r>
        <w:t>nonetheless, many editors of Indic texts prefer to classify such stanzas by the name of the generic metre and not that of the specific realisation</w:t>
      </w:r>
    </w:p>
    <w:p w14:paraId="467683F1" w14:textId="77777777">
      <w:pPr>
        <w:pStyle w:val="Lista3"/>
      </w:pPr>
      <w:r>
        <w:t>this should be avoided in DHARMA editions: if a previous edition identifies a stanza as one of these generic metres, then instead of blindly following their nomenclature check whether the stanza in fact conforms to one of the specific metres, and if it does, mark it up as such</w:t>
      </w:r>
    </w:p>
    <w:p w14:paraId="4BB07F67" w14:textId="77777777">
      <w:pPr>
        <w:pStyle w:val="Kpalrs"/>
        <w:keepNext/>
      </w:pPr>
      <w:bookmarkStart w:id="45" w:name="_Ref240538811"/>
      <w:r>
        <w:t xml:space="preserve">Table </w:t>
      </w:r>
      <w:fldSimple w:instr=" SEQ Table \* ARABIC ">
        <w:r>
          <w:rPr>
            <w:noProof/>
          </w:rPr>
          <w:t>8</w:t>
        </w:r>
      </w:fldSimple>
      <w:bookmarkEnd w:id="45"/>
      <w:r>
        <w:t xml:space="preserve">. Metres of the </w:t>
      </w:r>
      <w:r>
        <w:rPr>
          <w:rStyle w:val="Foreign"/>
        </w:rPr>
        <w:t>vaitālīya</w:t>
      </w:r>
      <w:r>
        <w:t xml:space="preserve"> group</w:t>
      </w:r>
    </w:p>
    <w:tbl>
      <w:tblPr>
        <w:tblStyle w:val="FigureTable"/>
        <w:tblW w:w="0" w:type="auto"/>
        <w:tblLook w:val="04A0" w:firstRow="1" w:lastRow="0" w:firstColumn="1" w:lastColumn="0" w:noHBand="0" w:noVBand="1"/>
      </w:tblPr>
      <w:tblGrid>
        <w:gridCol w:w="2407"/>
        <w:gridCol w:w="2407"/>
        <w:gridCol w:w="2407"/>
        <w:gridCol w:w="2407"/>
      </w:tblGrid>
      <w:tr w14:paraId="3474F24C" w14:textId="77777777">
        <w:trPr>
          <w:cnfStyle w:val="100000000000" w:firstRow="1" w:lastRow="0" w:firstColumn="0" w:lastColumn="0" w:oddVBand="0" w:evenVBand="0" w:oddHBand="0" w:evenHBand="0" w:firstRowFirstColumn="0" w:firstRowLastColumn="0" w:lastRowFirstColumn="0" w:lastRowLastColumn="0"/>
        </w:trPr>
        <w:tc>
          <w:tcPr>
            <w:tcW w:w="2407" w:type="dxa"/>
          </w:tcPr>
          <w:p w14:paraId="4D147DDD" w14:textId="77777777">
            <w:pPr>
              <w:pStyle w:val="Tabletext"/>
            </w:pPr>
            <w:r>
              <w:t>metre</w:t>
            </w:r>
          </w:p>
        </w:tc>
        <w:tc>
          <w:tcPr>
            <w:tcW w:w="2407" w:type="dxa"/>
          </w:tcPr>
          <w:p w14:paraId="262D7342" w14:textId="77777777">
            <w:pPr>
              <w:pStyle w:val="Tabletext"/>
              <w:jc w:val="center"/>
            </w:pPr>
            <w:r>
              <w:t>lines</w:t>
            </w:r>
          </w:p>
        </w:tc>
        <w:tc>
          <w:tcPr>
            <w:tcW w:w="2407" w:type="dxa"/>
          </w:tcPr>
          <w:p w14:paraId="38AB7B00" w14:textId="77777777">
            <w:pPr>
              <w:pStyle w:val="Tabletext"/>
            </w:pPr>
            <w:r>
              <w:t>opening</w:t>
            </w:r>
          </w:p>
        </w:tc>
        <w:tc>
          <w:tcPr>
            <w:tcW w:w="2407" w:type="dxa"/>
          </w:tcPr>
          <w:p w14:paraId="259A888B" w14:textId="77777777">
            <w:pPr>
              <w:pStyle w:val="Tabletext"/>
            </w:pPr>
            <w:r>
              <w:t>cadence</w:t>
            </w:r>
          </w:p>
        </w:tc>
      </w:tr>
      <w:tr w14:paraId="6679149F" w14:textId="77777777">
        <w:tc>
          <w:tcPr>
            <w:tcW w:w="2407" w:type="dxa"/>
            <w:vMerge w:val="restart"/>
            <w:shd w:val="clear" w:color="auto" w:fill="F0F7D7"/>
            <w:vAlign w:val="center"/>
          </w:tcPr>
          <w:p w14:paraId="05801120" w14:textId="77777777">
            <w:pPr>
              <w:pStyle w:val="Tabletext"/>
              <w:jc w:val="right"/>
            </w:pPr>
            <w:r>
              <w:rPr>
                <w:rStyle w:val="Foreign"/>
              </w:rPr>
              <w:t>vaitālīya</w:t>
            </w:r>
          </w:p>
        </w:tc>
        <w:tc>
          <w:tcPr>
            <w:tcW w:w="2407" w:type="dxa"/>
            <w:shd w:val="clear" w:color="auto" w:fill="F0F7D7"/>
          </w:tcPr>
          <w:p w14:paraId="1D1D9EFE" w14:textId="77777777">
            <w:pPr>
              <w:pStyle w:val="Tabletext"/>
              <w:jc w:val="center"/>
            </w:pPr>
            <w:r>
              <w:t>odd</w:t>
            </w:r>
          </w:p>
        </w:tc>
        <w:tc>
          <w:tcPr>
            <w:tcW w:w="2407" w:type="dxa"/>
          </w:tcPr>
          <w:p w14:paraId="146929C1" w14:textId="77777777">
            <w:pPr>
              <w:pStyle w:val="Tabletext"/>
            </w:pPr>
            <w:r>
              <w:t>2|2|2|</w:t>
            </w:r>
          </w:p>
        </w:tc>
        <w:tc>
          <w:tcPr>
            <w:tcW w:w="2407" w:type="dxa"/>
            <w:vMerge w:val="restart"/>
            <w:vAlign w:val="center"/>
          </w:tcPr>
          <w:p w14:paraId="21737C6D" w14:textId="77777777">
            <w:pPr>
              <w:pStyle w:val="Tabletext"/>
            </w:pPr>
            <w:r>
              <w:rPr>
                <w:rStyle w:val="MetreCode"/>
              </w:rPr>
              <w:t>–⏑–⏑⏓</w:t>
            </w:r>
          </w:p>
        </w:tc>
      </w:tr>
      <w:tr w14:paraId="1A72DA29" w14:textId="77777777">
        <w:tc>
          <w:tcPr>
            <w:tcW w:w="2407" w:type="dxa"/>
            <w:vMerge/>
            <w:shd w:val="clear" w:color="auto" w:fill="F0F7D7"/>
            <w:vAlign w:val="center"/>
          </w:tcPr>
          <w:p w14:paraId="4E190C59" w14:textId="77777777">
            <w:pPr>
              <w:pStyle w:val="Tabletext"/>
              <w:jc w:val="right"/>
              <w:rPr>
                <w:rStyle w:val="Foreign"/>
              </w:rPr>
            </w:pPr>
          </w:p>
        </w:tc>
        <w:tc>
          <w:tcPr>
            <w:tcW w:w="2407" w:type="dxa"/>
            <w:shd w:val="clear" w:color="auto" w:fill="F0F7D7"/>
          </w:tcPr>
          <w:p w14:paraId="31FBA473" w14:textId="77777777">
            <w:pPr>
              <w:pStyle w:val="Tabletext"/>
              <w:jc w:val="center"/>
            </w:pPr>
            <w:r>
              <w:t>even</w:t>
            </w:r>
          </w:p>
        </w:tc>
        <w:tc>
          <w:tcPr>
            <w:tcW w:w="2407" w:type="dxa"/>
          </w:tcPr>
          <w:p w14:paraId="1DE09BC2" w14:textId="77777777">
            <w:pPr>
              <w:pStyle w:val="Tabletext"/>
            </w:pPr>
            <w:r>
              <w:t>2|2|2|2|</w:t>
            </w:r>
          </w:p>
        </w:tc>
        <w:tc>
          <w:tcPr>
            <w:tcW w:w="2407" w:type="dxa"/>
            <w:vMerge/>
            <w:vAlign w:val="center"/>
          </w:tcPr>
          <w:p w14:paraId="4CC41BFF" w14:textId="77777777">
            <w:pPr>
              <w:pStyle w:val="Tabletext"/>
            </w:pPr>
          </w:p>
        </w:tc>
      </w:tr>
      <w:tr w14:paraId="0064C278" w14:textId="77777777">
        <w:tc>
          <w:tcPr>
            <w:tcW w:w="2407" w:type="dxa"/>
            <w:vMerge w:val="restart"/>
            <w:shd w:val="clear" w:color="auto" w:fill="F0F7D7"/>
            <w:vAlign w:val="center"/>
          </w:tcPr>
          <w:p w14:paraId="4328062D" w14:textId="77777777">
            <w:pPr>
              <w:pStyle w:val="Tabletext"/>
              <w:jc w:val="right"/>
              <w:rPr>
                <w:rStyle w:val="Foreign"/>
              </w:rPr>
            </w:pPr>
            <w:r>
              <w:rPr>
                <w:rStyle w:val="Foreign"/>
              </w:rPr>
              <w:t>aupacchandasika</w:t>
            </w:r>
          </w:p>
        </w:tc>
        <w:tc>
          <w:tcPr>
            <w:tcW w:w="2407" w:type="dxa"/>
            <w:shd w:val="clear" w:color="auto" w:fill="F0F7D7"/>
          </w:tcPr>
          <w:p w14:paraId="7181B76C" w14:textId="77777777">
            <w:pPr>
              <w:pStyle w:val="Tabletext"/>
              <w:jc w:val="center"/>
            </w:pPr>
            <w:r>
              <w:t>odd</w:t>
            </w:r>
          </w:p>
        </w:tc>
        <w:tc>
          <w:tcPr>
            <w:tcW w:w="2407" w:type="dxa"/>
          </w:tcPr>
          <w:p w14:paraId="1866AA97" w14:textId="77777777">
            <w:pPr>
              <w:pStyle w:val="Tabletext"/>
            </w:pPr>
            <w:r>
              <w:t>2|2|2|</w:t>
            </w:r>
          </w:p>
        </w:tc>
        <w:tc>
          <w:tcPr>
            <w:tcW w:w="2407" w:type="dxa"/>
            <w:vMerge w:val="restart"/>
            <w:vAlign w:val="center"/>
          </w:tcPr>
          <w:p w14:paraId="35AB1C2D" w14:textId="77777777">
            <w:pPr>
              <w:pStyle w:val="Tabletext"/>
            </w:pPr>
            <w:r>
              <w:rPr>
                <w:rStyle w:val="MetreCode"/>
              </w:rPr>
              <w:t>–⏑–⏑–⏓</w:t>
            </w:r>
          </w:p>
        </w:tc>
      </w:tr>
      <w:tr w14:paraId="76FB1D78" w14:textId="77777777">
        <w:tc>
          <w:tcPr>
            <w:tcW w:w="2407" w:type="dxa"/>
            <w:vMerge/>
            <w:shd w:val="clear" w:color="auto" w:fill="F0F7D7"/>
            <w:vAlign w:val="center"/>
          </w:tcPr>
          <w:p w14:paraId="34851A16" w14:textId="77777777">
            <w:pPr>
              <w:pStyle w:val="Tabletext"/>
              <w:jc w:val="right"/>
              <w:rPr>
                <w:rStyle w:val="Foreign"/>
              </w:rPr>
            </w:pPr>
          </w:p>
        </w:tc>
        <w:tc>
          <w:tcPr>
            <w:tcW w:w="2407" w:type="dxa"/>
            <w:shd w:val="clear" w:color="auto" w:fill="F0F7D7"/>
          </w:tcPr>
          <w:p w14:paraId="71468313" w14:textId="77777777">
            <w:pPr>
              <w:pStyle w:val="Tabletext"/>
              <w:jc w:val="center"/>
            </w:pPr>
            <w:r>
              <w:t>even</w:t>
            </w:r>
          </w:p>
        </w:tc>
        <w:tc>
          <w:tcPr>
            <w:tcW w:w="2407" w:type="dxa"/>
          </w:tcPr>
          <w:p w14:paraId="391F6A43" w14:textId="77777777">
            <w:pPr>
              <w:pStyle w:val="Tabletext"/>
            </w:pPr>
            <w:r>
              <w:t>2|2|2|2|</w:t>
            </w:r>
          </w:p>
        </w:tc>
        <w:tc>
          <w:tcPr>
            <w:tcW w:w="2407" w:type="dxa"/>
            <w:vMerge/>
            <w:vAlign w:val="center"/>
          </w:tcPr>
          <w:p w14:paraId="053C57A6" w14:textId="77777777">
            <w:pPr>
              <w:pStyle w:val="Tabletext"/>
            </w:pPr>
          </w:p>
        </w:tc>
      </w:tr>
      <w:tr w14:paraId="3D37235D" w14:textId="77777777">
        <w:tc>
          <w:tcPr>
            <w:tcW w:w="2407" w:type="dxa"/>
            <w:vMerge w:val="restart"/>
            <w:shd w:val="clear" w:color="auto" w:fill="F0F7D7"/>
            <w:vAlign w:val="center"/>
          </w:tcPr>
          <w:p w14:paraId="1AA67E34" w14:textId="77777777">
            <w:pPr>
              <w:pStyle w:val="Tabletext"/>
              <w:jc w:val="right"/>
              <w:rPr>
                <w:rStyle w:val="Foreign"/>
              </w:rPr>
            </w:pPr>
            <w:r>
              <w:rPr>
                <w:rStyle w:val="Foreign"/>
              </w:rPr>
              <w:t>āpātalikā</w:t>
            </w:r>
          </w:p>
        </w:tc>
        <w:tc>
          <w:tcPr>
            <w:tcW w:w="2407" w:type="dxa"/>
            <w:shd w:val="clear" w:color="auto" w:fill="F0F7D7"/>
          </w:tcPr>
          <w:p w14:paraId="0044633E" w14:textId="77777777">
            <w:pPr>
              <w:pStyle w:val="Tabletext"/>
              <w:jc w:val="center"/>
            </w:pPr>
            <w:r>
              <w:t>odd</w:t>
            </w:r>
          </w:p>
        </w:tc>
        <w:tc>
          <w:tcPr>
            <w:tcW w:w="2407" w:type="dxa"/>
          </w:tcPr>
          <w:p w14:paraId="5A9FE689" w14:textId="77777777">
            <w:pPr>
              <w:pStyle w:val="Tabletext"/>
            </w:pPr>
            <w:r>
              <w:t>2|2|2|</w:t>
            </w:r>
          </w:p>
        </w:tc>
        <w:tc>
          <w:tcPr>
            <w:tcW w:w="2407" w:type="dxa"/>
            <w:vMerge w:val="restart"/>
            <w:vAlign w:val="center"/>
          </w:tcPr>
          <w:p w14:paraId="435C0BA2" w14:textId="77777777">
            <w:pPr>
              <w:pStyle w:val="Tabletext"/>
            </w:pPr>
            <w:r>
              <w:rPr>
                <w:rStyle w:val="MetreCode"/>
              </w:rPr>
              <w:t>–⏑⏑–⏓</w:t>
            </w:r>
          </w:p>
        </w:tc>
      </w:tr>
      <w:tr w14:paraId="5B8B1648" w14:textId="77777777">
        <w:tc>
          <w:tcPr>
            <w:tcW w:w="2407" w:type="dxa"/>
            <w:vMerge/>
            <w:shd w:val="clear" w:color="auto" w:fill="F0F7D7"/>
          </w:tcPr>
          <w:p w14:paraId="075474A4" w14:textId="77777777">
            <w:pPr>
              <w:pStyle w:val="Tabletext"/>
              <w:rPr>
                <w:rStyle w:val="Foreign"/>
              </w:rPr>
            </w:pPr>
          </w:p>
        </w:tc>
        <w:tc>
          <w:tcPr>
            <w:tcW w:w="2407" w:type="dxa"/>
            <w:shd w:val="clear" w:color="auto" w:fill="F0F7D7"/>
          </w:tcPr>
          <w:p w14:paraId="4E0B607D" w14:textId="77777777">
            <w:pPr>
              <w:pStyle w:val="Tabletext"/>
              <w:jc w:val="center"/>
            </w:pPr>
            <w:r>
              <w:t>even</w:t>
            </w:r>
          </w:p>
        </w:tc>
        <w:tc>
          <w:tcPr>
            <w:tcW w:w="2407" w:type="dxa"/>
          </w:tcPr>
          <w:p w14:paraId="25817BFF" w14:textId="77777777">
            <w:pPr>
              <w:pStyle w:val="Tabletext"/>
            </w:pPr>
            <w:r>
              <w:t>2|2|2|2|</w:t>
            </w:r>
          </w:p>
        </w:tc>
        <w:tc>
          <w:tcPr>
            <w:tcW w:w="2407" w:type="dxa"/>
            <w:vMerge/>
          </w:tcPr>
          <w:p w14:paraId="737E9E48" w14:textId="77777777">
            <w:pPr>
              <w:pStyle w:val="Tabletext"/>
            </w:pPr>
          </w:p>
        </w:tc>
      </w:tr>
    </w:tbl>
    <w:p w14:paraId="01E2B82E" w14:textId="77777777"/>
    <w:p w14:paraId="71C05F07" w14:textId="77777777">
      <w:pPr>
        <w:pStyle w:val="Cmsor3"/>
      </w:pPr>
      <w:r>
        <w:rPr>
          <w:rStyle w:val="Foreign"/>
        </w:rPr>
        <w:t>Gītikā</w:t>
      </w:r>
    </w:p>
    <w:p w14:paraId="7C0A70B9" w14:textId="0193D3BD">
      <w:r>
        <w:t xml:space="preserve">A rare metre not discussed in the standard treatises on versification but found in some epigraphic texts, provisionally named </w:t>
      </w:r>
      <w:bookmarkStart w:id="46" w:name="_Hlk47542365"/>
      <w:r>
        <w:rPr>
          <w:rStyle w:val="Foreign"/>
        </w:rPr>
        <w:t>gītikā</w:t>
      </w:r>
      <w:bookmarkEnd w:id="46"/>
      <w:r>
        <w:t xml:space="preserve"> </w:t>
      </w:r>
      <w:r>
        <w:rPr>
          <w:rFonts w:cs="Gentium"/>
        </w:rPr>
        <w:t>(</w:t>
      </w:r>
      <w:proofErr w:type="spellStart"/>
      <w:r>
        <w:rPr>
          <w:rFonts w:cs="Gentium"/>
        </w:rPr>
        <w:t>Venkatasubbiah</w:t>
      </w:r>
      <w:proofErr w:type="spellEnd"/>
      <w:r>
        <w:rPr>
          <w:rFonts w:cs="Gentium"/>
        </w:rPr>
        <w:t xml:space="preserve"> 1935)</w:t>
      </w:r>
      <w:r>
        <w:t xml:space="preserve">, consists of four lines of length varying between 9 and 13 syllables, exhibiting a different pattern in the odd and even lines. The cadence of the lines is similar to that of the </w:t>
      </w:r>
      <w:r>
        <w:rPr>
          <w:rStyle w:val="Foreign"/>
        </w:rPr>
        <w:t>anuṣṭubh</w:t>
      </w:r>
      <w:r>
        <w:t xml:space="preserve"> except that two short syllables may replace the penultimate long syllable in odd lines.</w:t>
      </w:r>
    </w:p>
    <w:p w14:paraId="3793709A" w14:textId="77777777">
      <w:pPr>
        <w:pStyle w:val="Lista"/>
      </w:pPr>
      <w:r>
        <w:t>based on the known attestations (some of which are damaged), the following generic template may be established</w:t>
      </w:r>
    </w:p>
    <w:p w14:paraId="2E53A67A" w14:textId="77777777">
      <w:pPr>
        <w:pStyle w:val="Lista2"/>
      </w:pPr>
      <w:r>
        <w:t xml:space="preserve">odd lines: </w:t>
      </w:r>
      <w:r>
        <w:rPr>
          <w:rStyle w:val="MetreCode"/>
        </w:rPr>
        <w:t>⏕⏑–⏓⏕⏑–⏕⏓</w:t>
      </w:r>
      <w:r>
        <w:t xml:space="preserve"> (where the sequence </w:t>
      </w:r>
      <w:r>
        <w:rPr>
          <w:rStyle w:val="MetreCode"/>
        </w:rPr>
        <w:t>⏓⏕</w:t>
      </w:r>
      <w:r>
        <w:t xml:space="preserve"> usually manifests as </w:t>
      </w:r>
      <w:r>
        <w:rPr>
          <w:rStyle w:val="MetreCode"/>
        </w:rPr>
        <w:t>⏑–</w:t>
      </w:r>
      <w:r>
        <w:t xml:space="preserve"> and never as </w:t>
      </w:r>
      <w:r>
        <w:rPr>
          <w:rStyle w:val="MetreCode"/>
        </w:rPr>
        <w:t>⏑⏑⏑</w:t>
      </w:r>
      <w:r>
        <w:t xml:space="preserve">) </w:t>
      </w:r>
    </w:p>
    <w:p w14:paraId="5A266AB0" w14:textId="77777777">
      <w:pPr>
        <w:pStyle w:val="Lista2"/>
      </w:pPr>
      <w:r>
        <w:t xml:space="preserve">even lines: </w:t>
      </w:r>
      <w:r>
        <w:rPr>
          <w:rStyle w:val="MetreCode"/>
        </w:rPr>
        <w:t>⏕–⏑––⏑–⏑⏓</w:t>
      </w:r>
      <w:r>
        <w:t xml:space="preserve"> (possibly with </w:t>
      </w:r>
      <w:r>
        <w:rPr>
          <w:rStyle w:val="MetreCode"/>
        </w:rPr>
        <w:t>⏑⏑</w:t>
      </w:r>
      <w:r>
        <w:t xml:space="preserve"> permitted in place of the first </w:t>
      </w:r>
      <w:r>
        <w:rPr>
          <w:rStyle w:val="MetreCode"/>
        </w:rPr>
        <w:t>–</w:t>
      </w:r>
      <w:r>
        <w:t>)</w:t>
      </w:r>
    </w:p>
    <w:p w14:paraId="0ED7D003" w14:textId="77777777">
      <w:pPr>
        <w:pStyle w:val="Cmsor1"/>
      </w:pPr>
      <w:bookmarkStart w:id="47" w:name="_n2qlg5gxi1qw" w:colFirst="0" w:colLast="0"/>
      <w:bookmarkStart w:id="48" w:name="_n8vla59yhjha" w:colFirst="0" w:colLast="0"/>
      <w:bookmarkStart w:id="49" w:name="_4rj5tl9kxhaa" w:colFirst="0" w:colLast="0"/>
      <w:bookmarkStart w:id="50" w:name="_zhjmnze98hpp" w:colFirst="0" w:colLast="0"/>
      <w:bookmarkEnd w:id="29"/>
      <w:bookmarkEnd w:id="30"/>
      <w:bookmarkEnd w:id="31"/>
      <w:bookmarkEnd w:id="47"/>
      <w:bookmarkEnd w:id="48"/>
      <w:bookmarkEnd w:id="49"/>
      <w:bookmarkEnd w:id="50"/>
      <w:r>
        <w:lastRenderedPageBreak/>
        <w:t>The Tamil versification tradition</w:t>
      </w:r>
    </w:p>
    <w:p w14:paraId="0853B00D" w14:textId="48373BA7">
      <w:r>
        <w:rPr>
          <w:lang w:eastAsia="en-US" w:bidi="ar-SA"/>
        </w:rPr>
        <w:t xml:space="preserve">This section has been contributed by Emmanuel Francis. </w:t>
      </w:r>
      <w:r>
        <w:t xml:space="preserve">Due to practical considerations, Tamil metre shall be classified only by major types </w:t>
      </w:r>
      <w:r>
        <w:rPr>
          <w:noProof/>
        </w:rPr>
        <w:t>(</w:t>
      </w:r>
      <w:r>
        <w:rPr>
          <w:rStyle w:val="Foreign"/>
        </w:rPr>
        <w:t>pā</w:t>
      </w:r>
      <w:r>
        <w:t xml:space="preserve">), as shown in </w:t>
      </w:r>
      <w:r>
        <w:fldChar w:fldCharType="begin"/>
      </w:r>
      <w:r>
        <w:instrText xml:space="preserve"> REF _Ref44134715 \h </w:instrText>
      </w:r>
      <w:r>
        <w:fldChar w:fldCharType="separate"/>
      </w:r>
      <w:r>
        <w:t xml:space="preserve">Table </w:t>
      </w:r>
      <w:r>
        <w:rPr>
          <w:noProof/>
        </w:rPr>
        <w:t>9</w:t>
      </w:r>
      <w:r>
        <w:fldChar w:fldCharType="end"/>
      </w:r>
      <w:r>
        <w:t xml:space="preserve"> below.</w:t>
      </w:r>
    </w:p>
    <w:p w14:paraId="0D95959A" w14:textId="77777777">
      <w:pPr>
        <w:pStyle w:val="Lista"/>
      </w:pPr>
      <w:r>
        <w:t xml:space="preserve">the names in the first column are to be used as values of </w:t>
      </w:r>
      <w:r>
        <w:rPr>
          <w:rStyle w:val="Codeattribute"/>
        </w:rPr>
        <w:t>@met</w:t>
      </w:r>
      <w:r>
        <w:t xml:space="preserve"> in </w:t>
      </w:r>
      <w:r>
        <w:rPr>
          <w:rStyle w:val="Code"/>
        </w:rPr>
        <w:t>&lt;lg&gt;</w:t>
      </w:r>
    </w:p>
    <w:p w14:paraId="3E98F53C" w14:textId="77777777">
      <w:pPr>
        <w:pStyle w:val="Kpalrs"/>
        <w:keepNext/>
      </w:pPr>
      <w:bookmarkStart w:id="51" w:name="_Ref44134715"/>
      <w:r>
        <w:t xml:space="preserve">Table </w:t>
      </w:r>
      <w:fldSimple w:instr=" SEQ Table \* ARABIC ">
        <w:r>
          <w:rPr>
            <w:noProof/>
          </w:rPr>
          <w:t>9</w:t>
        </w:r>
      </w:fldSimple>
      <w:bookmarkEnd w:id="51"/>
      <w:r>
        <w:t>. Tamil metres</w:t>
      </w:r>
    </w:p>
    <w:tbl>
      <w:tblPr>
        <w:tblStyle w:val="14"/>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748"/>
        <w:gridCol w:w="4038"/>
        <w:gridCol w:w="3832"/>
      </w:tblGrid>
      <w:tr w14:paraId="119D5EF9" w14:textId="77777777">
        <w:tc>
          <w:tcPr>
            <w:tcW w:w="909" w:type="pct"/>
            <w:shd w:val="clear" w:color="auto" w:fill="F0F7D7"/>
            <w:tcMar>
              <w:top w:w="100" w:type="dxa"/>
              <w:left w:w="100" w:type="dxa"/>
              <w:bottom w:w="100" w:type="dxa"/>
              <w:right w:w="100" w:type="dxa"/>
            </w:tcMar>
          </w:tcPr>
          <w:p w14:paraId="0D04D2CC" w14:textId="77777777">
            <w:pPr>
              <w:pStyle w:val="Tabletext"/>
              <w:keepNext/>
              <w:rPr>
                <w:noProof/>
              </w:rPr>
            </w:pPr>
            <w:r>
              <w:rPr>
                <w:noProof/>
              </w:rPr>
              <w:t>Major type</w:t>
            </w:r>
          </w:p>
        </w:tc>
        <w:tc>
          <w:tcPr>
            <w:tcW w:w="2099" w:type="pct"/>
            <w:shd w:val="clear" w:color="auto" w:fill="F0F7D7"/>
            <w:tcMar>
              <w:top w:w="100" w:type="dxa"/>
              <w:left w:w="100" w:type="dxa"/>
              <w:bottom w:w="100" w:type="dxa"/>
              <w:right w:w="100" w:type="dxa"/>
            </w:tcMar>
          </w:tcPr>
          <w:p w14:paraId="0D1780FA" w14:textId="77777777">
            <w:pPr>
              <w:pStyle w:val="Tabletext"/>
              <w:keepNext/>
              <w:rPr>
                <w:noProof/>
              </w:rPr>
            </w:pPr>
            <w:r>
              <w:rPr>
                <w:noProof/>
              </w:rPr>
              <w:t>Included forms</w:t>
            </w:r>
          </w:p>
        </w:tc>
        <w:tc>
          <w:tcPr>
            <w:tcW w:w="1992" w:type="pct"/>
            <w:shd w:val="clear" w:color="auto" w:fill="F0F7D7"/>
            <w:tcMar>
              <w:top w:w="100" w:type="dxa"/>
              <w:left w:w="100" w:type="dxa"/>
              <w:bottom w:w="100" w:type="dxa"/>
              <w:right w:w="100" w:type="dxa"/>
            </w:tcMar>
          </w:tcPr>
          <w:p w14:paraId="59BBB862" w14:textId="77777777">
            <w:pPr>
              <w:pStyle w:val="Tabletext"/>
              <w:keepNext/>
              <w:rPr>
                <w:noProof/>
              </w:rPr>
            </w:pPr>
            <w:r>
              <w:rPr>
                <w:noProof/>
              </w:rPr>
              <w:t>Included subtypes (</w:t>
            </w:r>
            <w:r>
              <w:rPr>
                <w:rStyle w:val="Foreign"/>
              </w:rPr>
              <w:t>pāviṉam</w:t>
            </w:r>
            <w:r>
              <w:rPr>
                <w:noProof/>
              </w:rPr>
              <w:t>)</w:t>
            </w:r>
          </w:p>
        </w:tc>
      </w:tr>
      <w:tr w14:paraId="7870C2A2" w14:textId="77777777">
        <w:tc>
          <w:tcPr>
            <w:tcW w:w="909" w:type="pct"/>
            <w:shd w:val="clear" w:color="auto" w:fill="F0F7D7"/>
            <w:tcMar>
              <w:top w:w="100" w:type="dxa"/>
              <w:left w:w="100" w:type="dxa"/>
              <w:bottom w:w="100" w:type="dxa"/>
              <w:right w:w="100" w:type="dxa"/>
            </w:tcMar>
          </w:tcPr>
          <w:p w14:paraId="5D5121FD" w14:textId="77777777">
            <w:pPr>
              <w:pStyle w:val="Tabletext"/>
              <w:keepNext/>
              <w:rPr>
                <w:rFonts w:ascii="Tahoma" w:hAnsi="Tahoma" w:cs="Tahoma"/>
                <w:noProof/>
              </w:rPr>
            </w:pPr>
            <w:r>
              <w:rPr>
                <w:noProof/>
              </w:rPr>
              <w:t>veṇpā</w:t>
            </w:r>
          </w:p>
        </w:tc>
        <w:tc>
          <w:tcPr>
            <w:tcW w:w="2099" w:type="pct"/>
            <w:tcMar>
              <w:top w:w="100" w:type="dxa"/>
              <w:left w:w="100" w:type="dxa"/>
              <w:bottom w:w="100" w:type="dxa"/>
              <w:right w:w="100" w:type="dxa"/>
            </w:tcMar>
          </w:tcPr>
          <w:p w14:paraId="0C91D535" w14:textId="77777777">
            <w:pPr>
              <w:pStyle w:val="Tabletext"/>
              <w:keepNext/>
              <w:rPr>
                <w:noProof/>
              </w:rPr>
            </w:pPr>
            <w:r>
              <w:rPr>
                <w:noProof/>
              </w:rPr>
              <w:t xml:space="preserve">kuṟaḷ-veṇpā (2 </w:t>
            </w:r>
            <w:r>
              <w:rPr>
                <w:rStyle w:val="Foreign"/>
              </w:rPr>
              <w:t>aṭi</w:t>
            </w:r>
            <w:r>
              <w:rPr>
                <w:noProof/>
              </w:rPr>
              <w:t>s)</w:t>
            </w:r>
          </w:p>
          <w:p w14:paraId="51AD141D" w14:textId="77777777">
            <w:pPr>
              <w:pStyle w:val="Tabletext"/>
              <w:keepNext/>
              <w:rPr>
                <w:noProof/>
              </w:rPr>
            </w:pPr>
            <w:r>
              <w:rPr>
                <w:noProof/>
              </w:rPr>
              <w:t xml:space="preserve">nēricai-veṇpā (4 </w:t>
            </w:r>
            <w:r>
              <w:rPr>
                <w:rStyle w:val="Foreign"/>
              </w:rPr>
              <w:t>aṭi</w:t>
            </w:r>
            <w:r>
              <w:rPr>
                <w:noProof/>
              </w:rPr>
              <w:t>s)</w:t>
            </w:r>
          </w:p>
          <w:p w14:paraId="77E98FC6" w14:textId="77777777">
            <w:pPr>
              <w:pStyle w:val="Tabletext"/>
              <w:keepNext/>
              <w:rPr>
                <w:noProof/>
              </w:rPr>
            </w:pPr>
            <w:r>
              <w:rPr>
                <w:noProof/>
              </w:rPr>
              <w:t xml:space="preserve">iṉṉicai-veṇpā (4 </w:t>
            </w:r>
            <w:r>
              <w:rPr>
                <w:rStyle w:val="Foreign"/>
              </w:rPr>
              <w:t>aṭi</w:t>
            </w:r>
            <w:r>
              <w:rPr>
                <w:noProof/>
              </w:rPr>
              <w:t>s)</w:t>
            </w:r>
          </w:p>
          <w:p w14:paraId="563D86B4" w14:textId="77777777">
            <w:pPr>
              <w:pStyle w:val="Tabletext"/>
              <w:keepNext/>
              <w:rPr>
                <w:noProof/>
              </w:rPr>
            </w:pPr>
            <w:r>
              <w:rPr>
                <w:noProof/>
              </w:rPr>
              <w:t xml:space="preserve">cintiyal-veṇpā (3 </w:t>
            </w:r>
            <w:r>
              <w:rPr>
                <w:rStyle w:val="Foreign"/>
              </w:rPr>
              <w:t>aṭi</w:t>
            </w:r>
            <w:r>
              <w:rPr>
                <w:noProof/>
              </w:rPr>
              <w:t>s)</w:t>
            </w:r>
          </w:p>
          <w:p w14:paraId="11659743" w14:textId="77777777">
            <w:pPr>
              <w:pStyle w:val="Tabletext"/>
              <w:keepNext/>
              <w:rPr>
                <w:rFonts w:ascii="Tahoma" w:hAnsi="Tahoma" w:cs="Tahoma"/>
                <w:noProof/>
              </w:rPr>
            </w:pPr>
            <w:r>
              <w:rPr>
                <w:noProof/>
              </w:rPr>
              <w:t xml:space="preserve">paḵṟoṭai-veṇpā (5 to 12 </w:t>
            </w:r>
            <w:r>
              <w:rPr>
                <w:rStyle w:val="Foreign"/>
              </w:rPr>
              <w:t>aṭi</w:t>
            </w:r>
            <w:r>
              <w:rPr>
                <w:noProof/>
              </w:rPr>
              <w:t>s)</w:t>
            </w:r>
          </w:p>
        </w:tc>
        <w:tc>
          <w:tcPr>
            <w:tcW w:w="1992" w:type="pct"/>
            <w:tcMar>
              <w:top w:w="100" w:type="dxa"/>
              <w:left w:w="100" w:type="dxa"/>
              <w:bottom w:w="100" w:type="dxa"/>
              <w:right w:w="100" w:type="dxa"/>
            </w:tcMar>
          </w:tcPr>
          <w:p w14:paraId="0168A016" w14:textId="77777777">
            <w:pPr>
              <w:pStyle w:val="Tabletext"/>
              <w:keepNext/>
              <w:rPr>
                <w:noProof/>
              </w:rPr>
            </w:pPr>
            <w:r>
              <w:rPr>
                <w:noProof/>
              </w:rPr>
              <w:t>kuṟaḷ-veṇcentuṟai</w:t>
            </w:r>
          </w:p>
          <w:p w14:paraId="25D22F0E" w14:textId="77777777">
            <w:pPr>
              <w:pStyle w:val="Tabletext"/>
              <w:keepNext/>
              <w:rPr>
                <w:noProof/>
              </w:rPr>
            </w:pPr>
            <w:r>
              <w:rPr>
                <w:noProof/>
              </w:rPr>
              <w:t>kuṟaḷ-tāḻicai</w:t>
            </w:r>
          </w:p>
          <w:p w14:paraId="0B63F55F" w14:textId="77777777">
            <w:pPr>
              <w:pStyle w:val="Tabletext"/>
              <w:keepNext/>
              <w:rPr>
                <w:noProof/>
              </w:rPr>
            </w:pPr>
            <w:r>
              <w:rPr>
                <w:noProof/>
              </w:rPr>
              <w:t>veṇ-tāḻicai</w:t>
            </w:r>
          </w:p>
          <w:p w14:paraId="14C8EEDB" w14:textId="77777777">
            <w:pPr>
              <w:pStyle w:val="Tabletext"/>
              <w:keepNext/>
              <w:rPr>
                <w:noProof/>
              </w:rPr>
            </w:pPr>
            <w:r>
              <w:rPr>
                <w:noProof/>
              </w:rPr>
              <w:t>veṇ-tuṟai</w:t>
            </w:r>
          </w:p>
          <w:p w14:paraId="7B7FFF44" w14:textId="77777777">
            <w:pPr>
              <w:pStyle w:val="Tabletext"/>
              <w:keepNext/>
              <w:rPr>
                <w:noProof/>
              </w:rPr>
            </w:pPr>
            <w:r>
              <w:rPr>
                <w:noProof/>
              </w:rPr>
              <w:t>veḷi-viruttam</w:t>
            </w:r>
          </w:p>
        </w:tc>
      </w:tr>
      <w:tr w14:paraId="483A6197" w14:textId="77777777">
        <w:tc>
          <w:tcPr>
            <w:tcW w:w="909" w:type="pct"/>
            <w:shd w:val="clear" w:color="auto" w:fill="F0F7D7"/>
            <w:tcMar>
              <w:top w:w="100" w:type="dxa"/>
              <w:left w:w="100" w:type="dxa"/>
              <w:bottom w:w="100" w:type="dxa"/>
              <w:right w:w="100" w:type="dxa"/>
            </w:tcMar>
          </w:tcPr>
          <w:p w14:paraId="18E7AAE1" w14:textId="77777777">
            <w:pPr>
              <w:pStyle w:val="Tabletext"/>
              <w:keepNext/>
              <w:rPr>
                <w:noProof/>
              </w:rPr>
            </w:pPr>
            <w:r>
              <w:rPr>
                <w:noProof/>
              </w:rPr>
              <w:t>āciriyappā</w:t>
            </w:r>
          </w:p>
          <w:p w14:paraId="0A932E1E" w14:textId="77777777">
            <w:pPr>
              <w:pStyle w:val="Tabletext"/>
              <w:keepNext/>
              <w:rPr>
                <w:noProof/>
              </w:rPr>
            </w:pPr>
            <w:r>
              <w:rPr>
                <w:noProof/>
              </w:rPr>
              <w:t xml:space="preserve">(3 to 1000 </w:t>
            </w:r>
            <w:r>
              <w:rPr>
                <w:rStyle w:val="Foreign"/>
              </w:rPr>
              <w:t>aṭi</w:t>
            </w:r>
            <w:r>
              <w:rPr>
                <w:noProof/>
              </w:rPr>
              <w:t>s)</w:t>
            </w:r>
          </w:p>
        </w:tc>
        <w:tc>
          <w:tcPr>
            <w:tcW w:w="2099" w:type="pct"/>
            <w:tcMar>
              <w:top w:w="100" w:type="dxa"/>
              <w:left w:w="100" w:type="dxa"/>
              <w:bottom w:w="100" w:type="dxa"/>
              <w:right w:w="100" w:type="dxa"/>
            </w:tcMar>
          </w:tcPr>
          <w:p w14:paraId="4B5CE71A" w14:textId="77777777">
            <w:pPr>
              <w:pStyle w:val="Tabletext"/>
              <w:keepNext/>
              <w:rPr>
                <w:noProof/>
              </w:rPr>
            </w:pPr>
            <w:r>
              <w:rPr>
                <w:noProof/>
              </w:rPr>
              <w:t>nēricai-āciriyappā</w:t>
            </w:r>
          </w:p>
          <w:p w14:paraId="461A9EBF" w14:textId="77777777">
            <w:pPr>
              <w:pStyle w:val="Tabletext"/>
              <w:keepNext/>
              <w:rPr>
                <w:noProof/>
              </w:rPr>
            </w:pPr>
            <w:r>
              <w:rPr>
                <w:noProof/>
              </w:rPr>
              <w:t>iṇaikkuṟal-āciriyappā</w:t>
            </w:r>
          </w:p>
          <w:p w14:paraId="0648D81D" w14:textId="77777777">
            <w:pPr>
              <w:pStyle w:val="Tabletext"/>
              <w:keepNext/>
              <w:rPr>
                <w:noProof/>
              </w:rPr>
            </w:pPr>
            <w:r>
              <w:rPr>
                <w:noProof/>
              </w:rPr>
              <w:t>nilaimaṇṭila-āciriyappā</w:t>
            </w:r>
          </w:p>
          <w:p w14:paraId="33977207" w14:textId="77777777">
            <w:pPr>
              <w:pStyle w:val="Tabletext"/>
              <w:keepNext/>
              <w:rPr>
                <w:noProof/>
              </w:rPr>
            </w:pPr>
            <w:r>
              <w:rPr>
                <w:noProof/>
              </w:rPr>
              <w:t>aṭimaṟimaṇṭila-āciriyappā</w:t>
            </w:r>
          </w:p>
        </w:tc>
        <w:tc>
          <w:tcPr>
            <w:tcW w:w="1992" w:type="pct"/>
            <w:tcMar>
              <w:top w:w="100" w:type="dxa"/>
              <w:left w:w="100" w:type="dxa"/>
              <w:bottom w:w="100" w:type="dxa"/>
              <w:right w:w="100" w:type="dxa"/>
            </w:tcMar>
          </w:tcPr>
          <w:p w14:paraId="53FE57CD" w14:textId="77777777">
            <w:pPr>
              <w:pStyle w:val="Tabletext"/>
              <w:keepNext/>
              <w:rPr>
                <w:noProof/>
              </w:rPr>
            </w:pPr>
            <w:r>
              <w:rPr>
                <w:noProof/>
              </w:rPr>
              <w:t>āciriya-tāḻicai</w:t>
            </w:r>
          </w:p>
          <w:p w14:paraId="5F7B2478" w14:textId="77777777">
            <w:pPr>
              <w:pStyle w:val="Tabletext"/>
              <w:keepNext/>
              <w:rPr>
                <w:noProof/>
              </w:rPr>
            </w:pPr>
            <w:r>
              <w:rPr>
                <w:noProof/>
              </w:rPr>
              <w:t>āciriya-tuṟai</w:t>
            </w:r>
          </w:p>
          <w:p w14:paraId="1232F6FF" w14:textId="77777777">
            <w:pPr>
              <w:pStyle w:val="Tabletext"/>
              <w:keepNext/>
              <w:rPr>
                <w:noProof/>
              </w:rPr>
            </w:pPr>
            <w:r>
              <w:rPr>
                <w:noProof/>
              </w:rPr>
              <w:t>āciriya-viruttam</w:t>
            </w:r>
          </w:p>
        </w:tc>
      </w:tr>
      <w:tr w14:paraId="16179121" w14:textId="77777777">
        <w:tc>
          <w:tcPr>
            <w:tcW w:w="909" w:type="pct"/>
            <w:shd w:val="clear" w:color="auto" w:fill="F0F7D7"/>
            <w:tcMar>
              <w:top w:w="100" w:type="dxa"/>
              <w:left w:w="100" w:type="dxa"/>
              <w:bottom w:w="100" w:type="dxa"/>
              <w:right w:w="100" w:type="dxa"/>
            </w:tcMar>
          </w:tcPr>
          <w:p w14:paraId="02BEA63E" w14:textId="77777777">
            <w:pPr>
              <w:pStyle w:val="Tabletext"/>
              <w:keepNext/>
              <w:rPr>
                <w:noProof/>
              </w:rPr>
            </w:pPr>
            <w:r>
              <w:rPr>
                <w:noProof/>
              </w:rPr>
              <w:t>kalippā</w:t>
            </w:r>
            <w:r>
              <w:rPr>
                <w:rStyle w:val="Lbjegyzet-hivatkozs"/>
              </w:rPr>
              <w:footnoteReference w:id="2"/>
            </w:r>
          </w:p>
        </w:tc>
        <w:tc>
          <w:tcPr>
            <w:tcW w:w="2099" w:type="pct"/>
            <w:tcMar>
              <w:top w:w="100" w:type="dxa"/>
              <w:left w:w="100" w:type="dxa"/>
              <w:bottom w:w="100" w:type="dxa"/>
              <w:right w:w="100" w:type="dxa"/>
            </w:tcMar>
          </w:tcPr>
          <w:p w14:paraId="66FC3777" w14:textId="77777777">
            <w:pPr>
              <w:pStyle w:val="Tabletext"/>
              <w:keepNext/>
              <w:rPr>
                <w:noProof/>
              </w:rPr>
            </w:pPr>
            <w:r>
              <w:rPr>
                <w:noProof/>
              </w:rPr>
              <w:t>ottāḻicai-kalippā (with 3 subforms)</w:t>
            </w:r>
          </w:p>
          <w:p w14:paraId="74E8D11B" w14:textId="77777777">
            <w:pPr>
              <w:pStyle w:val="Tabletext"/>
              <w:keepNext/>
              <w:rPr>
                <w:noProof/>
              </w:rPr>
            </w:pPr>
            <w:r>
              <w:rPr>
                <w:noProof/>
              </w:rPr>
              <w:t>veṇ-kalippā</w:t>
            </w:r>
          </w:p>
          <w:p w14:paraId="22AAF9D6" w14:textId="77777777">
            <w:pPr>
              <w:pStyle w:val="Tabletext"/>
              <w:keepNext/>
              <w:rPr>
                <w:noProof/>
              </w:rPr>
            </w:pPr>
            <w:r>
              <w:rPr>
                <w:noProof/>
              </w:rPr>
              <w:t>koccaka (with 5 subforms, the 5th one having 3 subsubforms)</w:t>
            </w:r>
          </w:p>
        </w:tc>
        <w:tc>
          <w:tcPr>
            <w:tcW w:w="1992" w:type="pct"/>
            <w:tcMar>
              <w:top w:w="100" w:type="dxa"/>
              <w:left w:w="100" w:type="dxa"/>
              <w:bottom w:w="100" w:type="dxa"/>
              <w:right w:w="100" w:type="dxa"/>
            </w:tcMar>
          </w:tcPr>
          <w:p w14:paraId="143F587E" w14:textId="77777777">
            <w:pPr>
              <w:pStyle w:val="Tabletext"/>
              <w:keepNext/>
              <w:rPr>
                <w:noProof/>
              </w:rPr>
            </w:pPr>
            <w:r>
              <w:rPr>
                <w:noProof/>
              </w:rPr>
              <w:t>kali-tāḻicai</w:t>
            </w:r>
          </w:p>
          <w:p w14:paraId="5D3293C4" w14:textId="77777777">
            <w:pPr>
              <w:pStyle w:val="Tabletext"/>
              <w:keepNext/>
              <w:rPr>
                <w:noProof/>
              </w:rPr>
            </w:pPr>
            <w:r>
              <w:rPr>
                <w:noProof/>
              </w:rPr>
              <w:t>kali-tuṟai</w:t>
            </w:r>
          </w:p>
          <w:p w14:paraId="785BB6AB" w14:textId="77777777">
            <w:pPr>
              <w:pStyle w:val="Tabletext"/>
              <w:keepNext/>
              <w:rPr>
                <w:noProof/>
              </w:rPr>
            </w:pPr>
            <w:r>
              <w:rPr>
                <w:noProof/>
              </w:rPr>
              <w:t>kali-viruttam</w:t>
            </w:r>
          </w:p>
          <w:p w14:paraId="717BB09C" w14:textId="77777777">
            <w:pPr>
              <w:pStyle w:val="Tabletext"/>
              <w:keepNext/>
              <w:rPr>
                <w:noProof/>
              </w:rPr>
            </w:pPr>
            <w:r>
              <w:rPr>
                <w:noProof/>
              </w:rPr>
              <w:t>kaṭṭalai-kalittuṟai</w:t>
            </w:r>
          </w:p>
          <w:p w14:paraId="31333F7E" w14:textId="77777777">
            <w:pPr>
              <w:pStyle w:val="Tabletext"/>
              <w:keepNext/>
              <w:rPr>
                <w:noProof/>
              </w:rPr>
            </w:pPr>
            <w:r>
              <w:rPr>
                <w:noProof/>
              </w:rPr>
              <w:t>kaṭṭalai-kalippā</w:t>
            </w:r>
          </w:p>
        </w:tc>
      </w:tr>
      <w:tr w14:paraId="7DFDD9A4" w14:textId="77777777">
        <w:tc>
          <w:tcPr>
            <w:tcW w:w="909" w:type="pct"/>
            <w:shd w:val="clear" w:color="auto" w:fill="F0F7D7"/>
            <w:tcMar>
              <w:top w:w="100" w:type="dxa"/>
              <w:left w:w="100" w:type="dxa"/>
              <w:bottom w:w="100" w:type="dxa"/>
              <w:right w:w="100" w:type="dxa"/>
            </w:tcMar>
          </w:tcPr>
          <w:p w14:paraId="212755FD" w14:textId="77777777">
            <w:pPr>
              <w:pStyle w:val="Tabletext"/>
              <w:keepNext/>
              <w:rPr>
                <w:noProof/>
              </w:rPr>
            </w:pPr>
            <w:r>
              <w:rPr>
                <w:noProof/>
              </w:rPr>
              <w:t>vañcippā</w:t>
            </w:r>
            <w:r>
              <w:rPr>
                <w:rStyle w:val="Lbjegyzet-hivatkozs"/>
              </w:rPr>
              <w:footnoteReference w:id="3"/>
            </w:r>
          </w:p>
        </w:tc>
        <w:tc>
          <w:tcPr>
            <w:tcW w:w="2099" w:type="pct"/>
            <w:tcMar>
              <w:top w:w="100" w:type="dxa"/>
              <w:left w:w="100" w:type="dxa"/>
              <w:bottom w:w="100" w:type="dxa"/>
              <w:right w:w="100" w:type="dxa"/>
            </w:tcMar>
          </w:tcPr>
          <w:p w14:paraId="7D1A8AD2" w14:textId="77777777">
            <w:pPr>
              <w:pStyle w:val="Tabletext"/>
              <w:keepNext/>
              <w:rPr>
                <w:noProof/>
              </w:rPr>
            </w:pPr>
            <w:r>
              <w:rPr>
                <w:noProof/>
              </w:rPr>
              <w:t>(no forms)</w:t>
            </w:r>
          </w:p>
        </w:tc>
        <w:tc>
          <w:tcPr>
            <w:tcW w:w="1992" w:type="pct"/>
            <w:tcMar>
              <w:top w:w="100" w:type="dxa"/>
              <w:left w:w="100" w:type="dxa"/>
              <w:bottom w:w="100" w:type="dxa"/>
              <w:right w:w="100" w:type="dxa"/>
            </w:tcMar>
          </w:tcPr>
          <w:p w14:paraId="7E4C982A" w14:textId="77777777">
            <w:pPr>
              <w:pStyle w:val="Tabletext"/>
              <w:keepNext/>
              <w:rPr>
                <w:noProof/>
              </w:rPr>
            </w:pPr>
            <w:r>
              <w:rPr>
                <w:noProof/>
              </w:rPr>
              <w:t>vañci-tāḻicai</w:t>
            </w:r>
          </w:p>
          <w:p w14:paraId="5B768974" w14:textId="77777777">
            <w:pPr>
              <w:pStyle w:val="Tabletext"/>
              <w:keepNext/>
              <w:rPr>
                <w:noProof/>
              </w:rPr>
            </w:pPr>
            <w:r>
              <w:rPr>
                <w:noProof/>
              </w:rPr>
              <w:t>vañci-tuṟai</w:t>
            </w:r>
          </w:p>
          <w:p w14:paraId="6D840D44" w14:textId="77777777">
            <w:pPr>
              <w:pStyle w:val="Tabletext"/>
              <w:keepNext/>
              <w:rPr>
                <w:noProof/>
              </w:rPr>
            </w:pPr>
            <w:r>
              <w:rPr>
                <w:noProof/>
              </w:rPr>
              <w:t>vañci-viruttam</w:t>
            </w:r>
          </w:p>
        </w:tc>
      </w:tr>
      <w:tr w14:paraId="6D451853" w14:textId="77777777">
        <w:tc>
          <w:tcPr>
            <w:tcW w:w="909" w:type="pct"/>
            <w:shd w:val="clear" w:color="auto" w:fill="F0F7D7"/>
            <w:tcMar>
              <w:top w:w="100" w:type="dxa"/>
              <w:left w:w="100" w:type="dxa"/>
              <w:bottom w:w="100" w:type="dxa"/>
              <w:right w:w="100" w:type="dxa"/>
            </w:tcMar>
          </w:tcPr>
          <w:p w14:paraId="0E93772C" w14:textId="77777777">
            <w:pPr>
              <w:pStyle w:val="Tabletext"/>
              <w:rPr>
                <w:noProof/>
              </w:rPr>
            </w:pPr>
            <w:r>
              <w:rPr>
                <w:noProof/>
              </w:rPr>
              <w:t>maruṭpā</w:t>
            </w:r>
          </w:p>
        </w:tc>
        <w:tc>
          <w:tcPr>
            <w:tcW w:w="2099" w:type="pct"/>
            <w:tcMar>
              <w:top w:w="100" w:type="dxa"/>
              <w:left w:w="100" w:type="dxa"/>
              <w:bottom w:w="100" w:type="dxa"/>
              <w:right w:w="100" w:type="dxa"/>
            </w:tcMar>
          </w:tcPr>
          <w:p w14:paraId="4A4F7992" w14:textId="77777777">
            <w:pPr>
              <w:pStyle w:val="Tabletext"/>
              <w:rPr>
                <w:noProof/>
              </w:rPr>
            </w:pPr>
            <w:r>
              <w:rPr>
                <w:noProof/>
              </w:rPr>
              <w:t>composed of elements of veṇpā and āciriyappā</w:t>
            </w:r>
          </w:p>
        </w:tc>
        <w:tc>
          <w:tcPr>
            <w:tcW w:w="1992" w:type="pct"/>
            <w:tcMar>
              <w:top w:w="100" w:type="dxa"/>
              <w:left w:w="100" w:type="dxa"/>
              <w:bottom w:w="100" w:type="dxa"/>
              <w:right w:w="100" w:type="dxa"/>
            </w:tcMar>
          </w:tcPr>
          <w:p w14:paraId="65F7C4C8" w14:textId="77777777">
            <w:pPr>
              <w:pStyle w:val="Tabletext"/>
              <w:rPr>
                <w:noProof/>
              </w:rPr>
            </w:pPr>
          </w:p>
        </w:tc>
      </w:tr>
    </w:tbl>
    <w:p w14:paraId="0EC32908" w14:textId="77777777">
      <w:pPr>
        <w:pStyle w:val="Cmsor1"/>
      </w:pPr>
      <w:r>
        <w:lastRenderedPageBreak/>
        <w:t>Bibliography</w:t>
      </w:r>
    </w:p>
    <w:p w14:paraId="7009DB90" w14:textId="155CC7EB">
      <w:pPr>
        <w:pStyle w:val="Irodalomjegyzk"/>
      </w:pPr>
      <w:r>
        <w:t xml:space="preserve">Apte, Vaman Shivaram. 1957. </w:t>
      </w:r>
      <w:r>
        <w:rPr>
          <w:i/>
          <w:iCs/>
        </w:rPr>
        <w:t>The Practical Sanskrit-English Dictionary</w:t>
      </w:r>
      <w:r>
        <w:t>. Edited by P. K. Gode and C. G. Karve. 3 volumes. Poona: Prasad Prakashan.</w:t>
      </w:r>
    </w:p>
    <w:p w14:paraId="45392457" w14:textId="77777777">
      <w:pPr>
        <w:pStyle w:val="Irodalomjegyzk"/>
      </w:pPr>
      <w:r>
        <w:t xml:space="preserve">Arnold, Edward Vernon. 1905. </w:t>
      </w:r>
      <w:r>
        <w:rPr>
          <w:i/>
          <w:iCs/>
        </w:rPr>
        <w:t>Vedic Metre in Its Historical Development</w:t>
      </w:r>
      <w:r>
        <w:t>. Cambridge: Cambridge University Press.</w:t>
      </w:r>
    </w:p>
    <w:p w14:paraId="3C33EF5A" w14:textId="77777777">
      <w:pPr>
        <w:pStyle w:val="Irodalomjegyzk"/>
      </w:pPr>
      <w:r>
        <w:t xml:space="preserve">Cappeller, Carl. 1872. </w:t>
      </w:r>
      <w:r>
        <w:rPr>
          <w:i/>
          <w:iCs/>
        </w:rPr>
        <w:t>Die Ganachandas: Ein Beitrag Zur Indischen Metrik</w:t>
      </w:r>
      <w:r>
        <w:t>. Leipzig: Hüthel &amp; Legler.</w:t>
      </w:r>
    </w:p>
    <w:p w14:paraId="2F72300E" w14:textId="77777777">
      <w:pPr>
        <w:pStyle w:val="Irodalomjegyzk"/>
      </w:pPr>
      <w:r>
        <w:t xml:space="preserve">Colebrooke, Henry Thomas. 1811. ‘On Sanscrĭt and Prácrĭt Poetry’. </w:t>
      </w:r>
      <w:r>
        <w:rPr>
          <w:i/>
          <w:iCs/>
        </w:rPr>
        <w:t>Asiatic Researches</w:t>
      </w:r>
      <w:r>
        <w:t xml:space="preserve"> 10: 389–474.</w:t>
      </w:r>
    </w:p>
    <w:p w14:paraId="4AAA5331" w14:textId="77777777">
      <w:pPr>
        <w:pStyle w:val="Irodalomjegyzk"/>
      </w:pPr>
      <w:r>
        <w:t xml:space="preserve">Jacobi, Hermann. 1885. ‘Zur Lehre vom Çloka’. </w:t>
      </w:r>
      <w:r>
        <w:rPr>
          <w:i/>
          <w:iCs/>
        </w:rPr>
        <w:t>Indische Studien</w:t>
      </w:r>
      <w:r>
        <w:t xml:space="preserve"> (17): 442–51.</w:t>
      </w:r>
    </w:p>
    <w:p w14:paraId="03464AEF" w14:textId="1CBC41D4">
      <w:pPr>
        <w:pStyle w:val="Irodalomjegyzk"/>
      </w:pPr>
      <w:r>
        <w:t xml:space="preserve">———. 1886. ‘Zur Kenntniss der Âryâ’. </w:t>
      </w:r>
      <w:r>
        <w:rPr>
          <w:i/>
          <w:iCs/>
        </w:rPr>
        <w:t xml:space="preserve">Zeitschrift der Deutschen </w:t>
      </w:r>
      <w:proofErr w:type="spellStart"/>
      <w:r>
        <w:rPr>
          <w:i/>
          <w:iCs/>
        </w:rPr>
        <w:t>Morgenländischen</w:t>
      </w:r>
      <w:proofErr w:type="spellEnd"/>
      <w:r>
        <w:rPr>
          <w:i/>
          <w:iCs/>
        </w:rPr>
        <w:t xml:space="preserve"> Gesellschaft</w:t>
      </w:r>
      <w:r>
        <w:t xml:space="preserve"> 40: 336–42..</w:t>
      </w:r>
    </w:p>
    <w:p w14:paraId="3AB554EB" w14:textId="77777777">
      <w:pPr>
        <w:pStyle w:val="Irodalomjegyzk"/>
      </w:pPr>
      <w:r>
        <w:t xml:space="preserve">Ollett, Andrew. 2013. ‘The Gaṇacchandas in the Indian Metrical Tradition’. In </w:t>
      </w:r>
      <w:r>
        <w:rPr>
          <w:i/>
          <w:iCs/>
        </w:rPr>
        <w:t>Puṣpikā: Tracing Ancient India, through Texts and Traditions. Contributions to Current Research in Indology. Volume 1, Proceedings of the First International Indology Graduate Research Symposium (September 2009, Oxford)</w:t>
      </w:r>
      <w:r>
        <w:t>, edited by Nina Mirnig, Péter-Dániel Szántó, and Michael Williams, 331–64. Oxford, Philadelphia: Oxbow Books.</w:t>
      </w:r>
    </w:p>
    <w:p w14:paraId="598787A6" w14:textId="77777777">
      <w:pPr>
        <w:pStyle w:val="Irodalomjegyzk"/>
      </w:pPr>
      <w:r>
        <w:t xml:space="preserve">Velankar, Hari Damodar. 1949. </w:t>
      </w:r>
      <w:r>
        <w:rPr>
          <w:i/>
          <w:iCs/>
        </w:rPr>
        <w:t>Jayadāman (A Collection of Ancient Texts on Sanskrit Prosody and a Classifi Ed List of Sanskrit Metres with an Alphabetical Index)</w:t>
      </w:r>
      <w:r>
        <w:t>. Haritoṣamālā 1. Bombay: Haritosha Samiti.</w:t>
      </w:r>
    </w:p>
    <w:p w14:paraId="3F6BD8B3" w14:textId="77777777">
      <w:pPr>
        <w:pStyle w:val="Irodalomjegyzk"/>
      </w:pPr>
      <w:r>
        <w:t xml:space="preserve">Venkatasubbiah, A. 1935. ‘The Gītikā Metre in Sanskrit’. </w:t>
      </w:r>
      <w:r>
        <w:rPr>
          <w:i/>
          <w:iCs/>
        </w:rPr>
        <w:t>Journal of Oriental Research</w:t>
      </w:r>
      <w:r>
        <w:t xml:space="preserve"> 9: 179–87.</w:t>
      </w:r>
    </w:p>
    <w:p w14:paraId="27652C5C" w14:textId="77777777">
      <w:pPr>
        <w:pStyle w:val="Irodalomjegyzk"/>
      </w:pPr>
      <w:r>
        <w:t xml:space="preserve">Warder, Anthony Kennedy. 1967. </w:t>
      </w:r>
      <w:r>
        <w:rPr>
          <w:i/>
          <w:iCs/>
        </w:rPr>
        <w:t>Pali Metre: A Contribution to the History of Indian Literature</w:t>
      </w:r>
      <w:r>
        <w:t>. London: The Pali Text Society.</w:t>
      </w:r>
    </w:p>
    <w:p w14:paraId="5B99C23E" w14:textId="7D361736">
      <w:pPr>
        <w:pStyle w:val="Irodalomjegyzk"/>
      </w:pPr>
      <w:r>
        <w:t xml:space="preserve">Zoetmulder, Petrus Josephus. 1974. </w:t>
      </w:r>
      <w:r>
        <w:rPr>
          <w:i/>
          <w:iCs/>
        </w:rPr>
        <w:t>Kalangwan: A Survey of Old Javanese Literature</w:t>
      </w:r>
      <w:r>
        <w:t>. Koninklijk Instituut Voor Taal-, Land- En Volkenkunde Translation Series 16. The Hague: Martinus Nijhoff.</w:t>
      </w:r>
    </w:p>
    <w:sectPr>
      <w:footerReference w:type="even" r:id="rId13"/>
      <w:footerReference w:type="default" r:id="rId14"/>
      <w:pgSz w:w="11906" w:h="16838" w:code="9"/>
      <w:pgMar w:top="1134" w:right="1134" w:bottom="1134" w:left="1134" w:header="709" w:footer="709"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AA18B" w14:textId="77777777">
      <w:pPr>
        <w:spacing w:line="240" w:lineRule="auto"/>
      </w:pPr>
      <w:r>
        <w:separator/>
      </w:r>
    </w:p>
  </w:endnote>
  <w:endnote w:type="continuationSeparator" w:id="0">
    <w:p w14:paraId="45C1817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ntium Plus">
    <w:altName w:val="Calibri"/>
    <w:panose1 w:val="02000503060000020004"/>
    <w:charset w:val="00"/>
    <w:family w:val="auto"/>
    <w:pitch w:val="variable"/>
    <w:sig w:usb0="E00003FF" w:usb1="5200E1FF" w:usb2="0A000029" w:usb3="00000000" w:csb0="0000019F" w:csb1="00000000"/>
  </w:font>
  <w:font w:name="Arial Unicode MS">
    <w:panose1 w:val="020B0604020202020204"/>
    <w:charset w:val="80"/>
    <w:family w:val="swiss"/>
    <w:pitch w:val="variable"/>
    <w:sig w:usb0="F7FFAFFF" w:usb1="E9DFFFFF" w:usb2="0000003F" w:usb3="00000000" w:csb0="003F01FF" w:csb1="00000000"/>
  </w:font>
  <w:font w:name="Gentium">
    <w:panose1 w:val="02000503060000020004"/>
    <w:charset w:val="00"/>
    <w:family w:val="auto"/>
    <w:pitch w:val="variable"/>
    <w:sig w:usb0="E00003FF" w:usb1="5200E5FF" w:usb2="0A000029" w:usb3="00000000" w:csb0="0000019F" w:csb1="00000000"/>
    <w:embedRegular r:id="rId1" w:fontKey="{A4286ECE-8F18-4319-AAE3-F027580B10A2}"/>
    <w:embedBold r:id="rId2" w:fontKey="{81D69C43-A9A9-49B9-A5D4-20A6C9E33AB5}"/>
    <w:embedItalic r:id="rId3" w:fontKey="{C86206B2-549F-48A9-8BA8-120F4BCD2015}"/>
    <w:embedBoldItalic r:id="rId4" w:fontKey="{B79CBBC3-EC10-41F0-90D0-DB8178A31752}"/>
  </w:font>
  <w:font w:name="Cambria">
    <w:panose1 w:val="02040503050406030204"/>
    <w:charset w:val="00"/>
    <w:family w:val="roman"/>
    <w:pitch w:val="variable"/>
    <w:sig w:usb0="E00006FF" w:usb1="420024FF" w:usb2="02000000" w:usb3="00000000" w:csb0="0000019F" w:csb1="00000000"/>
  </w:font>
  <w:font w:name="Tiro Devanagari Sanskrit">
    <w:altName w:val="Mangal"/>
    <w:panose1 w:val="02000000000000000000"/>
    <w:charset w:val="00"/>
    <w:family w:val="auto"/>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5" w:fontKey="{066B3625-063D-475F-9DE5-B759C0107FA2}"/>
    <w:embedBold r:id="rId6" w:fontKey="{323CA264-36E1-4079-8C1F-9348A217C19F}"/>
    <w:embedItalic r:id="rId7" w:fontKey="{0B297FE8-0E60-4D99-95FD-EFBB45B20959}"/>
  </w:font>
  <w:font w:name="Tahoma">
    <w:panose1 w:val="020B0604030504040204"/>
    <w:charset w:val="EE"/>
    <w:family w:val="swiss"/>
    <w:pitch w:val="variable"/>
    <w:sig w:usb0="E1002EFF" w:usb1="C000605B" w:usb2="00000029" w:usb3="00000000" w:csb0="000101FF" w:csb1="00000000"/>
  </w:font>
  <w:font w:name="Murty Sanskrit">
    <w:altName w:val="Mangal"/>
    <w:panose1 w:val="00000000000000000000"/>
    <w:charset w:val="00"/>
    <w:family w:val="modern"/>
    <w:notTrueType/>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embedRegular r:id="rId8" w:subsetted="1" w:fontKey="{7B85E27E-B179-45F4-BB0A-3CF85641D4F9}"/>
  </w:font>
  <w:font w:name="Tiro Kannada">
    <w:panose1 w:val="02000000000000000000"/>
    <w:charset w:val="00"/>
    <w:family w:val="auto"/>
    <w:pitch w:val="variable"/>
    <w:sig w:usb0="A040806F" w:usb1="0000200A" w:usb2="00000000" w:usb3="00000000" w:csb0="00000001" w:csb1="00000000"/>
  </w:font>
  <w:font w:name="Tiro Tamil">
    <w:panose1 w:val="02000000000000000000"/>
    <w:charset w:val="00"/>
    <w:family w:val="auto"/>
    <w:pitch w:val="variable"/>
    <w:sig w:usb0="A010806F" w:usb1="0000200A" w:usb2="00000000" w:usb3="00000000" w:csb0="00000001" w:csb1="00000000"/>
  </w:font>
  <w:font w:name="Noto Sans Balinese">
    <w:panose1 w:val="020B0502040504020204"/>
    <w:charset w:val="00"/>
    <w:family w:val="swiss"/>
    <w:pitch w:val="variable"/>
    <w:sig w:usb0="00000003" w:usb1="00000000" w:usb2="00000000" w:usb3="00000000" w:csb0="00000001" w:csb1="00000000"/>
  </w:font>
  <w:font w:name="Leelawadee UI">
    <w:panose1 w:val="020B0502040204020203"/>
    <w:charset w:val="00"/>
    <w:family w:val="swiss"/>
    <w:pitch w:val="variable"/>
    <w:sig w:usb0="A3000003" w:usb1="00000000" w:usb2="00010000" w:usb3="00000000" w:csb0="00010101" w:csb1="00000000"/>
  </w:font>
  <w:font w:name="Segoe UI Historic">
    <w:panose1 w:val="020B0502040204020203"/>
    <w:charset w:val="00"/>
    <w:family w:val="swiss"/>
    <w:pitch w:val="variable"/>
    <w:sig w:usb0="800001EF" w:usb1="02000002" w:usb2="0060C080" w:usb3="00000000" w:csb0="00000001" w:csb1="00000000"/>
  </w:font>
  <w:font w:name="DaunPenh">
    <w:charset w:val="00"/>
    <w:family w:val="auto"/>
    <w:pitch w:val="variable"/>
    <w:sig w:usb0="80000003" w:usb1="00000000" w:usb2="00010000" w:usb3="00000000" w:csb0="00000001" w:csb1="00000000"/>
  </w:font>
  <w:font w:name="Cardo">
    <w:panose1 w:val="02020600000000000000"/>
    <w:charset w:val="00"/>
    <w:family w:val="roman"/>
    <w:pitch w:val="variable"/>
    <w:sig w:usb0="E40008FF" w:usb1="5201E0FB" w:usb2="04608000" w:usb3="00000000" w:csb0="000000BB" w:csb1="00000000"/>
    <w:embedRegular r:id="rId9" w:subsetted="1" w:fontKey="{EF28E11E-DE1C-4FF0-B1C5-1EBE9731B379}"/>
  </w:font>
  <w:font w:name="Mangal">
    <w:panose1 w:val="02040503050203030202"/>
    <w:charset w:val="00"/>
    <w:family w:val="roman"/>
    <w:pitch w:val="variable"/>
    <w:sig w:usb0="00008003" w:usb1="00000000" w:usb2="00000000" w:usb3="00000000" w:csb0="00000001" w:csb1="00000000"/>
  </w:font>
  <w:font w:name="Noto Sans Grantha">
    <w:charset w:val="00"/>
    <w:family w:val="swiss"/>
    <w:pitch w:val="variable"/>
    <w:sig w:usb0="80108003" w:usb1="02002004" w:usb2="00000000" w:usb3="00000000" w:csb0="00000001" w:csb1="00000000"/>
  </w:font>
  <w:font w:name="Myanmar Text">
    <w:panose1 w:val="020B0502040204020203"/>
    <w:charset w:val="00"/>
    <w:family w:val="swiss"/>
    <w:pitch w:val="variable"/>
    <w:sig w:usb0="80000003" w:usb1="00000000" w:usb2="00000400" w:usb3="00000000" w:csb0="00000001" w:csb1="00000000"/>
  </w:font>
  <w:font w:name="Uttara">
    <w:panose1 w:val="02000000000000000000"/>
    <w:charset w:val="00"/>
    <w:family w:val="auto"/>
    <w:pitch w:val="variable"/>
    <w:sig w:usb0="A00082EF" w:usb1="5000214B" w:usb2="00000000" w:usb3="00000000" w:csb0="00000197" w:csb1="00000000"/>
  </w:font>
  <w:font w:name="Tiro Telugu">
    <w:panose1 w:val="02000000000000000000"/>
    <w:charset w:val="00"/>
    <w:family w:val="auto"/>
    <w:pitch w:val="variable"/>
    <w:sig w:usb0="A020006F" w:usb1="0000200A" w:usb2="00000000" w:usb3="00000000" w:csb0="00000001" w:csb1="00000000"/>
  </w:font>
  <w:font w:name="Nirmala UI">
    <w:panose1 w:val="020B0502040204020203"/>
    <w:charset w:val="00"/>
    <w:family w:val="swiss"/>
    <w:pitch w:val="variable"/>
    <w:sig w:usb0="80FF8023" w:usb1="0200004A" w:usb2="00000200" w:usb3="00000000" w:csb0="00000001" w:csb1="00000000"/>
  </w:font>
  <w:font w:name="Javanese Text">
    <w:panose1 w:val="02000000000000000000"/>
    <w:charset w:val="00"/>
    <w:family w:val="auto"/>
    <w:pitch w:val="variable"/>
    <w:sig w:usb0="80000003" w:usb1="00002000" w:usb2="00000000" w:usb3="00000000" w:csb0="00000001" w:csb1="00000000"/>
  </w:font>
  <w:font w:name="Satisar Sharada">
    <w:panose1 w:val="02000600000000000000"/>
    <w:charset w:val="00"/>
    <w:family w:val="auto"/>
    <w:pitch w:val="variable"/>
    <w:sig w:usb0="00000003" w:usb1="02000000" w:usb2="00000000" w:usb3="00000000" w:csb0="00000001" w:csb1="00000000"/>
  </w:font>
  <w:font w:name="Raavi">
    <w:panose1 w:val="02000500000000000000"/>
    <w:charset w:val="00"/>
    <w:family w:val="swiss"/>
    <w:pitch w:val="variable"/>
    <w:sig w:usb0="0002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embedRegular r:id="rId10" w:fontKey="{BBA5F208-FBA3-43D8-B074-6C160F6CF0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D8A93" w14:textId="77777777">
    <w:pPr>
      <w:pStyle w:val="llb"/>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74E44" w14:textId="77777777">
    <w:pPr>
      <w:jc w:val="right"/>
    </w:pPr>
    <w:r>
      <w:rPr>
        <w:sz w:val="20"/>
        <w:szCs w:val="20"/>
      </w:rPr>
      <w:t xml:space="preserv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F3A45" w14:textId="77777777">
      <w:pPr>
        <w:spacing w:line="240" w:lineRule="auto"/>
      </w:pPr>
      <w:r>
        <w:separator/>
      </w:r>
    </w:p>
  </w:footnote>
  <w:footnote w:type="continuationSeparator" w:id="0">
    <w:p w14:paraId="007D7E42" w14:textId="77777777">
      <w:pPr>
        <w:spacing w:line="240" w:lineRule="auto"/>
      </w:pPr>
      <w:r>
        <w:continuationSeparator/>
      </w:r>
    </w:p>
  </w:footnote>
  <w:footnote w:id="1">
    <w:p w14:paraId="3CA5B7E2" w14:textId="77777777">
      <w:pPr>
        <w:pStyle w:val="Lbjegyzetszveg"/>
      </w:pPr>
      <w:r>
        <w:tab/>
      </w:r>
      <w:r>
        <w:rPr>
          <w:rStyle w:val="Lbjegyzet-hivatkozs"/>
        </w:rPr>
        <w:footnoteRef/>
      </w:r>
      <w:r>
        <w:tab/>
        <w:t>Two iterations of | (</w:t>
      </w:r>
      <w:r>
        <w:rPr>
          <w:rStyle w:val="Code"/>
        </w:rPr>
        <w:t>U+007C</w:t>
      </w:r>
      <w:r>
        <w:t xml:space="preserve"> Vertical Line), not a ‖ double vertical bar character.</w:t>
      </w:r>
    </w:p>
  </w:footnote>
  <w:footnote w:id="2">
    <w:p w14:paraId="3C8C1AD0" w14:textId="77777777">
      <w:pPr>
        <w:pStyle w:val="Lbjegyzetszveg"/>
      </w:pPr>
      <w:r>
        <w:tab/>
      </w:r>
      <w:r>
        <w:rPr>
          <w:rStyle w:val="Lbjegyzet-hivatkozs"/>
        </w:rPr>
        <w:footnoteRef/>
      </w:r>
      <w:r>
        <w:tab/>
        <w:t xml:space="preserve">Contains up to 6 different types of elements which are: </w:t>
      </w:r>
      <w:r>
        <w:rPr>
          <w:rStyle w:val="Foreign"/>
        </w:rPr>
        <w:t>taravu</w:t>
      </w:r>
      <w:r>
        <w:t xml:space="preserve">, </w:t>
      </w:r>
      <w:r>
        <w:rPr>
          <w:rStyle w:val="Foreign"/>
        </w:rPr>
        <w:t>tāḻicai</w:t>
      </w:r>
      <w:r>
        <w:t xml:space="preserve">, </w:t>
      </w:r>
      <w:r>
        <w:rPr>
          <w:rStyle w:val="Foreign"/>
        </w:rPr>
        <w:t>arākam</w:t>
      </w:r>
      <w:r>
        <w:t xml:space="preserve">, </w:t>
      </w:r>
      <w:r>
        <w:rPr>
          <w:rStyle w:val="Foreign"/>
        </w:rPr>
        <w:t>ampōtaraṅkam</w:t>
      </w:r>
      <w:r>
        <w:t xml:space="preserve">, </w:t>
      </w:r>
      <w:r>
        <w:rPr>
          <w:rStyle w:val="Foreign"/>
        </w:rPr>
        <w:t>taṉiccol</w:t>
      </w:r>
      <w:r>
        <w:t xml:space="preserve">, </w:t>
      </w:r>
      <w:r>
        <w:rPr>
          <w:rStyle w:val="Foreign"/>
        </w:rPr>
        <w:t>curitakam</w:t>
      </w:r>
      <w:r>
        <w:t>.</w:t>
      </w:r>
    </w:p>
  </w:footnote>
  <w:footnote w:id="3">
    <w:p w14:paraId="65ED82DD" w14:textId="77777777">
      <w:pPr>
        <w:pStyle w:val="Lbjegyzetszveg"/>
      </w:pPr>
      <w:r>
        <w:tab/>
      </w:r>
      <w:r>
        <w:rPr>
          <w:rStyle w:val="Lbjegyzet-hivatkozs"/>
        </w:rPr>
        <w:footnoteRef/>
      </w:r>
      <w:r>
        <w:tab/>
        <w:t xml:space="preserve">Contains elements which are: </w:t>
      </w:r>
      <w:r>
        <w:rPr>
          <w:rStyle w:val="Foreign"/>
        </w:rPr>
        <w:t>taṉiccol</w:t>
      </w:r>
      <w:r>
        <w:t xml:space="preserve">, </w:t>
      </w:r>
      <w:r>
        <w:rPr>
          <w:rStyle w:val="Foreign"/>
        </w:rPr>
        <w:t>akaval-curitakam</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4FB1"/>
    <w:multiLevelType w:val="multilevel"/>
    <w:tmpl w:val="D4BCAE2C"/>
    <w:lvl w:ilvl="0">
      <w:start w:val="1"/>
      <w:numFmt w:val="decimal"/>
      <w:lvlText w:val="%1."/>
      <w:lvlJc w:val="left"/>
      <w:pPr>
        <w:ind w:left="170" w:hanging="170"/>
      </w:pPr>
      <w:rPr>
        <w:rFonts w:hint="default"/>
      </w:rPr>
    </w:lvl>
    <w:lvl w:ilvl="1">
      <w:start w:val="1"/>
      <w:numFmt w:val="bullet"/>
      <w:lvlText w:val="–"/>
      <w:lvlJc w:val="left"/>
      <w:pPr>
        <w:ind w:left="340" w:hanging="170"/>
      </w:pPr>
      <w:rPr>
        <w:rFonts w:hint="default"/>
      </w:rPr>
    </w:lvl>
    <w:lvl w:ilvl="2">
      <w:start w:val="1"/>
      <w:numFmt w:val="bullet"/>
      <w:lvlText w:val="–"/>
      <w:lvlJc w:val="left"/>
      <w:pPr>
        <w:ind w:left="510" w:hanging="170"/>
      </w:pPr>
      <w:rPr>
        <w:rFonts w:hint="default"/>
      </w:rPr>
    </w:lvl>
    <w:lvl w:ilvl="3">
      <w:start w:val="1"/>
      <w:numFmt w:val="bullet"/>
      <w:lvlText w:val="–"/>
      <w:lvlJc w:val="left"/>
      <w:pPr>
        <w:ind w:left="680" w:hanging="170"/>
      </w:pPr>
      <w:rPr>
        <w:rFonts w:hint="default"/>
      </w:rPr>
    </w:lvl>
    <w:lvl w:ilvl="4">
      <w:start w:val="1"/>
      <w:numFmt w:val="bullet"/>
      <w:lvlText w:val="–"/>
      <w:lvlJc w:val="left"/>
      <w:pPr>
        <w:ind w:left="850" w:hanging="170"/>
      </w:pPr>
      <w:rPr>
        <w:rFonts w:hint="default"/>
      </w:rPr>
    </w:lvl>
    <w:lvl w:ilvl="5">
      <w:start w:val="1"/>
      <w:numFmt w:val="bullet"/>
      <w:lvlText w:val="–"/>
      <w:lvlJc w:val="left"/>
      <w:pPr>
        <w:ind w:left="1020" w:hanging="170"/>
      </w:pPr>
      <w:rPr>
        <w:rFonts w:hint="default"/>
      </w:rPr>
    </w:lvl>
    <w:lvl w:ilvl="6">
      <w:start w:val="1"/>
      <w:numFmt w:val="bullet"/>
      <w:lvlText w:val="–"/>
      <w:lvlJc w:val="left"/>
      <w:pPr>
        <w:ind w:left="1190" w:hanging="170"/>
      </w:pPr>
      <w:rPr>
        <w:rFonts w:hint="default"/>
      </w:rPr>
    </w:lvl>
    <w:lvl w:ilvl="7">
      <w:start w:val="1"/>
      <w:numFmt w:val="bullet"/>
      <w:lvlText w:val="–"/>
      <w:lvlJc w:val="left"/>
      <w:pPr>
        <w:ind w:left="1360" w:hanging="170"/>
      </w:pPr>
      <w:rPr>
        <w:rFonts w:hint="default"/>
      </w:rPr>
    </w:lvl>
    <w:lvl w:ilvl="8">
      <w:start w:val="1"/>
      <w:numFmt w:val="bullet"/>
      <w:lvlText w:val="–"/>
      <w:lvlJc w:val="left"/>
      <w:pPr>
        <w:ind w:left="1530" w:hanging="170"/>
      </w:pPr>
      <w:rPr>
        <w:rFonts w:hint="default"/>
      </w:rPr>
    </w:lvl>
  </w:abstractNum>
  <w:abstractNum w:abstractNumId="1" w15:restartNumberingAfterBreak="0">
    <w:nsid w:val="015F46E5"/>
    <w:multiLevelType w:val="multilevel"/>
    <w:tmpl w:val="0526F8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20776C2"/>
    <w:multiLevelType w:val="hybridMultilevel"/>
    <w:tmpl w:val="F97A8352"/>
    <w:lvl w:ilvl="0" w:tplc="B96038A8">
      <w:start w:val="1"/>
      <w:numFmt w:val="bullet"/>
      <w:pStyle w:val="TableNote"/>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A6119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EE60E80"/>
    <w:multiLevelType w:val="hybridMultilevel"/>
    <w:tmpl w:val="9984D74C"/>
    <w:lvl w:ilvl="0" w:tplc="D2AA8480">
      <w:numFmt w:val="bullet"/>
      <w:lvlText w:val="-"/>
      <w:lvlJc w:val="left"/>
      <w:pPr>
        <w:ind w:left="720" w:hanging="360"/>
      </w:pPr>
      <w:rPr>
        <w:rFonts w:ascii="Gentium Plus" w:eastAsia="Arial Unicode MS" w:hAnsi="Gentium Plus" w:cs="Gentium Plu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5C0657B"/>
    <w:multiLevelType w:val="multilevel"/>
    <w:tmpl w:val="28ACCB18"/>
    <w:lvl w:ilvl="0">
      <w:start w:val="1"/>
      <w:numFmt w:val="bullet"/>
      <w:pStyle w:val="Lista"/>
      <w:lvlText w:val="–"/>
      <w:lvlJc w:val="left"/>
      <w:pPr>
        <w:ind w:left="170" w:hanging="170"/>
      </w:pPr>
      <w:rPr>
        <w:rFonts w:hint="default"/>
      </w:rPr>
    </w:lvl>
    <w:lvl w:ilvl="1">
      <w:start w:val="1"/>
      <w:numFmt w:val="bullet"/>
      <w:pStyle w:val="Lista2"/>
      <w:lvlText w:val="–"/>
      <w:lvlJc w:val="left"/>
      <w:pPr>
        <w:ind w:left="340" w:hanging="170"/>
      </w:pPr>
      <w:rPr>
        <w:rFonts w:hint="default"/>
      </w:rPr>
    </w:lvl>
    <w:lvl w:ilvl="2">
      <w:start w:val="1"/>
      <w:numFmt w:val="bullet"/>
      <w:pStyle w:val="Lista3"/>
      <w:lvlText w:val="–"/>
      <w:lvlJc w:val="left"/>
      <w:pPr>
        <w:ind w:left="510" w:hanging="170"/>
      </w:pPr>
      <w:rPr>
        <w:rFonts w:hint="default"/>
      </w:rPr>
    </w:lvl>
    <w:lvl w:ilvl="3">
      <w:start w:val="1"/>
      <w:numFmt w:val="bullet"/>
      <w:pStyle w:val="Lista4"/>
      <w:lvlText w:val="–"/>
      <w:lvlJc w:val="left"/>
      <w:pPr>
        <w:ind w:left="680" w:hanging="170"/>
      </w:pPr>
      <w:rPr>
        <w:rFonts w:hint="default"/>
      </w:rPr>
    </w:lvl>
    <w:lvl w:ilvl="4">
      <w:start w:val="1"/>
      <w:numFmt w:val="bullet"/>
      <w:pStyle w:val="Lista5"/>
      <w:lvlText w:val="–"/>
      <w:lvlJc w:val="left"/>
      <w:pPr>
        <w:ind w:left="850" w:hanging="170"/>
      </w:pPr>
      <w:rPr>
        <w:rFonts w:hint="default"/>
      </w:rPr>
    </w:lvl>
    <w:lvl w:ilvl="5">
      <w:start w:val="1"/>
      <w:numFmt w:val="bullet"/>
      <w:lvlText w:val="–"/>
      <w:lvlJc w:val="left"/>
      <w:pPr>
        <w:ind w:left="1020" w:hanging="170"/>
      </w:pPr>
      <w:rPr>
        <w:rFonts w:hint="default"/>
      </w:rPr>
    </w:lvl>
    <w:lvl w:ilvl="6">
      <w:start w:val="1"/>
      <w:numFmt w:val="bullet"/>
      <w:lvlText w:val="–"/>
      <w:lvlJc w:val="left"/>
      <w:pPr>
        <w:ind w:left="1190" w:hanging="170"/>
      </w:pPr>
      <w:rPr>
        <w:rFonts w:hint="default"/>
      </w:rPr>
    </w:lvl>
    <w:lvl w:ilvl="7">
      <w:start w:val="1"/>
      <w:numFmt w:val="bullet"/>
      <w:lvlText w:val="–"/>
      <w:lvlJc w:val="left"/>
      <w:pPr>
        <w:ind w:left="1360" w:hanging="170"/>
      </w:pPr>
      <w:rPr>
        <w:rFonts w:hint="default"/>
      </w:rPr>
    </w:lvl>
    <w:lvl w:ilvl="8">
      <w:start w:val="1"/>
      <w:numFmt w:val="bullet"/>
      <w:lvlText w:val="–"/>
      <w:lvlJc w:val="left"/>
      <w:pPr>
        <w:ind w:left="1530" w:hanging="170"/>
      </w:pPr>
      <w:rPr>
        <w:rFonts w:hint="default"/>
      </w:rPr>
    </w:lvl>
  </w:abstractNum>
  <w:abstractNum w:abstractNumId="6" w15:restartNumberingAfterBreak="0">
    <w:nsid w:val="33C674BD"/>
    <w:multiLevelType w:val="multilevel"/>
    <w:tmpl w:val="8C0E9F44"/>
    <w:lvl w:ilvl="0">
      <w:start w:val="1"/>
      <w:numFmt w:val="upperLetter"/>
      <w:suff w:val="space"/>
      <w:lvlText w:val="Appendix %1."/>
      <w:lvlJc w:val="left"/>
      <w:pPr>
        <w:ind w:left="0" w:firstLine="0"/>
      </w:pPr>
      <w:rPr>
        <w:rFonts w:hint="default"/>
      </w:rPr>
    </w:lvl>
    <w:lvl w:ilvl="1">
      <w:start w:val="1"/>
      <w:numFmt w:val="decimal"/>
      <w:suff w:val="space"/>
      <w:lvlText w:val="Appendix %1.%2."/>
      <w:lvlJc w:val="left"/>
      <w:pPr>
        <w:ind w:left="0" w:firstLine="0"/>
      </w:pPr>
      <w:rPr>
        <w:rFonts w:hint="default"/>
      </w:rPr>
    </w:lvl>
    <w:lvl w:ilvl="2">
      <w:start w:val="1"/>
      <w:numFmt w:val="decimal"/>
      <w:suff w:val="space"/>
      <w:lvlText w:val="Appendix %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7" w15:restartNumberingAfterBreak="0">
    <w:nsid w:val="365D43D7"/>
    <w:multiLevelType w:val="hybridMultilevel"/>
    <w:tmpl w:val="C4323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BF2672F"/>
    <w:multiLevelType w:val="multilevel"/>
    <w:tmpl w:val="6DE09A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089003F"/>
    <w:multiLevelType w:val="multilevel"/>
    <w:tmpl w:val="C69AAC88"/>
    <w:lvl w:ilvl="0">
      <w:start w:val="1"/>
      <w:numFmt w:val="bullet"/>
      <w:lvlText w:val="–"/>
      <w:lvlJc w:val="left"/>
      <w:pPr>
        <w:ind w:left="170" w:hanging="17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3C769A7"/>
    <w:multiLevelType w:val="multilevel"/>
    <w:tmpl w:val="2A5C878E"/>
    <w:lvl w:ilvl="0">
      <w:start w:val="1"/>
      <w:numFmt w:val="decimal"/>
      <w:pStyle w:val="Cmsor1"/>
      <w:suff w:val="space"/>
      <w:lvlText w:val="%1."/>
      <w:lvlJc w:val="left"/>
      <w:pPr>
        <w:ind w:left="0" w:firstLine="0"/>
      </w:pPr>
      <w:rPr>
        <w:rFonts w:hint="default"/>
      </w:rPr>
    </w:lvl>
    <w:lvl w:ilvl="1">
      <w:start w:val="1"/>
      <w:numFmt w:val="decimal"/>
      <w:pStyle w:val="Cmsor2"/>
      <w:suff w:val="space"/>
      <w:lvlText w:val="%1.%2."/>
      <w:lvlJc w:val="left"/>
      <w:pPr>
        <w:ind w:left="0" w:firstLine="0"/>
      </w:pPr>
      <w:rPr>
        <w:rFonts w:hint="default"/>
      </w:rPr>
    </w:lvl>
    <w:lvl w:ilvl="2">
      <w:start w:val="1"/>
      <w:numFmt w:val="decimal"/>
      <w:pStyle w:val="Cmsor3"/>
      <w:suff w:val="space"/>
      <w:lvlText w:val="%1.%2.%3."/>
      <w:lvlJc w:val="left"/>
      <w:pPr>
        <w:ind w:left="0" w:firstLine="0"/>
      </w:pPr>
      <w:rPr>
        <w:rFonts w:hint="default"/>
      </w:rPr>
    </w:lvl>
    <w:lvl w:ilvl="3">
      <w:start w:val="1"/>
      <w:numFmt w:val="decimal"/>
      <w:pStyle w:val="Cmsor4"/>
      <w:suff w:val="space"/>
      <w:lvlText w:val="%1.%2.%3.%4."/>
      <w:lvlJc w:val="left"/>
      <w:pPr>
        <w:ind w:left="0" w:firstLine="0"/>
      </w:pPr>
      <w:rPr>
        <w:rFonts w:hint="default"/>
      </w:rPr>
    </w:lvl>
    <w:lvl w:ilvl="4">
      <w:start w:val="1"/>
      <w:numFmt w:val="decimal"/>
      <w:pStyle w:val="Cmsor5"/>
      <w:suff w:val="space"/>
      <w:lvlText w:val="%1.%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1" w15:restartNumberingAfterBreak="0">
    <w:nsid w:val="595E2359"/>
    <w:multiLevelType w:val="multilevel"/>
    <w:tmpl w:val="8C0E9F44"/>
    <w:lvl w:ilvl="0">
      <w:start w:val="1"/>
      <w:numFmt w:val="upperLetter"/>
      <w:suff w:val="space"/>
      <w:lvlText w:val="Appendix %1."/>
      <w:lvlJc w:val="left"/>
      <w:pPr>
        <w:ind w:left="0" w:firstLine="0"/>
      </w:pPr>
      <w:rPr>
        <w:rFonts w:hint="default"/>
      </w:rPr>
    </w:lvl>
    <w:lvl w:ilvl="1">
      <w:start w:val="1"/>
      <w:numFmt w:val="decimal"/>
      <w:suff w:val="space"/>
      <w:lvlText w:val="Appendix %1.%2."/>
      <w:lvlJc w:val="left"/>
      <w:pPr>
        <w:ind w:left="0" w:firstLine="0"/>
      </w:pPr>
      <w:rPr>
        <w:rFonts w:hint="default"/>
      </w:rPr>
    </w:lvl>
    <w:lvl w:ilvl="2">
      <w:start w:val="1"/>
      <w:numFmt w:val="decimal"/>
      <w:suff w:val="space"/>
      <w:lvlText w:val="Appendix %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2" w15:restartNumberingAfterBreak="0">
    <w:nsid w:val="59B66AEB"/>
    <w:multiLevelType w:val="multilevel"/>
    <w:tmpl w:val="ABEE7108"/>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3" w15:restartNumberingAfterBreak="0">
    <w:nsid w:val="6526364B"/>
    <w:multiLevelType w:val="multilevel"/>
    <w:tmpl w:val="ED64D24A"/>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6AD70B07"/>
    <w:multiLevelType w:val="multilevel"/>
    <w:tmpl w:val="6DE09A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A456903"/>
    <w:multiLevelType w:val="multilevel"/>
    <w:tmpl w:val="8C0E9F44"/>
    <w:lvl w:ilvl="0">
      <w:start w:val="1"/>
      <w:numFmt w:val="upperLetter"/>
      <w:suff w:val="space"/>
      <w:lvlText w:val="Appendix %1."/>
      <w:lvlJc w:val="left"/>
      <w:pPr>
        <w:ind w:left="0" w:firstLine="0"/>
      </w:pPr>
      <w:rPr>
        <w:rFonts w:hint="default"/>
      </w:rPr>
    </w:lvl>
    <w:lvl w:ilvl="1">
      <w:start w:val="1"/>
      <w:numFmt w:val="decimal"/>
      <w:suff w:val="space"/>
      <w:lvlText w:val="Appendix %1.%2."/>
      <w:lvlJc w:val="left"/>
      <w:pPr>
        <w:ind w:left="0" w:firstLine="0"/>
      </w:pPr>
      <w:rPr>
        <w:rFonts w:hint="default"/>
      </w:rPr>
    </w:lvl>
    <w:lvl w:ilvl="2">
      <w:start w:val="1"/>
      <w:numFmt w:val="decimal"/>
      <w:suff w:val="space"/>
      <w:lvlText w:val="Appendix %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num w:numId="1" w16cid:durableId="450788805">
    <w:abstractNumId w:val="8"/>
  </w:num>
  <w:num w:numId="2" w16cid:durableId="86393852">
    <w:abstractNumId w:val="5"/>
  </w:num>
  <w:num w:numId="3" w16cid:durableId="713193123">
    <w:abstractNumId w:val="13"/>
  </w:num>
  <w:num w:numId="4" w16cid:durableId="523444698">
    <w:abstractNumId w:val="2"/>
  </w:num>
  <w:num w:numId="5" w16cid:durableId="1958026191">
    <w:abstractNumId w:val="12"/>
  </w:num>
  <w:num w:numId="6" w16cid:durableId="373773064">
    <w:abstractNumId w:val="14"/>
  </w:num>
  <w:num w:numId="7" w16cid:durableId="253101138">
    <w:abstractNumId w:val="6"/>
  </w:num>
  <w:num w:numId="8" w16cid:durableId="1645892291">
    <w:abstractNumId w:val="15"/>
  </w:num>
  <w:num w:numId="9" w16cid:durableId="1190875212">
    <w:abstractNumId w:val="10"/>
  </w:num>
  <w:num w:numId="10" w16cid:durableId="1234776608">
    <w:abstractNumId w:val="4"/>
  </w:num>
  <w:num w:numId="11" w16cid:durableId="1801142432">
    <w:abstractNumId w:val="1"/>
  </w:num>
  <w:num w:numId="12" w16cid:durableId="702248955">
    <w:abstractNumId w:val="9"/>
  </w:num>
  <w:num w:numId="13" w16cid:durableId="1214847294">
    <w:abstractNumId w:val="2"/>
  </w:num>
  <w:num w:numId="14" w16cid:durableId="1899630076">
    <w:abstractNumId w:val="2"/>
  </w:num>
  <w:num w:numId="15" w16cid:durableId="1320891403">
    <w:abstractNumId w:val="2"/>
  </w:num>
  <w:num w:numId="16" w16cid:durableId="1614705601">
    <w:abstractNumId w:val="7"/>
  </w:num>
  <w:num w:numId="17" w16cid:durableId="1555655741">
    <w:abstractNumId w:val="3"/>
  </w:num>
  <w:num w:numId="18" w16cid:durableId="180583453">
    <w:abstractNumId w:val="11"/>
  </w:num>
  <w:num w:numId="19" w16cid:durableId="199707647">
    <w:abstractNumId w:val="10"/>
  </w:num>
  <w:num w:numId="20" w16cid:durableId="1097947176">
    <w:abstractNumId w:val="10"/>
  </w:num>
  <w:num w:numId="21" w16cid:durableId="1834418524">
    <w:abstractNumId w:val="10"/>
  </w:num>
  <w:num w:numId="22" w16cid:durableId="2017727391">
    <w:abstractNumId w:val="10"/>
  </w:num>
  <w:num w:numId="23" w16cid:durableId="723914658">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saveSubsetFonts/>
  <w:proofState w:spelling="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avedView" w:val="3"/>
    <w:docVar w:name="varHeight1" w:val="1085"/>
    <w:docVar w:name="varHeight2" w:val="1085"/>
    <w:docVar w:name="varLeft1" w:val="-5"/>
    <w:docVar w:name="varLeft2" w:val="955"/>
    <w:docVar w:name="varNavHeight" w:val="1238"/>
    <w:docVar w:name="varNavLeft" w:val="0"/>
    <w:docVar w:name="varNavPosition" w:val="0"/>
    <w:docVar w:name="varNavTop" w:val="0"/>
    <w:docVar w:name="varNavVisible" w:val="True"/>
    <w:docVar w:name="varNavWidth" w:val="301"/>
    <w:docVar w:name="varPagination1" w:val="False"/>
    <w:docVar w:name="varPagination2" w:val="False"/>
    <w:docVar w:name="varRevCount1" w:val="0"/>
    <w:docVar w:name="varRevCount2" w:val="2"/>
    <w:docVar w:name="varRevShown2_1" w:val="True"/>
    <w:docVar w:name="varRevShown2_2" w:val="True"/>
    <w:docVar w:name="varSavedView1" w:val="3"/>
    <w:docVar w:name="varSavedView2" w:val="3"/>
    <w:docVar w:name="varSelStart1" w:val="0"/>
    <w:docVar w:name="varSelStart2" w:val="635316"/>
    <w:docVar w:name="varTop1" w:val="0"/>
    <w:docVar w:name="varTop2" w:val="0"/>
    <w:docVar w:name="varWidth1" w:val="1256"/>
    <w:docVar w:name="varWidth2" w:val="971"/>
    <w:docVar w:name="varWindowCount" w:val="1"/>
    <w:docVar w:name="varZoom" w:val="140"/>
    <w:docVar w:name="varZoom1" w:val="103"/>
    <w:docVar w:name="varZoom2" w:val="140"/>
  </w:docVars>
  <m:mathPr>
    <m:mathFont m:val="Cambria Math"/>
    <m:brkBin m:val="before"/>
    <m:brkBinSub m:val="--"/>
    <m:smallFrac m:val="0"/>
    <m:dispDef/>
    <m:lMargin m:val="0"/>
    <m:rMargin m:val="0"/>
    <m:defJc m:val="centerGroup"/>
    <m:wrapIndent m:val="1440"/>
    <m:intLim m:val="subSup"/>
    <m:naryLim m:val="undOvr"/>
  </m:mathPr>
  <w:themeFontLang w:val="en-GB" w:eastAsia="en-GB"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iscardImageEditingData/>
  <w14:defaultImageDpi w14:val="32767"/>
  <w15:docId w15:val="{9D51553F-46BB-44F5-8D61-679A0F21A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hi-IN"/>
      </w:rPr>
    </w:rPrDefault>
    <w:pPrDefault>
      <w:pPr>
        <w:widowControl w:val="0"/>
        <w:ind w:left="170"/>
        <w:jc w:val="both"/>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24" w:unhideWhenUsed="1" w:qFormat="1"/>
    <w:lsdException w:name="footer" w:semiHidden="1" w:uiPriority="24"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7" w:unhideWhenUsed="1" w:qFormat="1"/>
    <w:lsdException w:name="List Bullet" w:semiHidden="1" w:unhideWhenUsed="1"/>
    <w:lsdException w:name="List Number" w:semiHidden="1" w:unhideWhenUsed="1"/>
    <w:lsdException w:name="List 2" w:semiHidden="1" w:uiPriority="7" w:unhideWhenUsed="1"/>
    <w:lsdException w:name="List 3" w:semiHidden="1" w:uiPriority="7" w:unhideWhenUsed="1"/>
    <w:lsdException w:name="List 4" w:semiHidden="1" w:uiPriority="7" w:unhideWhenUsed="1"/>
    <w:lsdException w:name="List 5" w:semiHidden="1" w:uiPriority="7"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semiHidden="1" w:uiPriority="1" w:unhideWhenUsed="1"/>
    <w:lsdException w:name="Body Text" w:semiHidden="1" w:uiPriority="74"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pPr>
      <w:widowControl/>
      <w:spacing w:line="280" w:lineRule="exact"/>
      <w:ind w:left="0"/>
    </w:pPr>
    <w:rPr>
      <w:rFonts w:ascii="Gentium" w:eastAsiaTheme="minorEastAsia" w:hAnsi="Gentium" w:cs="Tiro Devanagari Sanskrit"/>
      <w:kern w:val="2"/>
      <w:sz w:val="22"/>
      <w:szCs w:val="22"/>
      <w:lang w:eastAsia="zh-TW"/>
      <w14:ligatures w14:val="standardContextual"/>
    </w:rPr>
  </w:style>
  <w:style w:type="paragraph" w:styleId="Cmsor1">
    <w:name w:val="heading 1"/>
    <w:basedOn w:val="Norml"/>
    <w:next w:val="Norml"/>
    <w:link w:val="Cmsor1Char"/>
    <w:uiPriority w:val="4"/>
    <w:qFormat/>
    <w:pPr>
      <w:keepNext/>
      <w:pageBreakBefore/>
      <w:numPr>
        <w:numId w:val="9"/>
      </w:numPr>
      <w:pBdr>
        <w:bottom w:val="thinThickMediumGap" w:sz="24" w:space="1" w:color="auto"/>
      </w:pBdr>
      <w:tabs>
        <w:tab w:val="left" w:pos="425"/>
      </w:tabs>
      <w:autoSpaceDE w:val="0"/>
      <w:autoSpaceDN w:val="0"/>
      <w:spacing w:before="240" w:after="240" w:line="360" w:lineRule="exact"/>
      <w:jc w:val="center"/>
      <w:outlineLvl w:val="0"/>
    </w:pPr>
    <w:rPr>
      <w:rFonts w:ascii="Calibri" w:eastAsia="Arial Unicode MS" w:hAnsi="Calibri"/>
      <w:b/>
      <w:bCs/>
      <w:kern w:val="32"/>
      <w:sz w:val="32"/>
      <w:szCs w:val="30"/>
      <w:lang w:eastAsia="en-US" w:bidi="ar-SA"/>
      <w14:ligatures w14:val="none"/>
    </w:rPr>
  </w:style>
  <w:style w:type="paragraph" w:styleId="Cmsor2">
    <w:name w:val="heading 2"/>
    <w:basedOn w:val="Cmsor1"/>
    <w:next w:val="Norml"/>
    <w:link w:val="Cmsor2Char"/>
    <w:uiPriority w:val="4"/>
    <w:qFormat/>
    <w:pPr>
      <w:pageBreakBefore w:val="0"/>
      <w:numPr>
        <w:ilvl w:val="1"/>
      </w:numPr>
      <w:pBdr>
        <w:bottom w:val="double" w:sz="12" w:space="1" w:color="auto"/>
      </w:pBdr>
      <w:tabs>
        <w:tab w:val="left" w:pos="567"/>
      </w:tabs>
      <w:jc w:val="left"/>
      <w:outlineLvl w:val="1"/>
    </w:pPr>
    <w:rPr>
      <w:b w:val="0"/>
      <w:bCs w:val="0"/>
      <w:sz w:val="28"/>
      <w:szCs w:val="26"/>
    </w:rPr>
  </w:style>
  <w:style w:type="paragraph" w:styleId="Cmsor3">
    <w:name w:val="heading 3"/>
    <w:basedOn w:val="Cmsor1"/>
    <w:next w:val="Norml"/>
    <w:link w:val="Cmsor3Char"/>
    <w:uiPriority w:val="4"/>
    <w:qFormat/>
    <w:pPr>
      <w:pageBreakBefore w:val="0"/>
      <w:numPr>
        <w:ilvl w:val="2"/>
      </w:numPr>
      <w:pBdr>
        <w:bottom w:val="single" w:sz="12" w:space="1" w:color="auto"/>
      </w:pBdr>
      <w:tabs>
        <w:tab w:val="left" w:pos="709"/>
      </w:tabs>
      <w:spacing w:before="120" w:after="120" w:line="320" w:lineRule="exact"/>
      <w:jc w:val="left"/>
      <w:outlineLvl w:val="2"/>
    </w:pPr>
    <w:rPr>
      <w:b w:val="0"/>
      <w:bCs w:val="0"/>
      <w:sz w:val="24"/>
      <w:szCs w:val="24"/>
    </w:rPr>
  </w:style>
  <w:style w:type="paragraph" w:styleId="Cmsor4">
    <w:name w:val="heading 4"/>
    <w:basedOn w:val="Cmsor3"/>
    <w:next w:val="Norml"/>
    <w:link w:val="Cmsor4Char"/>
    <w:uiPriority w:val="4"/>
    <w:qFormat/>
    <w:pPr>
      <w:numPr>
        <w:ilvl w:val="3"/>
      </w:numPr>
      <w:pBdr>
        <w:bottom w:val="single" w:sz="4" w:space="1" w:color="auto"/>
      </w:pBdr>
      <w:spacing w:before="240" w:after="60" w:line="280" w:lineRule="exact"/>
      <w:outlineLvl w:val="3"/>
    </w:pPr>
    <w:rPr>
      <w:sz w:val="22"/>
    </w:rPr>
  </w:style>
  <w:style w:type="paragraph" w:styleId="Cmsor5">
    <w:name w:val="heading 5"/>
    <w:basedOn w:val="Norml"/>
    <w:next w:val="Cmsor3"/>
    <w:link w:val="Cmsor5Char"/>
    <w:uiPriority w:val="4"/>
    <w:qFormat/>
    <w:pPr>
      <w:numPr>
        <w:ilvl w:val="4"/>
        <w:numId w:val="9"/>
      </w:numPr>
      <w:autoSpaceDE w:val="0"/>
      <w:autoSpaceDN w:val="0"/>
      <w:spacing w:before="120" w:after="60"/>
      <w:outlineLvl w:val="4"/>
    </w:pPr>
    <w:rPr>
      <w:rFonts w:ascii="Tahoma" w:eastAsia="Arial Unicode MS" w:hAnsi="Tahoma"/>
      <w:kern w:val="0"/>
      <w:lang w:val="hu-HU" w:eastAsia="en-US" w:bidi="ar-SA"/>
      <w14:ligatures w14:val="none"/>
    </w:rPr>
  </w:style>
  <w:style w:type="paragraph" w:styleId="Cmsor6">
    <w:name w:val="heading 6"/>
    <w:basedOn w:val="Norml"/>
    <w:next w:val="Norml"/>
    <w:uiPriority w:val="9"/>
    <w:semiHidden/>
    <w:unhideWhenUsed/>
    <w:qFormat/>
    <w:pPr>
      <w:keepNext/>
      <w:keepLines/>
      <w:autoSpaceDE w:val="0"/>
      <w:autoSpaceDN w:val="0"/>
      <w:spacing w:before="200" w:after="40"/>
      <w:outlineLvl w:val="5"/>
    </w:pPr>
    <w:rPr>
      <w:rFonts w:eastAsia="Arial Unicode MS"/>
      <w:b/>
      <w:kern w:val="0"/>
      <w:sz w:val="20"/>
      <w:szCs w:val="20"/>
      <w:lang w:eastAsia="en-US" w:bidi="ar-SA"/>
      <w14:ligatures w14:val="none"/>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4"/>
    <w:rPr>
      <w:rFonts w:ascii="Calibri" w:eastAsia="Arial Unicode MS" w:hAnsi="Calibri" w:cs="Tiro Devanagari Sanskrit"/>
      <w:b/>
      <w:bCs/>
      <w:kern w:val="32"/>
      <w:sz w:val="32"/>
      <w:szCs w:val="30"/>
      <w:lang w:eastAsia="en-US" w:bidi="ar-SA"/>
    </w:rPr>
  </w:style>
  <w:style w:type="character" w:customStyle="1" w:styleId="Cmsor2Char">
    <w:name w:val="Címsor 2 Char"/>
    <w:basedOn w:val="Bekezdsalapbettpusa"/>
    <w:link w:val="Cmsor2"/>
    <w:uiPriority w:val="4"/>
    <w:rPr>
      <w:rFonts w:ascii="Calibri" w:eastAsia="Arial Unicode MS" w:hAnsi="Calibri" w:cs="Tiro Devanagari Sanskrit"/>
      <w:kern w:val="32"/>
      <w:sz w:val="28"/>
      <w:szCs w:val="26"/>
      <w:lang w:eastAsia="en-US" w:bidi="ar-SA"/>
    </w:rPr>
  </w:style>
  <w:style w:type="character" w:customStyle="1" w:styleId="Cmsor3Char">
    <w:name w:val="Címsor 3 Char"/>
    <w:basedOn w:val="Bekezdsalapbettpusa"/>
    <w:link w:val="Cmsor3"/>
    <w:uiPriority w:val="4"/>
    <w:rPr>
      <w:rFonts w:ascii="Calibri" w:eastAsia="Arial Unicode MS" w:hAnsi="Calibri" w:cs="Tiro Devanagari Sanskrit"/>
      <w:kern w:val="32"/>
      <w:lang w:eastAsia="en-US" w:bidi="ar-SA"/>
    </w:rPr>
  </w:style>
  <w:style w:type="character" w:customStyle="1" w:styleId="Cmsor4Char">
    <w:name w:val="Címsor 4 Char"/>
    <w:basedOn w:val="Bekezdsalapbettpusa"/>
    <w:link w:val="Cmsor4"/>
    <w:uiPriority w:val="4"/>
    <w:rPr>
      <w:rFonts w:ascii="Calibri" w:eastAsia="Arial Unicode MS" w:hAnsi="Calibri" w:cs="Tiro Devanagari Sanskrit"/>
      <w:kern w:val="32"/>
      <w:sz w:val="22"/>
      <w:lang w:eastAsia="en-US" w:bidi="ar-SA"/>
    </w:rPr>
  </w:style>
  <w:style w:type="character" w:customStyle="1" w:styleId="Cmsor5Char">
    <w:name w:val="Címsor 5 Char"/>
    <w:basedOn w:val="Bekezdsalapbettpusa"/>
    <w:link w:val="Cmsor5"/>
    <w:uiPriority w:val="4"/>
    <w:rPr>
      <w:rFonts w:ascii="Tahoma" w:eastAsia="Arial Unicode MS" w:hAnsi="Tahoma" w:cs="Tiro Devanagari Sanskrit"/>
      <w:sz w:val="22"/>
      <w:szCs w:val="22"/>
      <w:lang w:val="hu-HU" w:eastAsia="en-US" w:bidi="ar-SA"/>
    </w:rPr>
  </w:style>
  <w:style w:type="table" w:customStyle="1" w:styleId="TableNormal">
    <w:name w:val="Table Normal"/>
    <w:pPr>
      <w:ind w:left="0"/>
    </w:pPr>
    <w:rPr>
      <w:rFonts w:ascii="Gentium Plus" w:eastAsia="Arial Unicode MS" w:hAnsi="Gentium Plus" w:cs="Murty Sanskrit"/>
      <w:lang w:eastAsia="zh-TW"/>
    </w:rPr>
    <w:tblPr>
      <w:tblCellMar>
        <w:top w:w="0" w:type="dxa"/>
        <w:left w:w="0" w:type="dxa"/>
        <w:bottom w:w="0" w:type="dxa"/>
        <w:right w:w="0" w:type="dxa"/>
      </w:tblCellMar>
    </w:tblPr>
  </w:style>
  <w:style w:type="paragraph" w:styleId="Cm">
    <w:name w:val="Title"/>
    <w:basedOn w:val="Norml"/>
    <w:link w:val="CmChar"/>
    <w:uiPriority w:val="9"/>
    <w:qFormat/>
    <w:pPr>
      <w:pageBreakBefore/>
      <w:autoSpaceDE w:val="0"/>
      <w:autoSpaceDN w:val="0"/>
      <w:spacing w:after="240" w:line="240" w:lineRule="auto"/>
      <w:jc w:val="center"/>
      <w:outlineLvl w:val="0"/>
    </w:pPr>
    <w:rPr>
      <w:rFonts w:ascii="Calibri" w:eastAsia="Arial Unicode MS" w:hAnsi="Calibri"/>
      <w:b/>
      <w:bCs/>
      <w:kern w:val="28"/>
      <w:sz w:val="96"/>
      <w:szCs w:val="32"/>
      <w:lang w:eastAsia="en-US" w:bidi="ar-SA"/>
      <w14:ligatures w14:val="none"/>
    </w:rPr>
  </w:style>
  <w:style w:type="character" w:customStyle="1" w:styleId="CmChar">
    <w:name w:val="Cím Char"/>
    <w:basedOn w:val="Bekezdsalapbettpusa"/>
    <w:link w:val="Cm"/>
    <w:uiPriority w:val="9"/>
    <w:rPr>
      <w:rFonts w:ascii="Calibri" w:eastAsia="Arial Unicode MS" w:hAnsi="Calibri" w:cs="Tiro Devanagari Sanskrit"/>
      <w:b/>
      <w:bCs/>
      <w:kern w:val="28"/>
      <w:sz w:val="96"/>
      <w:szCs w:val="32"/>
      <w:lang w:eastAsia="en-US" w:bidi="ar-SA"/>
    </w:rPr>
  </w:style>
  <w:style w:type="paragraph" w:styleId="Alcm">
    <w:name w:val="Subtitle"/>
    <w:basedOn w:val="Norml"/>
    <w:link w:val="AlcmChar"/>
    <w:uiPriority w:val="9"/>
    <w:qFormat/>
    <w:pPr>
      <w:spacing w:before="120" w:after="120"/>
      <w:jc w:val="center"/>
      <w:outlineLvl w:val="1"/>
    </w:pPr>
    <w:rPr>
      <w:rFonts w:ascii="Tahoma" w:hAnsi="Tahoma"/>
      <w:sz w:val="28"/>
      <w:szCs w:val="26"/>
    </w:rPr>
  </w:style>
  <w:style w:type="character" w:customStyle="1" w:styleId="AlcmChar">
    <w:name w:val="Alcím Char"/>
    <w:basedOn w:val="Bekezdsalapbettpusa"/>
    <w:link w:val="Alcm"/>
    <w:uiPriority w:val="9"/>
    <w:rPr>
      <w:rFonts w:ascii="Tahoma" w:eastAsiaTheme="minorEastAsia" w:hAnsi="Tahoma" w:cs="Tiro Devanagari Sanskrit"/>
      <w:kern w:val="2"/>
      <w:sz w:val="28"/>
      <w:szCs w:val="26"/>
      <w:lang w:eastAsia="zh-TW"/>
      <w14:ligatures w14:val="standardContextual"/>
    </w:rPr>
  </w:style>
  <w:style w:type="table" w:customStyle="1" w:styleId="84">
    <w:name w:val="84"/>
    <w:basedOn w:val="TableNormal"/>
    <w:tblPr>
      <w:tblStyleRowBandSize w:val="1"/>
      <w:tblStyleColBandSize w:val="1"/>
      <w:tblCellMar>
        <w:top w:w="100" w:type="dxa"/>
        <w:left w:w="100" w:type="dxa"/>
        <w:bottom w:w="100" w:type="dxa"/>
        <w:right w:w="100" w:type="dxa"/>
      </w:tblCellMar>
    </w:tblPr>
  </w:style>
  <w:style w:type="table" w:customStyle="1" w:styleId="83">
    <w:name w:val="83"/>
    <w:basedOn w:val="TableNormal"/>
    <w:tblPr>
      <w:tblStyleRowBandSize w:val="1"/>
      <w:tblStyleColBandSize w:val="1"/>
      <w:tblCellMar>
        <w:top w:w="100" w:type="dxa"/>
        <w:left w:w="100" w:type="dxa"/>
        <w:bottom w:w="100" w:type="dxa"/>
        <w:right w:w="100" w:type="dxa"/>
      </w:tblCellMar>
    </w:tblPr>
  </w:style>
  <w:style w:type="table" w:customStyle="1" w:styleId="82">
    <w:name w:val="82"/>
    <w:basedOn w:val="TableNormal"/>
    <w:tblPr>
      <w:tblStyleRowBandSize w:val="1"/>
      <w:tblStyleColBandSize w:val="1"/>
      <w:tblCellMar>
        <w:top w:w="100" w:type="dxa"/>
        <w:left w:w="100" w:type="dxa"/>
        <w:bottom w:w="100" w:type="dxa"/>
        <w:right w:w="100" w:type="dxa"/>
      </w:tblCellMar>
    </w:tblPr>
  </w:style>
  <w:style w:type="table" w:customStyle="1" w:styleId="81">
    <w:name w:val="81"/>
    <w:basedOn w:val="TableNormal"/>
    <w:tblPr>
      <w:tblStyleRowBandSize w:val="1"/>
      <w:tblStyleColBandSize w:val="1"/>
      <w:tblCellMar>
        <w:top w:w="100" w:type="dxa"/>
        <w:left w:w="100" w:type="dxa"/>
        <w:bottom w:w="100" w:type="dxa"/>
        <w:right w:w="100" w:type="dxa"/>
      </w:tblCellMar>
    </w:tblPr>
  </w:style>
  <w:style w:type="table" w:customStyle="1" w:styleId="80">
    <w:name w:val="80"/>
    <w:basedOn w:val="TableNormal"/>
    <w:tblPr>
      <w:tblStyleRowBandSize w:val="1"/>
      <w:tblStyleColBandSize w:val="1"/>
      <w:tblCellMar>
        <w:top w:w="100" w:type="dxa"/>
        <w:left w:w="100" w:type="dxa"/>
        <w:bottom w:w="100" w:type="dxa"/>
        <w:right w:w="100" w:type="dxa"/>
      </w:tblCellMar>
    </w:tblPr>
  </w:style>
  <w:style w:type="table" w:customStyle="1" w:styleId="79">
    <w:name w:val="79"/>
    <w:basedOn w:val="TableNormal"/>
    <w:tblPr>
      <w:tblStyleRowBandSize w:val="1"/>
      <w:tblStyleColBandSize w:val="1"/>
      <w:tblCellMar>
        <w:top w:w="100" w:type="dxa"/>
        <w:left w:w="100" w:type="dxa"/>
        <w:bottom w:w="100" w:type="dxa"/>
        <w:right w:w="100" w:type="dxa"/>
      </w:tblCellMar>
    </w:tblPr>
  </w:style>
  <w:style w:type="table" w:customStyle="1" w:styleId="78">
    <w:name w:val="78"/>
    <w:basedOn w:val="TableNormal"/>
    <w:tblPr>
      <w:tblStyleRowBandSize w:val="1"/>
      <w:tblStyleColBandSize w:val="1"/>
      <w:tblCellMar>
        <w:top w:w="100" w:type="dxa"/>
        <w:left w:w="100" w:type="dxa"/>
        <w:bottom w:w="100" w:type="dxa"/>
        <w:right w:w="100" w:type="dxa"/>
      </w:tblCellMar>
    </w:tblPr>
  </w:style>
  <w:style w:type="table" w:customStyle="1" w:styleId="77">
    <w:name w:val="77"/>
    <w:basedOn w:val="TableNormal"/>
    <w:tblPr>
      <w:tblStyleRowBandSize w:val="1"/>
      <w:tblStyleColBandSize w:val="1"/>
      <w:tblCellMar>
        <w:top w:w="100" w:type="dxa"/>
        <w:left w:w="100" w:type="dxa"/>
        <w:bottom w:w="100" w:type="dxa"/>
        <w:right w:w="100" w:type="dxa"/>
      </w:tblCellMar>
    </w:tblPr>
  </w:style>
  <w:style w:type="table" w:customStyle="1" w:styleId="76">
    <w:name w:val="76"/>
    <w:basedOn w:val="TableNormal"/>
    <w:tblPr>
      <w:tblStyleRowBandSize w:val="1"/>
      <w:tblStyleColBandSize w:val="1"/>
      <w:tblCellMar>
        <w:top w:w="100" w:type="dxa"/>
        <w:left w:w="100" w:type="dxa"/>
        <w:bottom w:w="100" w:type="dxa"/>
        <w:right w:w="100" w:type="dxa"/>
      </w:tblCellMar>
    </w:tblPr>
  </w:style>
  <w:style w:type="table" w:customStyle="1" w:styleId="75">
    <w:name w:val="75"/>
    <w:basedOn w:val="TableNormal"/>
    <w:tblPr>
      <w:tblStyleRowBandSize w:val="1"/>
      <w:tblStyleColBandSize w:val="1"/>
      <w:tblCellMar>
        <w:top w:w="100" w:type="dxa"/>
        <w:left w:w="100" w:type="dxa"/>
        <w:bottom w:w="100" w:type="dxa"/>
        <w:right w:w="100" w:type="dxa"/>
      </w:tblCellMar>
    </w:tblPr>
  </w:style>
  <w:style w:type="table" w:customStyle="1" w:styleId="74">
    <w:name w:val="74"/>
    <w:basedOn w:val="TableNormal"/>
    <w:tblPr>
      <w:tblStyleRowBandSize w:val="1"/>
      <w:tblStyleColBandSize w:val="1"/>
      <w:tblCellMar>
        <w:top w:w="100" w:type="dxa"/>
        <w:left w:w="100" w:type="dxa"/>
        <w:bottom w:w="100" w:type="dxa"/>
        <w:right w:w="100" w:type="dxa"/>
      </w:tblCellMar>
    </w:tblPr>
  </w:style>
  <w:style w:type="table" w:customStyle="1" w:styleId="73">
    <w:name w:val="73"/>
    <w:basedOn w:val="TableNormal"/>
    <w:tblPr>
      <w:tblStyleRowBandSize w:val="1"/>
      <w:tblStyleColBandSize w:val="1"/>
      <w:tblCellMar>
        <w:top w:w="100" w:type="dxa"/>
        <w:left w:w="100" w:type="dxa"/>
        <w:bottom w:w="100" w:type="dxa"/>
        <w:right w:w="100" w:type="dxa"/>
      </w:tblCellMar>
    </w:tblPr>
  </w:style>
  <w:style w:type="table" w:customStyle="1" w:styleId="72">
    <w:name w:val="72"/>
    <w:basedOn w:val="TableNormal"/>
    <w:tblPr>
      <w:tblStyleRowBandSize w:val="1"/>
      <w:tblStyleColBandSize w:val="1"/>
      <w:tblCellMar>
        <w:top w:w="100" w:type="dxa"/>
        <w:left w:w="100" w:type="dxa"/>
        <w:bottom w:w="100" w:type="dxa"/>
        <w:right w:w="100" w:type="dxa"/>
      </w:tblCellMar>
    </w:tblPr>
  </w:style>
  <w:style w:type="table" w:customStyle="1" w:styleId="71">
    <w:name w:val="71"/>
    <w:basedOn w:val="TableNormal"/>
    <w:tblPr>
      <w:tblStyleRowBandSize w:val="1"/>
      <w:tblStyleColBandSize w:val="1"/>
      <w:tblCellMar>
        <w:top w:w="100" w:type="dxa"/>
        <w:left w:w="100" w:type="dxa"/>
        <w:bottom w:w="100" w:type="dxa"/>
        <w:right w:w="100" w:type="dxa"/>
      </w:tblCellMar>
    </w:tblPr>
  </w:style>
  <w:style w:type="table" w:customStyle="1" w:styleId="70">
    <w:name w:val="70"/>
    <w:basedOn w:val="TableNormal"/>
    <w:tblPr>
      <w:tblStyleRowBandSize w:val="1"/>
      <w:tblStyleColBandSize w:val="1"/>
      <w:tblCellMar>
        <w:top w:w="100" w:type="dxa"/>
        <w:left w:w="100" w:type="dxa"/>
        <w:bottom w:w="100" w:type="dxa"/>
        <w:right w:w="100" w:type="dxa"/>
      </w:tblCellMar>
    </w:tblPr>
  </w:style>
  <w:style w:type="table" w:customStyle="1" w:styleId="69">
    <w:name w:val="69"/>
    <w:basedOn w:val="TableNormal"/>
    <w:tblPr>
      <w:tblStyleRowBandSize w:val="1"/>
      <w:tblStyleColBandSize w:val="1"/>
      <w:tblCellMar>
        <w:top w:w="100" w:type="dxa"/>
        <w:left w:w="100" w:type="dxa"/>
        <w:bottom w:w="100" w:type="dxa"/>
        <w:right w:w="100" w:type="dxa"/>
      </w:tblCellMar>
    </w:tblPr>
  </w:style>
  <w:style w:type="table" w:customStyle="1" w:styleId="68">
    <w:name w:val="68"/>
    <w:basedOn w:val="TableNormal"/>
    <w:tblPr>
      <w:tblStyleRowBandSize w:val="1"/>
      <w:tblStyleColBandSize w:val="1"/>
      <w:tblCellMar>
        <w:top w:w="100" w:type="dxa"/>
        <w:left w:w="100" w:type="dxa"/>
        <w:bottom w:w="100" w:type="dxa"/>
        <w:right w:w="100" w:type="dxa"/>
      </w:tblCellMar>
    </w:tblPr>
  </w:style>
  <w:style w:type="table" w:customStyle="1" w:styleId="67">
    <w:name w:val="67"/>
    <w:basedOn w:val="TableNormal"/>
    <w:tblPr>
      <w:tblStyleRowBandSize w:val="1"/>
      <w:tblStyleColBandSize w:val="1"/>
      <w:tblCellMar>
        <w:top w:w="100" w:type="dxa"/>
        <w:left w:w="100" w:type="dxa"/>
        <w:bottom w:w="100" w:type="dxa"/>
        <w:right w:w="100" w:type="dxa"/>
      </w:tblCellMar>
    </w:tblPr>
  </w:style>
  <w:style w:type="table" w:customStyle="1" w:styleId="66">
    <w:name w:val="66"/>
    <w:basedOn w:val="TableNormal"/>
    <w:tblPr>
      <w:tblStyleRowBandSize w:val="1"/>
      <w:tblStyleColBandSize w:val="1"/>
      <w:tblCellMar>
        <w:top w:w="100" w:type="dxa"/>
        <w:left w:w="100" w:type="dxa"/>
        <w:bottom w:w="100" w:type="dxa"/>
        <w:right w:w="100" w:type="dxa"/>
      </w:tblCellMar>
    </w:tblPr>
  </w:style>
  <w:style w:type="table" w:customStyle="1" w:styleId="65">
    <w:name w:val="65"/>
    <w:basedOn w:val="TableNormal"/>
    <w:tblPr>
      <w:tblStyleRowBandSize w:val="1"/>
      <w:tblStyleColBandSize w:val="1"/>
      <w:tblCellMar>
        <w:top w:w="100" w:type="dxa"/>
        <w:left w:w="100" w:type="dxa"/>
        <w:bottom w:w="100" w:type="dxa"/>
        <w:right w:w="100" w:type="dxa"/>
      </w:tblCellMar>
    </w:tblPr>
  </w:style>
  <w:style w:type="table" w:customStyle="1" w:styleId="64">
    <w:name w:val="64"/>
    <w:basedOn w:val="TableNormal"/>
    <w:tblPr>
      <w:tblStyleRowBandSize w:val="1"/>
      <w:tblStyleColBandSize w:val="1"/>
      <w:tblCellMar>
        <w:top w:w="100" w:type="dxa"/>
        <w:left w:w="100" w:type="dxa"/>
        <w:bottom w:w="100" w:type="dxa"/>
        <w:right w:w="100" w:type="dxa"/>
      </w:tblCellMar>
    </w:tblPr>
  </w:style>
  <w:style w:type="table" w:customStyle="1" w:styleId="63">
    <w:name w:val="63"/>
    <w:basedOn w:val="TableNormal"/>
    <w:tblPr>
      <w:tblStyleRowBandSize w:val="1"/>
      <w:tblStyleColBandSize w:val="1"/>
      <w:tblCellMar>
        <w:top w:w="100" w:type="dxa"/>
        <w:left w:w="100" w:type="dxa"/>
        <w:bottom w:w="100" w:type="dxa"/>
        <w:right w:w="100" w:type="dxa"/>
      </w:tblCellMar>
    </w:tblPr>
  </w:style>
  <w:style w:type="table" w:customStyle="1" w:styleId="62">
    <w:name w:val="62"/>
    <w:basedOn w:val="TableNormal"/>
    <w:tblPr>
      <w:tblStyleRowBandSize w:val="1"/>
      <w:tblStyleColBandSize w:val="1"/>
      <w:tblCellMar>
        <w:top w:w="100" w:type="dxa"/>
        <w:left w:w="100" w:type="dxa"/>
        <w:bottom w:w="100" w:type="dxa"/>
        <w:right w:w="100" w:type="dxa"/>
      </w:tblCellMar>
    </w:tblPr>
  </w:style>
  <w:style w:type="table" w:customStyle="1" w:styleId="61">
    <w:name w:val="61"/>
    <w:basedOn w:val="TableNormal"/>
    <w:tblPr>
      <w:tblStyleRowBandSize w:val="1"/>
      <w:tblStyleColBandSize w:val="1"/>
      <w:tblCellMar>
        <w:top w:w="100" w:type="dxa"/>
        <w:left w:w="100" w:type="dxa"/>
        <w:bottom w:w="100" w:type="dxa"/>
        <w:right w:w="100" w:type="dxa"/>
      </w:tblCellMar>
    </w:tblPr>
  </w:style>
  <w:style w:type="table" w:customStyle="1" w:styleId="60">
    <w:name w:val="60"/>
    <w:basedOn w:val="TableNormal"/>
    <w:tblPr>
      <w:tblStyleRowBandSize w:val="1"/>
      <w:tblStyleColBandSize w:val="1"/>
      <w:tblCellMar>
        <w:top w:w="100" w:type="dxa"/>
        <w:left w:w="100" w:type="dxa"/>
        <w:bottom w:w="100" w:type="dxa"/>
        <w:right w:w="100" w:type="dxa"/>
      </w:tblCellMar>
    </w:tblPr>
  </w:style>
  <w:style w:type="table" w:customStyle="1" w:styleId="59">
    <w:name w:val="59"/>
    <w:basedOn w:val="TableNormal"/>
    <w:tblPr>
      <w:tblStyleRowBandSize w:val="1"/>
      <w:tblStyleColBandSize w:val="1"/>
      <w:tblCellMar>
        <w:top w:w="100" w:type="dxa"/>
        <w:left w:w="100" w:type="dxa"/>
        <w:bottom w:w="100" w:type="dxa"/>
        <w:right w:w="100" w:type="dxa"/>
      </w:tblCellMar>
    </w:tblPr>
  </w:style>
  <w:style w:type="table" w:customStyle="1" w:styleId="58">
    <w:name w:val="58"/>
    <w:basedOn w:val="TableNormal"/>
    <w:tblPr>
      <w:tblStyleRowBandSize w:val="1"/>
      <w:tblStyleColBandSize w:val="1"/>
      <w:tblCellMar>
        <w:top w:w="100" w:type="dxa"/>
        <w:left w:w="100" w:type="dxa"/>
        <w:bottom w:w="100" w:type="dxa"/>
        <w:right w:w="100" w:type="dxa"/>
      </w:tblCellMar>
    </w:tblPr>
  </w:style>
  <w:style w:type="table" w:customStyle="1" w:styleId="57">
    <w:name w:val="57"/>
    <w:basedOn w:val="TableNormal"/>
    <w:tblPr>
      <w:tblStyleRowBandSize w:val="1"/>
      <w:tblStyleColBandSize w:val="1"/>
      <w:tblCellMar>
        <w:top w:w="100" w:type="dxa"/>
        <w:left w:w="100" w:type="dxa"/>
        <w:bottom w:w="100" w:type="dxa"/>
        <w:right w:w="100" w:type="dxa"/>
      </w:tblCellMar>
    </w:tblPr>
  </w:style>
  <w:style w:type="table" w:customStyle="1" w:styleId="56">
    <w:name w:val="56"/>
    <w:basedOn w:val="TableNormal"/>
    <w:tblPr>
      <w:tblStyleRowBandSize w:val="1"/>
      <w:tblStyleColBandSize w:val="1"/>
      <w:tblCellMar>
        <w:top w:w="100" w:type="dxa"/>
        <w:left w:w="100" w:type="dxa"/>
        <w:bottom w:w="100" w:type="dxa"/>
        <w:right w:w="100" w:type="dxa"/>
      </w:tblCellMar>
    </w:tblPr>
  </w:style>
  <w:style w:type="table" w:customStyle="1" w:styleId="55">
    <w:name w:val="55"/>
    <w:basedOn w:val="TableNormal"/>
    <w:tblPr>
      <w:tblStyleRowBandSize w:val="1"/>
      <w:tblStyleColBandSize w:val="1"/>
      <w:tblCellMar>
        <w:top w:w="100" w:type="dxa"/>
        <w:left w:w="100" w:type="dxa"/>
        <w:bottom w:w="100" w:type="dxa"/>
        <w:right w:w="100" w:type="dxa"/>
      </w:tblCellMar>
    </w:tblPr>
  </w:style>
  <w:style w:type="table" w:customStyle="1" w:styleId="54">
    <w:name w:val="54"/>
    <w:basedOn w:val="TableNormal"/>
    <w:tblPr>
      <w:tblStyleRowBandSize w:val="1"/>
      <w:tblStyleColBandSize w:val="1"/>
      <w:tblCellMar>
        <w:top w:w="100" w:type="dxa"/>
        <w:left w:w="100" w:type="dxa"/>
        <w:bottom w:w="100" w:type="dxa"/>
        <w:right w:w="100" w:type="dxa"/>
      </w:tblCellMar>
    </w:tblPr>
  </w:style>
  <w:style w:type="table" w:customStyle="1" w:styleId="53">
    <w:name w:val="53"/>
    <w:basedOn w:val="TableNormal"/>
    <w:tblPr>
      <w:tblStyleRowBandSize w:val="1"/>
      <w:tblStyleColBandSize w:val="1"/>
      <w:tblCellMar>
        <w:top w:w="100" w:type="dxa"/>
        <w:left w:w="100" w:type="dxa"/>
        <w:bottom w:w="100" w:type="dxa"/>
        <w:right w:w="100" w:type="dxa"/>
      </w:tblCellMar>
    </w:tblPr>
  </w:style>
  <w:style w:type="table" w:customStyle="1" w:styleId="52">
    <w:name w:val="52"/>
    <w:basedOn w:val="TableNormal"/>
    <w:tblPr>
      <w:tblStyleRowBandSize w:val="1"/>
      <w:tblStyleColBandSize w:val="1"/>
      <w:tblCellMar>
        <w:top w:w="100" w:type="dxa"/>
        <w:left w:w="100" w:type="dxa"/>
        <w:bottom w:w="100" w:type="dxa"/>
        <w:right w:w="100" w:type="dxa"/>
      </w:tblCellMar>
    </w:tblPr>
  </w:style>
  <w:style w:type="table" w:customStyle="1" w:styleId="51">
    <w:name w:val="51"/>
    <w:basedOn w:val="TableNormal"/>
    <w:tblPr>
      <w:tblStyleRowBandSize w:val="1"/>
      <w:tblStyleColBandSize w:val="1"/>
      <w:tblCellMar>
        <w:top w:w="100" w:type="dxa"/>
        <w:left w:w="100" w:type="dxa"/>
        <w:bottom w:w="100" w:type="dxa"/>
        <w:right w:w="100" w:type="dxa"/>
      </w:tblCellMar>
    </w:tblPr>
  </w:style>
  <w:style w:type="table" w:customStyle="1" w:styleId="50">
    <w:name w:val="50"/>
    <w:basedOn w:val="TableNormal"/>
    <w:tblPr>
      <w:tblStyleRowBandSize w:val="1"/>
      <w:tblStyleColBandSize w:val="1"/>
      <w:tblCellMar>
        <w:top w:w="100" w:type="dxa"/>
        <w:left w:w="100" w:type="dxa"/>
        <w:bottom w:w="100" w:type="dxa"/>
        <w:right w:w="100" w:type="dxa"/>
      </w:tblCellMar>
    </w:tblPr>
  </w:style>
  <w:style w:type="table" w:customStyle="1" w:styleId="49">
    <w:name w:val="49"/>
    <w:basedOn w:val="TableNormal"/>
    <w:tblPr>
      <w:tblStyleRowBandSize w:val="1"/>
      <w:tblStyleColBandSize w:val="1"/>
      <w:tblCellMar>
        <w:top w:w="100" w:type="dxa"/>
        <w:left w:w="100" w:type="dxa"/>
        <w:bottom w:w="100" w:type="dxa"/>
        <w:right w:w="100" w:type="dxa"/>
      </w:tblCellMar>
    </w:tblPr>
  </w:style>
  <w:style w:type="table" w:customStyle="1" w:styleId="48">
    <w:name w:val="48"/>
    <w:basedOn w:val="TableNormal"/>
    <w:tblPr>
      <w:tblStyleRowBandSize w:val="1"/>
      <w:tblStyleColBandSize w:val="1"/>
      <w:tblCellMar>
        <w:top w:w="100" w:type="dxa"/>
        <w:left w:w="100" w:type="dxa"/>
        <w:bottom w:w="100" w:type="dxa"/>
        <w:right w:w="100" w:type="dxa"/>
      </w:tblCellMar>
    </w:tblPr>
  </w:style>
  <w:style w:type="table" w:customStyle="1" w:styleId="47">
    <w:name w:val="47"/>
    <w:basedOn w:val="TableNormal"/>
    <w:tblPr>
      <w:tblStyleRowBandSize w:val="1"/>
      <w:tblStyleColBandSize w:val="1"/>
      <w:tblCellMar>
        <w:top w:w="100" w:type="dxa"/>
        <w:left w:w="100" w:type="dxa"/>
        <w:bottom w:w="100" w:type="dxa"/>
        <w:right w:w="100" w:type="dxa"/>
      </w:tblCellMar>
    </w:tblPr>
  </w:style>
  <w:style w:type="table" w:customStyle="1" w:styleId="46">
    <w:name w:val="46"/>
    <w:basedOn w:val="TableNormal"/>
    <w:tblPr>
      <w:tblStyleRowBandSize w:val="1"/>
      <w:tblStyleColBandSize w:val="1"/>
      <w:tblCellMar>
        <w:top w:w="100" w:type="dxa"/>
        <w:left w:w="100" w:type="dxa"/>
        <w:bottom w:w="100" w:type="dxa"/>
        <w:right w:w="100" w:type="dxa"/>
      </w:tblCellMar>
    </w:tblPr>
  </w:style>
  <w:style w:type="table" w:customStyle="1" w:styleId="45">
    <w:name w:val="45"/>
    <w:basedOn w:val="TableNormal"/>
    <w:tblPr>
      <w:tblStyleRowBandSize w:val="1"/>
      <w:tblStyleColBandSize w:val="1"/>
      <w:tblCellMar>
        <w:top w:w="100" w:type="dxa"/>
        <w:left w:w="100" w:type="dxa"/>
        <w:bottom w:w="100" w:type="dxa"/>
        <w:right w:w="100" w:type="dxa"/>
      </w:tblCellMar>
    </w:tblPr>
  </w:style>
  <w:style w:type="table" w:customStyle="1" w:styleId="44">
    <w:name w:val="44"/>
    <w:basedOn w:val="TableNormal"/>
    <w:tblPr>
      <w:tblStyleRowBandSize w:val="1"/>
      <w:tblStyleColBandSize w:val="1"/>
      <w:tblCellMar>
        <w:top w:w="100" w:type="dxa"/>
        <w:left w:w="100" w:type="dxa"/>
        <w:bottom w:w="100" w:type="dxa"/>
        <w:right w:w="100" w:type="dxa"/>
      </w:tblCellMar>
    </w:tblPr>
  </w:style>
  <w:style w:type="table" w:customStyle="1" w:styleId="43">
    <w:name w:val="43"/>
    <w:basedOn w:val="TableNormal"/>
    <w:tblPr>
      <w:tblStyleRowBandSize w:val="1"/>
      <w:tblStyleColBandSize w:val="1"/>
      <w:tblCellMar>
        <w:top w:w="100" w:type="dxa"/>
        <w:left w:w="100" w:type="dxa"/>
        <w:bottom w:w="100" w:type="dxa"/>
        <w:right w:w="100" w:type="dxa"/>
      </w:tblCellMar>
    </w:tblPr>
  </w:style>
  <w:style w:type="table" w:customStyle="1" w:styleId="42">
    <w:name w:val="42"/>
    <w:basedOn w:val="TableNormal"/>
    <w:tblPr>
      <w:tblStyleRowBandSize w:val="1"/>
      <w:tblStyleColBandSize w:val="1"/>
      <w:tblCellMar>
        <w:top w:w="100" w:type="dxa"/>
        <w:left w:w="100" w:type="dxa"/>
        <w:bottom w:w="100" w:type="dxa"/>
        <w:right w:w="100" w:type="dxa"/>
      </w:tblCellMar>
    </w:tblPr>
  </w:style>
  <w:style w:type="table" w:customStyle="1" w:styleId="41">
    <w:name w:val="41"/>
    <w:basedOn w:val="TableNormal"/>
    <w:tblPr>
      <w:tblStyleRowBandSize w:val="1"/>
      <w:tblStyleColBandSize w:val="1"/>
      <w:tblCellMar>
        <w:top w:w="100" w:type="dxa"/>
        <w:left w:w="100" w:type="dxa"/>
        <w:bottom w:w="100" w:type="dxa"/>
        <w:right w:w="100" w:type="dxa"/>
      </w:tblCellMar>
    </w:tblPr>
  </w:style>
  <w:style w:type="table" w:customStyle="1" w:styleId="40">
    <w:name w:val="40"/>
    <w:basedOn w:val="TableNormal"/>
    <w:tblPr>
      <w:tblStyleRowBandSize w:val="1"/>
      <w:tblStyleColBandSize w:val="1"/>
      <w:tblCellMar>
        <w:top w:w="100" w:type="dxa"/>
        <w:left w:w="100" w:type="dxa"/>
        <w:bottom w:w="100" w:type="dxa"/>
        <w:right w:w="100" w:type="dxa"/>
      </w:tblCellMar>
    </w:tblPr>
  </w:style>
  <w:style w:type="table" w:customStyle="1" w:styleId="39">
    <w:name w:val="39"/>
    <w:basedOn w:val="TableNormal"/>
    <w:tblPr>
      <w:tblStyleRowBandSize w:val="1"/>
      <w:tblStyleColBandSize w:val="1"/>
      <w:tblCellMar>
        <w:top w:w="100" w:type="dxa"/>
        <w:left w:w="100" w:type="dxa"/>
        <w:bottom w:w="100" w:type="dxa"/>
        <w:right w:w="100" w:type="dxa"/>
      </w:tblCellMar>
    </w:tblPr>
  </w:style>
  <w:style w:type="table" w:customStyle="1" w:styleId="38">
    <w:name w:val="38"/>
    <w:basedOn w:val="TableNormal"/>
    <w:tblPr>
      <w:tblStyleRowBandSize w:val="1"/>
      <w:tblStyleColBandSize w:val="1"/>
      <w:tblCellMar>
        <w:top w:w="100" w:type="dxa"/>
        <w:left w:w="100" w:type="dxa"/>
        <w:bottom w:w="100" w:type="dxa"/>
        <w:right w:w="100" w:type="dxa"/>
      </w:tblCellMar>
    </w:tblPr>
  </w:style>
  <w:style w:type="table" w:customStyle="1" w:styleId="37">
    <w:name w:val="37"/>
    <w:basedOn w:val="TableNormal"/>
    <w:tblPr>
      <w:tblStyleRowBandSize w:val="1"/>
      <w:tblStyleColBandSize w:val="1"/>
      <w:tblCellMar>
        <w:top w:w="100" w:type="dxa"/>
        <w:left w:w="100" w:type="dxa"/>
        <w:bottom w:w="100" w:type="dxa"/>
        <w:right w:w="100" w:type="dxa"/>
      </w:tblCellMar>
    </w:tblPr>
  </w:style>
  <w:style w:type="table" w:customStyle="1" w:styleId="36">
    <w:name w:val="36"/>
    <w:basedOn w:val="TableNormal"/>
    <w:tblPr>
      <w:tblStyleRowBandSize w:val="1"/>
      <w:tblStyleColBandSize w:val="1"/>
      <w:tblCellMar>
        <w:top w:w="100" w:type="dxa"/>
        <w:left w:w="100" w:type="dxa"/>
        <w:bottom w:w="100" w:type="dxa"/>
        <w:right w:w="100" w:type="dxa"/>
      </w:tblCellMar>
    </w:tblPr>
  </w:style>
  <w:style w:type="table" w:customStyle="1" w:styleId="35">
    <w:name w:val="35"/>
    <w:basedOn w:val="TableNormal"/>
    <w:tblPr>
      <w:tblStyleRowBandSize w:val="1"/>
      <w:tblStyleColBandSize w:val="1"/>
      <w:tblCellMar>
        <w:top w:w="100" w:type="dxa"/>
        <w:left w:w="100" w:type="dxa"/>
        <w:bottom w:w="100" w:type="dxa"/>
        <w:right w:w="100" w:type="dxa"/>
      </w:tblCellMar>
    </w:tblPr>
  </w:style>
  <w:style w:type="table" w:customStyle="1" w:styleId="34">
    <w:name w:val="34"/>
    <w:basedOn w:val="TableNormal"/>
    <w:tblPr>
      <w:tblStyleRowBandSize w:val="1"/>
      <w:tblStyleColBandSize w:val="1"/>
      <w:tblCellMar>
        <w:top w:w="100" w:type="dxa"/>
        <w:left w:w="100" w:type="dxa"/>
        <w:bottom w:w="100" w:type="dxa"/>
        <w:right w:w="100" w:type="dxa"/>
      </w:tblCellMar>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tblPr>
      <w:tblStyleRowBandSize w:val="1"/>
      <w:tblStyleColBandSize w:val="1"/>
      <w:tblCellMar>
        <w:top w:w="100" w:type="dxa"/>
        <w:left w:w="100" w:type="dxa"/>
        <w:bottom w:w="100" w:type="dxa"/>
        <w:right w:w="100" w:type="dxa"/>
      </w:tblCellMar>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Jegyzetszveg">
    <w:name w:val="annotation text"/>
    <w:basedOn w:val="Norml"/>
    <w:link w:val="JegyzetszvegChar"/>
    <w:uiPriority w:val="99"/>
    <w:unhideWhenUsed/>
    <w:rPr>
      <w:rFonts w:cs="Murty Sanskrit"/>
      <w:sz w:val="20"/>
      <w:szCs w:val="18"/>
    </w:rPr>
  </w:style>
  <w:style w:type="character" w:customStyle="1" w:styleId="JegyzetszvegChar">
    <w:name w:val="Jegyzetszöveg Char"/>
    <w:basedOn w:val="Bekezdsalapbettpusa"/>
    <w:link w:val="Jegyzetszveg"/>
    <w:uiPriority w:val="99"/>
    <w:rPr>
      <w:rFonts w:ascii="Gentium" w:eastAsiaTheme="minorEastAsia" w:hAnsi="Gentium" w:cs="Murty Sanskrit"/>
      <w:kern w:val="2"/>
      <w:sz w:val="20"/>
      <w:szCs w:val="18"/>
      <w:lang w:eastAsia="zh-TW"/>
      <w14:ligatures w14:val="standardContextual"/>
    </w:rPr>
  </w:style>
  <w:style w:type="character" w:styleId="Jegyzethivatkozs">
    <w:name w:val="annotation reference"/>
    <w:basedOn w:val="Bekezdsalapbettpusa"/>
    <w:uiPriority w:val="99"/>
    <w:semiHidden/>
    <w:unhideWhenUsed/>
    <w:rPr>
      <w:sz w:val="16"/>
      <w:szCs w:val="16"/>
    </w:rPr>
  </w:style>
  <w:style w:type="paragraph" w:styleId="Buborkszveg">
    <w:name w:val="Balloon Text"/>
    <w:basedOn w:val="Norml"/>
    <w:link w:val="BuborkszvegChar"/>
    <w:uiPriority w:val="99"/>
    <w:semiHidden/>
    <w:unhideWhenUsed/>
    <w:rPr>
      <w:rFonts w:ascii="Segoe UI" w:hAnsi="Segoe UI" w:cs="Murty Sanskrit"/>
      <w:sz w:val="18"/>
      <w:szCs w:val="16"/>
    </w:rPr>
  </w:style>
  <w:style w:type="character" w:customStyle="1" w:styleId="BuborkszvegChar">
    <w:name w:val="Buborékszöveg Char"/>
    <w:basedOn w:val="Bekezdsalapbettpusa"/>
    <w:link w:val="Buborkszveg"/>
    <w:uiPriority w:val="99"/>
    <w:semiHidden/>
    <w:rPr>
      <w:rFonts w:ascii="Segoe UI" w:eastAsiaTheme="minorEastAsia" w:hAnsi="Segoe UI" w:cs="Murty Sanskrit"/>
      <w:kern w:val="2"/>
      <w:sz w:val="18"/>
      <w:szCs w:val="16"/>
      <w:lang w:eastAsia="zh-TW"/>
      <w14:ligatures w14:val="standardContextual"/>
    </w:rPr>
  </w:style>
  <w:style w:type="paragraph" w:styleId="llb">
    <w:name w:val="footer"/>
    <w:basedOn w:val="Norml"/>
    <w:link w:val="llbChar"/>
    <w:uiPriority w:val="24"/>
    <w:pPr>
      <w:tabs>
        <w:tab w:val="center" w:pos="4536"/>
        <w:tab w:val="right" w:pos="9072"/>
      </w:tabs>
    </w:pPr>
  </w:style>
  <w:style w:type="character" w:customStyle="1" w:styleId="llbChar">
    <w:name w:val="Élőláb Char"/>
    <w:basedOn w:val="Bekezdsalapbettpusa"/>
    <w:link w:val="llb"/>
    <w:uiPriority w:val="24"/>
    <w:rPr>
      <w:rFonts w:ascii="Gentium" w:eastAsiaTheme="minorEastAsia" w:hAnsi="Gentium" w:cs="Tiro Devanagari Sanskrit"/>
      <w:kern w:val="2"/>
      <w:sz w:val="22"/>
      <w:szCs w:val="22"/>
      <w:lang w:eastAsia="zh-TW"/>
      <w14:ligatures w14:val="standardContextual"/>
    </w:rPr>
  </w:style>
  <w:style w:type="character" w:customStyle="1" w:styleId="Foreign">
    <w:name w:val="Foreign"/>
    <w:basedOn w:val="Bekezdsalapbettpusa"/>
    <w:uiPriority w:val="1"/>
    <w:rPr>
      <w:i/>
      <w:iCs/>
      <w:noProof/>
    </w:rPr>
  </w:style>
  <w:style w:type="paragraph" w:styleId="Lista">
    <w:name w:val="List"/>
    <w:basedOn w:val="Norml"/>
    <w:uiPriority w:val="7"/>
    <w:qFormat/>
    <w:pPr>
      <w:numPr>
        <w:numId w:val="2"/>
      </w:numPr>
      <w:jc w:val="left"/>
    </w:pPr>
  </w:style>
  <w:style w:type="paragraph" w:styleId="Lista2">
    <w:name w:val="List 2"/>
    <w:basedOn w:val="Lista"/>
    <w:uiPriority w:val="7"/>
    <w:pPr>
      <w:numPr>
        <w:ilvl w:val="1"/>
      </w:numPr>
    </w:pPr>
  </w:style>
  <w:style w:type="paragraph" w:styleId="Lista3">
    <w:name w:val="List 3"/>
    <w:basedOn w:val="Lista"/>
    <w:uiPriority w:val="7"/>
    <w:pPr>
      <w:numPr>
        <w:ilvl w:val="2"/>
      </w:numPr>
    </w:pPr>
  </w:style>
  <w:style w:type="paragraph" w:styleId="Lista4">
    <w:name w:val="List 4"/>
    <w:basedOn w:val="Lista"/>
    <w:uiPriority w:val="7"/>
    <w:pPr>
      <w:numPr>
        <w:ilvl w:val="3"/>
      </w:numPr>
    </w:pPr>
  </w:style>
  <w:style w:type="paragraph" w:styleId="Lista5">
    <w:name w:val="List 5"/>
    <w:basedOn w:val="Lista"/>
    <w:uiPriority w:val="7"/>
    <w:pPr>
      <w:numPr>
        <w:ilvl w:val="4"/>
      </w:numPr>
    </w:pPr>
  </w:style>
  <w:style w:type="character" w:customStyle="1" w:styleId="Nv">
    <w:name w:val="Név"/>
    <w:basedOn w:val="Bekezdsalapbettpusa"/>
    <w:uiPriority w:val="1"/>
    <w:rPr>
      <w:smallCaps/>
      <w:noProof/>
    </w:rPr>
  </w:style>
  <w:style w:type="paragraph" w:styleId="lfej">
    <w:name w:val="header"/>
    <w:basedOn w:val="Norml"/>
    <w:link w:val="lfejChar"/>
    <w:uiPriority w:val="24"/>
    <w:qFormat/>
    <w:pPr>
      <w:tabs>
        <w:tab w:val="center" w:pos="4536"/>
        <w:tab w:val="right" w:pos="9072"/>
      </w:tabs>
    </w:pPr>
  </w:style>
  <w:style w:type="character" w:customStyle="1" w:styleId="lfejChar">
    <w:name w:val="Élőfej Char"/>
    <w:basedOn w:val="Bekezdsalapbettpusa"/>
    <w:link w:val="lfej"/>
    <w:uiPriority w:val="24"/>
    <w:rPr>
      <w:rFonts w:ascii="Gentium" w:eastAsiaTheme="minorEastAsia" w:hAnsi="Gentium" w:cs="Tiro Devanagari Sanskrit"/>
      <w:kern w:val="2"/>
      <w:sz w:val="22"/>
      <w:szCs w:val="22"/>
      <w:lang w:eastAsia="zh-TW"/>
      <w14:ligatures w14:val="standardContextual"/>
    </w:rPr>
  </w:style>
  <w:style w:type="paragraph" w:styleId="Irodalomjegyzk">
    <w:name w:val="Bibliography"/>
    <w:aliases w:val="Bibliography"/>
    <w:basedOn w:val="Norml"/>
    <w:uiPriority w:val="37"/>
    <w:pPr>
      <w:spacing w:line="300" w:lineRule="exact"/>
      <w:ind w:left="720" w:hanging="720"/>
      <w:jc w:val="left"/>
    </w:pPr>
  </w:style>
  <w:style w:type="character" w:customStyle="1" w:styleId="Code">
    <w:name w:val="Code"/>
    <w:uiPriority w:val="1"/>
    <w:qFormat/>
    <w:rPr>
      <w:rFonts w:ascii="Consolas" w:hAnsi="Consolas" w:cs="Consolas"/>
      <w:noProof/>
      <w:color w:val="002060"/>
      <w:bdr w:val="none" w:sz="0" w:space="0" w:color="auto"/>
      <w:shd w:val="clear" w:color="auto" w:fill="F2F2F2" w:themeFill="background1" w:themeFillShade="F2"/>
    </w:rPr>
  </w:style>
  <w:style w:type="character" w:customStyle="1" w:styleId="Comment">
    <w:name w:val="Comment"/>
    <w:basedOn w:val="Bekezdsalapbettpusa"/>
    <w:uiPriority w:val="1"/>
    <w:qFormat/>
    <w:rPr>
      <w:rFonts w:ascii="Tahoma" w:hAnsi="Tahoma"/>
      <w:noProof/>
      <w:color w:val="00B050"/>
      <w:sz w:val="20"/>
    </w:rPr>
  </w:style>
  <w:style w:type="paragraph" w:styleId="Lbjegyzetszveg">
    <w:name w:val="footnote text"/>
    <w:basedOn w:val="Norml"/>
    <w:link w:val="LbjegyzetszvegChar"/>
    <w:pPr>
      <w:tabs>
        <w:tab w:val="right" w:pos="227"/>
        <w:tab w:val="left" w:pos="284"/>
      </w:tabs>
      <w:spacing w:line="240" w:lineRule="exact"/>
      <w:ind w:left="284" w:hanging="284"/>
      <w:jc w:val="left"/>
    </w:pPr>
    <w:rPr>
      <w:sz w:val="20"/>
      <w:szCs w:val="20"/>
    </w:rPr>
  </w:style>
  <w:style w:type="character" w:customStyle="1" w:styleId="LbjegyzetszvegChar">
    <w:name w:val="Lábjegyzetszöveg Char"/>
    <w:basedOn w:val="Bekezdsalapbettpusa"/>
    <w:link w:val="Lbjegyzetszveg"/>
    <w:rPr>
      <w:rFonts w:ascii="Gentium" w:eastAsiaTheme="minorEastAsia" w:hAnsi="Gentium" w:cs="Tiro Devanagari Sanskrit"/>
      <w:kern w:val="2"/>
      <w:sz w:val="20"/>
      <w:szCs w:val="20"/>
      <w:lang w:eastAsia="zh-TW"/>
      <w14:ligatures w14:val="standardContextual"/>
    </w:rPr>
  </w:style>
  <w:style w:type="character" w:styleId="Lbjegyzet-hivatkozs">
    <w:name w:val="footnote reference"/>
    <w:basedOn w:val="Bekezdsalapbettpusa"/>
    <w:uiPriority w:val="99"/>
    <w:unhideWhenUsed/>
    <w:rPr>
      <w:vertAlign w:val="superscript"/>
    </w:rPr>
  </w:style>
  <w:style w:type="character" w:customStyle="1" w:styleId="ForeignKannadaScript">
    <w:name w:val="Foreign: KannadaScript"/>
    <w:basedOn w:val="Foreign"/>
    <w:uiPriority w:val="1"/>
    <w:qFormat/>
    <w:rPr>
      <w:rFonts w:ascii="Tiro Kannada" w:hAnsi="Tiro Kannada" w:cs="Tiro Kannada"/>
      <w:b w:val="0"/>
      <w:bCs w:val="0"/>
      <w:i w:val="0"/>
      <w:iCs w:val="0"/>
      <w:noProof/>
    </w:rPr>
  </w:style>
  <w:style w:type="character" w:customStyle="1" w:styleId="ForeignTamilScript">
    <w:name w:val="Foreign: TamilScript"/>
    <w:basedOn w:val="Foreign"/>
    <w:uiPriority w:val="1"/>
    <w:qFormat/>
    <w:rPr>
      <w:rFonts w:ascii="Tiro Tamil" w:hAnsi="Tiro Tamil" w:cs="Tiro Tamil"/>
      <w:b w:val="0"/>
      <w:bCs w:val="0"/>
      <w:i w:val="0"/>
      <w:iCs w:val="0"/>
      <w:noProof/>
      <w:szCs w:val="24"/>
    </w:rPr>
  </w:style>
  <w:style w:type="character" w:customStyle="1" w:styleId="ForeignBalineseScript">
    <w:name w:val="Foreign: BalineseScript"/>
    <w:basedOn w:val="Foreign"/>
    <w:uiPriority w:val="1"/>
    <w:qFormat/>
    <w:rPr>
      <w:rFonts w:ascii="Noto Sans Balinese" w:hAnsi="Noto Sans Balinese" w:cs="Noto Sans Balinese"/>
      <w:b w:val="0"/>
      <w:bCs w:val="0"/>
      <w:i w:val="0"/>
      <w:iCs w:val="0"/>
      <w:noProof/>
      <w:position w:val="0"/>
      <w:szCs w:val="24"/>
    </w:rPr>
  </w:style>
  <w:style w:type="character" w:customStyle="1" w:styleId="ForeignThaiScript">
    <w:name w:val="Foreign: ThaiScript"/>
    <w:basedOn w:val="Foreign"/>
    <w:uiPriority w:val="1"/>
    <w:qFormat/>
    <w:rPr>
      <w:rFonts w:ascii="Leelawadee UI" w:hAnsi="Leelawadee UI" w:cs="Leelawadee UI"/>
      <w:b w:val="0"/>
      <w:bCs w:val="0"/>
      <w:i w:val="0"/>
      <w:iCs w:val="0"/>
      <w:noProof/>
    </w:rPr>
  </w:style>
  <w:style w:type="character" w:customStyle="1" w:styleId="ForeignBrahmiScript">
    <w:name w:val="Foreign: BrahmiScript"/>
    <w:basedOn w:val="Foreign"/>
    <w:uiPriority w:val="1"/>
    <w:qFormat/>
    <w:rPr>
      <w:rFonts w:ascii="Segoe UI Historic" w:hAnsi="Segoe UI Historic" w:cs="Segoe UI Historic"/>
      <w:b w:val="0"/>
      <w:bCs w:val="0"/>
      <w:i w:val="0"/>
      <w:iCs w:val="0"/>
      <w:noProof/>
    </w:rPr>
  </w:style>
  <w:style w:type="character" w:customStyle="1" w:styleId="ForeignOriyaScript">
    <w:name w:val="Foreign: OriyaScript"/>
    <w:basedOn w:val="Foreign"/>
    <w:uiPriority w:val="1"/>
    <w:qFormat/>
    <w:rPr>
      <w:rFonts w:ascii="Arial Unicode MS" w:eastAsia="Arial Unicode MS" w:hAnsi="Arial Unicode MS" w:cs="Arial Unicode MS"/>
      <w:b w:val="0"/>
      <w:bCs w:val="0"/>
      <w:i w:val="0"/>
      <w:iCs w:val="0"/>
      <w:noProof/>
    </w:rPr>
  </w:style>
  <w:style w:type="paragraph" w:styleId="NormlWeb">
    <w:name w:val="Normal (Web)"/>
    <w:basedOn w:val="Norml"/>
    <w:uiPriority w:val="99"/>
    <w:semiHidden/>
    <w:unhideWhenUsed/>
    <w:pPr>
      <w:spacing w:before="100" w:beforeAutospacing="1" w:after="100" w:afterAutospacing="1" w:line="240" w:lineRule="auto"/>
    </w:pPr>
    <w:rPr>
      <w:rFonts w:ascii="Times New Roman" w:hAnsi="Times New Roman" w:cs="Times New Roman"/>
      <w:szCs w:val="24"/>
    </w:rPr>
  </w:style>
  <w:style w:type="paragraph" w:customStyle="1" w:styleId="Legend">
    <w:name w:val="Legend"/>
    <w:basedOn w:val="Norml"/>
    <w:qFormat/>
    <w:pPr>
      <w:tabs>
        <w:tab w:val="right" w:pos="851"/>
        <w:tab w:val="left" w:pos="1134"/>
      </w:tabs>
      <w:jc w:val="left"/>
    </w:pPr>
  </w:style>
  <w:style w:type="character" w:styleId="Hiperhivatkozs">
    <w:name w:val="Hyperlink"/>
    <w:basedOn w:val="Bekezdsalapbettpusa"/>
    <w:uiPriority w:val="99"/>
    <w:unhideWhenUsed/>
    <w:rPr>
      <w:color w:val="002060"/>
      <w:u w:val="single"/>
    </w:rPr>
  </w:style>
  <w:style w:type="character" w:styleId="Feloldatlanmegemlts">
    <w:name w:val="Unresolved Mention"/>
    <w:basedOn w:val="Bekezdsalapbettpusa"/>
    <w:uiPriority w:val="99"/>
    <w:semiHidden/>
    <w:unhideWhenUsed/>
    <w:rPr>
      <w:color w:val="605E5C"/>
      <w:shd w:val="clear" w:color="auto" w:fill="E1DFDD"/>
    </w:rPr>
  </w:style>
  <w:style w:type="character" w:styleId="Mrltotthiperhivatkozs">
    <w:name w:val="FollowedHyperlink"/>
    <w:basedOn w:val="Bekezdsalapbettpusa"/>
    <w:uiPriority w:val="99"/>
    <w:semiHidden/>
    <w:unhideWhenUsed/>
    <w:rPr>
      <w:color w:val="800080" w:themeColor="followedHyperlink"/>
      <w:u w:val="single"/>
    </w:rPr>
  </w:style>
  <w:style w:type="table" w:styleId="Rcsostblzat">
    <w:name w:val="Table Grid"/>
    <w:basedOn w:val="Normltblzat"/>
    <w:uiPriority w:val="39"/>
    <w:pPr>
      <w:ind w:left="0" w:firstLine="567"/>
    </w:pPr>
    <w:rPr>
      <w:rFonts w:ascii="Gentium Plus" w:eastAsia="Arial Unicode MS" w:hAnsi="Gentium Plus" w:cs="Gentium Plus"/>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text"/>
    <w:basedOn w:val="Norml"/>
    <w:qFormat/>
    <w:pPr>
      <w:spacing w:line="240" w:lineRule="auto"/>
      <w:jc w:val="left"/>
    </w:pPr>
    <w:rPr>
      <w:rFonts w:ascii="Calibri" w:hAnsi="Calibri"/>
      <w:sz w:val="20"/>
      <w:szCs w:val="20"/>
    </w:rPr>
  </w:style>
  <w:style w:type="table" w:customStyle="1" w:styleId="FigureTable">
    <w:name w:val="FigureTable"/>
    <w:basedOn w:val="CodeSampleTable"/>
    <w:uiPriority w:val="99"/>
    <w:tblPr>
      <w:tblCellMar>
        <w:top w:w="57" w:type="dxa"/>
        <w:left w:w="57" w:type="dxa"/>
        <w:bottom w:w="57" w:type="dxa"/>
        <w:right w:w="57" w:type="dxa"/>
      </w:tblCellMar>
    </w:tblPr>
    <w:tblStylePr w:type="firstRow">
      <w:rPr>
        <w:rFonts w:asciiTheme="majorHAnsi" w:hAnsiTheme="majorHAnsi"/>
        <w:sz w:val="18"/>
      </w:rPr>
      <w:tblPr/>
      <w:tcPr>
        <w:shd w:val="clear" w:color="auto" w:fill="F0F7D7"/>
      </w:tcPr>
    </w:tblStylePr>
  </w:style>
  <w:style w:type="character" w:customStyle="1" w:styleId="ForeignKhmerScript">
    <w:name w:val="Foreign: KhmerScript"/>
    <w:basedOn w:val="Bekezdsalapbettpusa"/>
    <w:uiPriority w:val="1"/>
    <w:qFormat/>
    <w:rPr>
      <w:rFonts w:ascii="DaunPenh" w:hAnsi="DaunPenh" w:cs="DaunPenh"/>
      <w:bCs w:val="0"/>
      <w:iCs w:val="0"/>
      <w:szCs w:val="36"/>
      <w:lang w:bidi="km-KH"/>
    </w:rPr>
  </w:style>
  <w:style w:type="character" w:customStyle="1" w:styleId="MetreCode">
    <w:name w:val="MetreCode"/>
    <w:basedOn w:val="Bekezdsalapbettpusa"/>
    <w:uiPriority w:val="1"/>
    <w:qFormat/>
    <w:rPr>
      <w:rFonts w:ascii="Cardo" w:hAnsi="Cardo" w:cs="Murty Sanskrit"/>
      <w:spacing w:val="30"/>
    </w:rPr>
  </w:style>
  <w:style w:type="paragraph" w:styleId="Tartalomjegyzkcmsora">
    <w:name w:val="TOC Heading"/>
    <w:basedOn w:val="Cmsor1"/>
    <w:next w:val="Norml"/>
    <w:uiPriority w:val="39"/>
    <w:unhideWhenUsed/>
    <w:qFormat/>
    <w:pPr>
      <w:spacing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J1">
    <w:name w:val="toc 1"/>
    <w:basedOn w:val="Norml"/>
    <w:next w:val="Norml"/>
    <w:uiPriority w:val="39"/>
    <w:unhideWhenUsed/>
    <w:pPr>
      <w:pBdr>
        <w:bottom w:val="single" w:sz="12" w:space="1" w:color="auto"/>
      </w:pBdr>
      <w:tabs>
        <w:tab w:val="left" w:pos="284"/>
        <w:tab w:val="right" w:pos="9639"/>
      </w:tabs>
      <w:spacing w:before="60" w:line="240" w:lineRule="exact"/>
    </w:pPr>
    <w:rPr>
      <w:rFonts w:ascii="Calibri" w:hAnsi="Calibri"/>
      <w:b/>
    </w:rPr>
  </w:style>
  <w:style w:type="paragraph" w:styleId="TJ2">
    <w:name w:val="toc 2"/>
    <w:basedOn w:val="Norml"/>
    <w:next w:val="Norml"/>
    <w:uiPriority w:val="39"/>
    <w:unhideWhenUsed/>
    <w:pPr>
      <w:tabs>
        <w:tab w:val="left" w:pos="567"/>
        <w:tab w:val="right" w:leader="dot" w:pos="9639"/>
      </w:tabs>
      <w:spacing w:line="220" w:lineRule="exact"/>
      <w:ind w:left="227"/>
    </w:pPr>
    <w:rPr>
      <w:rFonts w:asciiTheme="majorHAnsi" w:hAnsiTheme="majorHAnsi"/>
      <w:sz w:val="18"/>
      <w:szCs w:val="18"/>
    </w:rPr>
  </w:style>
  <w:style w:type="paragraph" w:styleId="TJ3">
    <w:name w:val="toc 3"/>
    <w:basedOn w:val="Norml"/>
    <w:next w:val="Norml"/>
    <w:uiPriority w:val="39"/>
    <w:unhideWhenUsed/>
    <w:pPr>
      <w:tabs>
        <w:tab w:val="left" w:pos="1134"/>
        <w:tab w:val="right" w:leader="dot" w:pos="9639"/>
      </w:tabs>
      <w:spacing w:line="220" w:lineRule="exact"/>
      <w:ind w:left="567"/>
    </w:pPr>
    <w:rPr>
      <w:rFonts w:asciiTheme="majorHAnsi" w:hAnsiTheme="majorHAnsi"/>
      <w:sz w:val="18"/>
    </w:rPr>
  </w:style>
  <w:style w:type="paragraph" w:styleId="Vltozat">
    <w:name w:val="Revision"/>
    <w:hidden/>
    <w:uiPriority w:val="99"/>
    <w:semiHidden/>
    <w:pPr>
      <w:widowControl/>
      <w:ind w:left="0"/>
      <w:jc w:val="left"/>
    </w:pPr>
    <w:rPr>
      <w:rFonts w:ascii="Gentium Plus" w:eastAsia="Arial Unicode MS" w:hAnsi="Gentium Plus" w:cs="Gentium Plus"/>
      <w:szCs w:val="22"/>
      <w:lang w:eastAsia="zh-TW"/>
    </w:rPr>
  </w:style>
  <w:style w:type="character" w:customStyle="1" w:styleId="Codeattribute">
    <w:name w:val="Code_attribute"/>
    <w:basedOn w:val="Code"/>
    <w:uiPriority w:val="1"/>
    <w:qFormat/>
    <w:rPr>
      <w:rFonts w:ascii="Consolas" w:hAnsi="Consolas" w:cs="Consolas"/>
      <w:noProof/>
      <w:color w:val="008080"/>
      <w:bdr w:val="none" w:sz="0" w:space="0" w:color="auto"/>
      <w:shd w:val="clear" w:color="auto" w:fill="F2F2F2" w:themeFill="background1" w:themeFillShade="F2"/>
    </w:rPr>
  </w:style>
  <w:style w:type="character" w:customStyle="1" w:styleId="Codevalue">
    <w:name w:val="Code_value"/>
    <w:basedOn w:val="Code"/>
    <w:uiPriority w:val="1"/>
    <w:qFormat/>
    <w:rPr>
      <w:rFonts w:ascii="Consolas" w:eastAsia="Consolas" w:hAnsi="Consolas" w:cs="Consolas"/>
      <w:noProof/>
      <w:color w:val="C00000"/>
      <w:bdr w:val="none" w:sz="0" w:space="0" w:color="auto"/>
      <w:shd w:val="clear" w:color="auto" w:fill="F2F2F2" w:themeFill="background1" w:themeFillShade="F2"/>
    </w:rPr>
  </w:style>
  <w:style w:type="character" w:customStyle="1" w:styleId="Codecomment">
    <w:name w:val="Code_comment"/>
    <w:basedOn w:val="Code"/>
    <w:uiPriority w:val="1"/>
    <w:qFormat/>
    <w:rPr>
      <w:rFonts w:ascii="Consolas" w:eastAsia="Consolas" w:hAnsi="Consolas" w:cs="Consolas"/>
      <w:i/>
      <w:iCs/>
      <w:noProof/>
      <w:color w:val="999988"/>
      <w:bdr w:val="none" w:sz="0" w:space="0" w:color="auto"/>
      <w:shd w:val="clear" w:color="auto" w:fill="F2F2F2" w:themeFill="background1" w:themeFillShade="F2"/>
    </w:rPr>
  </w:style>
  <w:style w:type="character" w:customStyle="1" w:styleId="Codeinstruction">
    <w:name w:val="Code_instruction"/>
    <w:basedOn w:val="Code"/>
    <w:uiPriority w:val="1"/>
    <w:qFormat/>
    <w:rPr>
      <w:rFonts w:ascii="Consolas" w:eastAsia="Consolas" w:hAnsi="Consolas" w:cs="Consolas"/>
      <w:b/>
      <w:bCs/>
      <w:noProof/>
      <w:color w:val="969696"/>
      <w:bdr w:val="none" w:sz="0" w:space="0" w:color="auto"/>
      <w:shd w:val="clear" w:color="auto" w:fill="F2F2F2" w:themeFill="background1" w:themeFillShade="F2"/>
    </w:rPr>
  </w:style>
  <w:style w:type="character" w:customStyle="1" w:styleId="Codetext">
    <w:name w:val="Code_text"/>
    <w:basedOn w:val="Code"/>
    <w:uiPriority w:val="1"/>
    <w:qFormat/>
    <w:rPr>
      <w:rFonts w:ascii="Consolas" w:hAnsi="Consolas" w:cs="Consolas"/>
      <w:noProof/>
      <w:color w:val="000000" w:themeColor="text1"/>
      <w:bdr w:val="none" w:sz="0" w:space="0" w:color="auto"/>
      <w:shd w:val="clear" w:color="auto" w:fill="F2F2F2" w:themeFill="background1" w:themeFillShade="F2"/>
    </w:rPr>
  </w:style>
  <w:style w:type="paragraph" w:styleId="Kpalrs">
    <w:name w:val="caption"/>
    <w:basedOn w:val="Norml"/>
    <w:next w:val="Norml"/>
    <w:uiPriority w:val="35"/>
    <w:qFormat/>
    <w:pPr>
      <w:spacing w:before="120" w:line="240" w:lineRule="auto"/>
      <w:jc w:val="center"/>
    </w:pPr>
    <w:rPr>
      <w:i/>
      <w:iCs/>
      <w:sz w:val="20"/>
      <w:szCs w:val="18"/>
    </w:rPr>
  </w:style>
  <w:style w:type="table" w:customStyle="1" w:styleId="CodeSampleTable">
    <w:name w:val="CodeSampleTable"/>
    <w:basedOn w:val="Normltblzat"/>
    <w:uiPriority w:val="99"/>
    <w:pPr>
      <w:widowControl/>
      <w:ind w:left="0"/>
      <w:jc w:val="left"/>
    </w:pPr>
    <w:rPr>
      <w:rFonts w:ascii="Gentium Plus" w:eastAsia="Arial Unicode MS" w:hAnsi="Gentium Plus" w:cs="Gentium Plus"/>
      <w:sz w:val="18"/>
      <w:lang w:eastAsia="zh-TW"/>
    </w:rPr>
    <w:tblPr>
      <w:tblBorders>
        <w:top w:val="single" w:sz="4" w:space="0" w:color="auto"/>
        <w:left w:val="single" w:sz="4" w:space="0" w:color="auto"/>
        <w:bottom w:val="single" w:sz="4" w:space="0" w:color="auto"/>
        <w:right w:val="single" w:sz="4" w:space="0" w:color="auto"/>
        <w:insideH w:val="single" w:sz="4" w:space="0" w:color="auto"/>
      </w:tblBorders>
      <w:tblCellMar>
        <w:left w:w="0" w:type="dxa"/>
        <w:right w:w="0" w:type="dxa"/>
      </w:tblCellMar>
    </w:tblPr>
    <w:trPr>
      <w:cantSplit/>
    </w:trPr>
    <w:tcPr>
      <w:shd w:val="clear" w:color="auto" w:fill="auto"/>
    </w:tcPr>
    <w:tblStylePr w:type="firstRow">
      <w:rPr>
        <w:rFonts w:asciiTheme="majorHAnsi" w:hAnsiTheme="majorHAnsi"/>
        <w:sz w:val="18"/>
      </w:rPr>
      <w:tblPr/>
      <w:tcPr>
        <w:shd w:val="clear" w:color="auto" w:fill="F0F7D7"/>
      </w:tcPr>
    </w:tblStylePr>
  </w:style>
  <w:style w:type="paragraph" w:customStyle="1" w:styleId="CodeParagraph">
    <w:name w:val="CodeParagraph"/>
    <w:basedOn w:val="Norml"/>
    <w:qFormat/>
    <w:pPr>
      <w:shd w:val="clear" w:color="auto" w:fill="F2F2F2" w:themeFill="background1" w:themeFillShade="F2"/>
      <w:spacing w:line="220" w:lineRule="exact"/>
      <w:jc w:val="left"/>
    </w:pPr>
    <w:rPr>
      <w:sz w:val="18"/>
      <w:szCs w:val="18"/>
    </w:rPr>
  </w:style>
  <w:style w:type="paragraph" w:customStyle="1" w:styleId="TableNote">
    <w:name w:val="TableNote"/>
    <w:basedOn w:val="Tabletext"/>
    <w:qFormat/>
    <w:pPr>
      <w:numPr>
        <w:numId w:val="4"/>
      </w:numPr>
      <w:spacing w:before="60"/>
      <w:contextualSpacing/>
    </w:pPr>
  </w:style>
  <w:style w:type="character" w:customStyle="1" w:styleId="ForeignTamilGrantha">
    <w:name w:val="Foreign:TamilGrantha"/>
    <w:basedOn w:val="ForeignTamilScript"/>
    <w:uiPriority w:val="1"/>
    <w:qFormat/>
    <w:rPr>
      <w:rFonts w:ascii="Noto Sans Grantha" w:hAnsi="Noto Sans Grantha" w:cs="Noto Sans Grantha"/>
      <w:b w:val="0"/>
      <w:bCs w:val="0"/>
      <w:i w:val="0"/>
      <w:iCs w:val="0"/>
      <w:noProof/>
      <w:szCs w:val="24"/>
    </w:rPr>
  </w:style>
  <w:style w:type="character" w:customStyle="1" w:styleId="ForeignDevanagariScript">
    <w:name w:val="Foreign:DevanagariScript"/>
    <w:basedOn w:val="ForeignKannadaScript"/>
    <w:uiPriority w:val="1"/>
    <w:qFormat/>
    <w:rPr>
      <w:rFonts w:ascii="Murty Sanskrit" w:hAnsi="Murty Sanskrit" w:cs="Murty Sanskrit"/>
      <w:b w:val="0"/>
      <w:bCs w:val="0"/>
      <w:i w:val="0"/>
      <w:iCs w:val="0"/>
      <w:noProof/>
    </w:rPr>
  </w:style>
  <w:style w:type="paragraph" w:styleId="TJ4">
    <w:name w:val="toc 4"/>
    <w:basedOn w:val="TJ3"/>
    <w:next w:val="Norml"/>
    <w:autoRedefine/>
    <w:uiPriority w:val="39"/>
    <w:unhideWhenUsed/>
    <w:pPr>
      <w:tabs>
        <w:tab w:val="clear" w:pos="1134"/>
      </w:tabs>
      <w:ind w:left="1021"/>
    </w:pPr>
  </w:style>
  <w:style w:type="paragraph" w:styleId="TJ5">
    <w:name w:val="toc 5"/>
    <w:basedOn w:val="Norml"/>
    <w:next w:val="Norml"/>
    <w:autoRedefine/>
    <w:uiPriority w:val="39"/>
    <w:unhideWhenUsed/>
    <w:pPr>
      <w:spacing w:after="100" w:line="259" w:lineRule="auto"/>
      <w:ind w:left="880"/>
    </w:pPr>
    <w:rPr>
      <w:rFonts w:asciiTheme="minorHAnsi" w:hAnsiTheme="minorHAnsi" w:cstheme="minorBidi"/>
      <w:szCs w:val="20"/>
    </w:rPr>
  </w:style>
  <w:style w:type="paragraph" w:styleId="TJ6">
    <w:name w:val="toc 6"/>
    <w:basedOn w:val="Norml"/>
    <w:next w:val="Norml"/>
    <w:autoRedefine/>
    <w:uiPriority w:val="39"/>
    <w:unhideWhenUsed/>
    <w:pPr>
      <w:spacing w:after="100" w:line="259" w:lineRule="auto"/>
      <w:ind w:left="1100"/>
    </w:pPr>
    <w:rPr>
      <w:rFonts w:asciiTheme="minorHAnsi" w:hAnsiTheme="minorHAnsi" w:cstheme="minorBidi"/>
      <w:szCs w:val="20"/>
    </w:rPr>
  </w:style>
  <w:style w:type="paragraph" w:styleId="TJ7">
    <w:name w:val="toc 7"/>
    <w:basedOn w:val="Norml"/>
    <w:next w:val="Norml"/>
    <w:autoRedefine/>
    <w:uiPriority w:val="39"/>
    <w:unhideWhenUsed/>
    <w:pPr>
      <w:spacing w:after="100" w:line="259" w:lineRule="auto"/>
      <w:ind w:left="1320"/>
    </w:pPr>
    <w:rPr>
      <w:rFonts w:asciiTheme="minorHAnsi" w:hAnsiTheme="minorHAnsi" w:cstheme="minorBidi"/>
      <w:szCs w:val="20"/>
    </w:rPr>
  </w:style>
  <w:style w:type="paragraph" w:styleId="TJ8">
    <w:name w:val="toc 8"/>
    <w:basedOn w:val="Norml"/>
    <w:next w:val="Norml"/>
    <w:autoRedefine/>
    <w:uiPriority w:val="39"/>
    <w:unhideWhenUsed/>
    <w:pPr>
      <w:spacing w:after="100" w:line="259" w:lineRule="auto"/>
      <w:ind w:left="1540"/>
    </w:pPr>
    <w:rPr>
      <w:rFonts w:asciiTheme="minorHAnsi" w:hAnsiTheme="minorHAnsi" w:cstheme="minorBidi"/>
      <w:szCs w:val="20"/>
    </w:rPr>
  </w:style>
  <w:style w:type="paragraph" w:styleId="TJ9">
    <w:name w:val="toc 9"/>
    <w:basedOn w:val="Norml"/>
    <w:next w:val="Norml"/>
    <w:autoRedefine/>
    <w:uiPriority w:val="39"/>
    <w:unhideWhenUsed/>
    <w:pPr>
      <w:spacing w:after="100" w:line="259" w:lineRule="auto"/>
      <w:ind w:left="1760"/>
    </w:pPr>
    <w:rPr>
      <w:rFonts w:asciiTheme="minorHAnsi" w:hAnsiTheme="minorHAnsi" w:cstheme="minorBidi"/>
      <w:szCs w:val="20"/>
    </w:rPr>
  </w:style>
  <w:style w:type="paragraph" w:customStyle="1" w:styleId="Frontmatter">
    <w:name w:val="Frontmatter"/>
    <w:basedOn w:val="Norml"/>
    <w:qFormat/>
    <w:pPr>
      <w:spacing w:line="360" w:lineRule="exact"/>
      <w:jc w:val="center"/>
    </w:pPr>
    <w:rPr>
      <w:rFonts w:ascii="Calibri" w:hAnsi="Calibri"/>
      <w:sz w:val="28"/>
      <w:szCs w:val="28"/>
    </w:rPr>
  </w:style>
  <w:style w:type="paragraph" w:styleId="Megjegyzstrgya">
    <w:name w:val="annotation subject"/>
    <w:basedOn w:val="Jegyzetszveg"/>
    <w:next w:val="Jegyzetszveg"/>
    <w:link w:val="MegjegyzstrgyaChar"/>
    <w:uiPriority w:val="99"/>
    <w:semiHidden/>
    <w:unhideWhenUsed/>
    <w:pPr>
      <w:spacing w:line="240" w:lineRule="auto"/>
    </w:pPr>
    <w:rPr>
      <w:b/>
      <w:bCs/>
      <w:szCs w:val="20"/>
    </w:rPr>
  </w:style>
  <w:style w:type="character" w:customStyle="1" w:styleId="MegjegyzstrgyaChar">
    <w:name w:val="Megjegyzés tárgya Char"/>
    <w:basedOn w:val="JegyzetszvegChar"/>
    <w:link w:val="Megjegyzstrgya"/>
    <w:uiPriority w:val="99"/>
    <w:semiHidden/>
    <w:rPr>
      <w:rFonts w:ascii="Gentium" w:eastAsiaTheme="minorEastAsia" w:hAnsi="Gentium" w:cs="Murty Sanskrit"/>
      <w:b/>
      <w:bCs/>
      <w:kern w:val="2"/>
      <w:sz w:val="20"/>
      <w:szCs w:val="20"/>
      <w:lang w:eastAsia="zh-TW"/>
      <w14:ligatures w14:val="standardContextual"/>
    </w:rPr>
  </w:style>
  <w:style w:type="character" w:customStyle="1" w:styleId="Metrum">
    <w:name w:val="Metrum"/>
    <w:rPr>
      <w:rFonts w:ascii="Cardo" w:hAnsi="Cardo"/>
      <w:noProof/>
    </w:rPr>
  </w:style>
  <w:style w:type="character" w:customStyle="1" w:styleId="ForeignBurmeseScript">
    <w:name w:val="Foreign: BurmeseScript"/>
    <w:basedOn w:val="Foreign"/>
    <w:uiPriority w:val="1"/>
    <w:qFormat/>
    <w:rPr>
      <w:rFonts w:ascii="Myanmar Text" w:hAnsi="Myanmar Text" w:cs="Myanmar Text"/>
      <w:bCs w:val="0"/>
      <w:i w:val="0"/>
      <w:iCs w:val="0"/>
      <w:noProof/>
    </w:rPr>
  </w:style>
  <w:style w:type="character" w:styleId="Vgjegyzet-hivatkozs">
    <w:name w:val="endnote reference"/>
    <w:basedOn w:val="Bekezdsalapbettpusa"/>
    <w:uiPriority w:val="99"/>
    <w:semiHidden/>
    <w:unhideWhenUsed/>
    <w:rPr>
      <w:vertAlign w:val="superscript"/>
    </w:rPr>
  </w:style>
  <w:style w:type="paragraph" w:customStyle="1" w:styleId="BlockImage">
    <w:name w:val="BlockImage"/>
    <w:basedOn w:val="Norml"/>
    <w:qFormat/>
    <w:pPr>
      <w:spacing w:line="240" w:lineRule="auto"/>
      <w:jc w:val="center"/>
    </w:pPr>
    <w:rPr>
      <w:noProof/>
    </w:rPr>
  </w:style>
  <w:style w:type="paragraph" w:customStyle="1" w:styleId="Image">
    <w:name w:val="Image"/>
    <w:basedOn w:val="Norml"/>
    <w:qFormat/>
    <w:pPr>
      <w:keepNext/>
      <w:widowControl w:val="0"/>
      <w:spacing w:before="60" w:after="60" w:line="240" w:lineRule="auto"/>
      <w:jc w:val="center"/>
    </w:pPr>
    <w:rPr>
      <w:noProof/>
      <w:sz w:val="20"/>
    </w:rPr>
  </w:style>
  <w:style w:type="paragraph" w:styleId="Szvegtrzs">
    <w:name w:val="Body Text"/>
    <w:basedOn w:val="Norml"/>
    <w:link w:val="SzvegtrzsChar"/>
    <w:uiPriority w:val="74"/>
    <w:pPr>
      <w:spacing w:before="120" w:after="120"/>
      <w:ind w:left="567" w:right="567"/>
      <w:contextualSpacing/>
    </w:pPr>
  </w:style>
  <w:style w:type="character" w:customStyle="1" w:styleId="SzvegtrzsChar">
    <w:name w:val="Szövegtörzs Char"/>
    <w:basedOn w:val="Bekezdsalapbettpusa"/>
    <w:link w:val="Szvegtrzs"/>
    <w:uiPriority w:val="74"/>
    <w:rPr>
      <w:rFonts w:ascii="Gentium" w:eastAsiaTheme="minorEastAsia" w:hAnsi="Gentium" w:cs="Tiro Devanagari Sanskrit"/>
      <w:kern w:val="2"/>
      <w:sz w:val="22"/>
      <w:szCs w:val="22"/>
      <w:lang w:eastAsia="zh-TW"/>
      <w14:ligatures w14:val="standardContextual"/>
    </w:rPr>
  </w:style>
  <w:style w:type="character" w:customStyle="1" w:styleId="ForeignIndic">
    <w:name w:val="Foreign: Indic"/>
    <w:basedOn w:val="Foreign"/>
    <w:uiPriority w:val="1"/>
    <w:qFormat/>
    <w:rPr>
      <w:i w:val="0"/>
      <w:iCs w:val="0"/>
      <w:noProof/>
    </w:rPr>
  </w:style>
  <w:style w:type="paragraph" w:styleId="Idzet">
    <w:name w:val="Quote"/>
    <w:basedOn w:val="Norml"/>
    <w:next w:val="Norml"/>
    <w:link w:val="IdzetChar"/>
    <w:uiPriority w:val="29"/>
    <w:unhideWhenUsed/>
    <w:pPr>
      <w:spacing w:before="120" w:after="120"/>
      <w:ind w:left="567" w:right="567"/>
    </w:pPr>
  </w:style>
  <w:style w:type="character" w:customStyle="1" w:styleId="IdzetChar">
    <w:name w:val="Idézet Char"/>
    <w:basedOn w:val="Bekezdsalapbettpusa"/>
    <w:link w:val="Idzet"/>
    <w:uiPriority w:val="29"/>
    <w:rPr>
      <w:rFonts w:ascii="Gentium" w:eastAsiaTheme="minorEastAsia" w:hAnsi="Gentium" w:cs="Tiro Devanagari Sanskrit"/>
      <w:kern w:val="2"/>
      <w:sz w:val="22"/>
      <w:szCs w:val="22"/>
      <w:lang w:eastAsia="zh-TW"/>
      <w14:ligatures w14:val="standardContextual"/>
    </w:rPr>
  </w:style>
  <w:style w:type="paragraph" w:styleId="Normlbehzs">
    <w:name w:val="Normal Indent"/>
    <w:basedOn w:val="Norml"/>
    <w:uiPriority w:val="99"/>
    <w:unhideWhenUsed/>
    <w:pPr>
      <w:ind w:firstLine="425"/>
    </w:pPr>
  </w:style>
  <w:style w:type="character" w:customStyle="1" w:styleId="ImageInsetSundanese">
    <w:name w:val="ImageInsetSundanese"/>
    <w:basedOn w:val="Bekezdsalapbettpusa"/>
    <w:uiPriority w:val="1"/>
    <w:qFormat/>
    <w:rPr>
      <w:noProof/>
      <w:position w:val="-10"/>
    </w:rPr>
  </w:style>
  <w:style w:type="paragraph" w:customStyle="1" w:styleId="TableHead">
    <w:name w:val="TableHead"/>
    <w:basedOn w:val="Norml"/>
    <w:qFormat/>
    <w:pPr>
      <w:jc w:val="left"/>
    </w:pPr>
  </w:style>
  <w:style w:type="table" w:customStyle="1" w:styleId="Stlus1">
    <w:name w:val="Stílus1"/>
    <w:basedOn w:val="CodeSampleTable"/>
    <w:uiPriority w:val="99"/>
    <w:tblPr>
      <w:tblCellMar>
        <w:top w:w="57" w:type="dxa"/>
        <w:bottom w:w="57" w:type="dxa"/>
      </w:tblCellMar>
    </w:tblPr>
    <w:tblStylePr w:type="firstRow">
      <w:rPr>
        <w:rFonts w:asciiTheme="majorHAnsi" w:hAnsiTheme="majorHAnsi"/>
        <w:sz w:val="18"/>
      </w:rPr>
      <w:tblPr/>
      <w:tcPr>
        <w:tcBorders>
          <w:bottom w:val="nil"/>
        </w:tcBorders>
        <w:shd w:val="clear" w:color="auto" w:fill="EAF1DD" w:themeFill="accent3" w:themeFillTint="33"/>
      </w:tcPr>
    </w:tblStylePr>
  </w:style>
  <w:style w:type="character" w:customStyle="1" w:styleId="ForeignDevanagariAlt">
    <w:name w:val="Foreign: DevanagariAlt"/>
    <w:basedOn w:val="Bekezdsalapbettpusa"/>
    <w:uiPriority w:val="1"/>
    <w:qFormat/>
    <w:rPr>
      <w:rFonts w:ascii="Uttara" w:hAnsi="Uttara" w:cs="Uttara"/>
      <w:b w:val="0"/>
      <w:bCs w:val="0"/>
      <w:i w:val="0"/>
      <w:iCs w:val="0"/>
      <w:noProof/>
      <w14:ligatures w14:val="all"/>
    </w:rPr>
  </w:style>
  <w:style w:type="character" w:customStyle="1" w:styleId="ForeignDevanagariScript0">
    <w:name w:val="Foreign: DevanagariScript"/>
    <w:basedOn w:val="ForeignKannadaScript"/>
    <w:uiPriority w:val="1"/>
    <w:qFormat/>
    <w:rPr>
      <w:rFonts w:ascii="Tiro Devanagari Sanskrit" w:hAnsi="Tiro Devanagari Sanskrit" w:cs="Tiro Devanagari Sanskrit"/>
      <w:b w:val="0"/>
      <w:bCs w:val="0"/>
      <w:i w:val="0"/>
      <w:iCs w:val="0"/>
      <w:noProof/>
    </w:rPr>
  </w:style>
  <w:style w:type="character" w:customStyle="1" w:styleId="ForeignBengaliScript">
    <w:name w:val="Foreign: BengaliScript"/>
    <w:basedOn w:val="ForeignDevanagariScript0"/>
    <w:uiPriority w:val="1"/>
    <w:qFormat/>
    <w:rPr>
      <w:rFonts w:ascii="Tiro Devanagari Sanskrit" w:hAnsi="Tiro Devanagari Sanskrit" w:cs="Tiro Devanagari Sanskrit"/>
      <w:b w:val="0"/>
      <w:bCs w:val="0"/>
      <w:i w:val="0"/>
      <w:iCs w:val="0"/>
      <w:noProof/>
    </w:rPr>
  </w:style>
  <w:style w:type="character" w:customStyle="1" w:styleId="ForeignTamilGrantha0">
    <w:name w:val="Foreign: TamilGrantha"/>
    <w:basedOn w:val="ForeignTamilScript"/>
    <w:uiPriority w:val="1"/>
    <w:qFormat/>
    <w:rPr>
      <w:rFonts w:ascii="Noto Sans Grantha" w:hAnsi="Noto Sans Grantha" w:cs="Noto Sans Grantha"/>
      <w:b w:val="0"/>
      <w:bCs w:val="0"/>
      <w:i w:val="0"/>
      <w:iCs w:val="0"/>
      <w:noProof/>
      <w:szCs w:val="24"/>
    </w:rPr>
  </w:style>
  <w:style w:type="table" w:customStyle="1" w:styleId="TGtableblank">
    <w:name w:val="TG table blank"/>
    <w:basedOn w:val="Normltblzat"/>
    <w:uiPriority w:val="99"/>
    <w:pPr>
      <w:widowControl/>
      <w:ind w:left="0"/>
      <w:jc w:val="left"/>
    </w:pPr>
    <w:rPr>
      <w:rFonts w:ascii="Gentium Plus" w:eastAsia="Arial Unicode MS" w:hAnsi="Gentium Plus" w:cs="Gentium Plus"/>
      <w:lang w:eastAsia="zh-TW"/>
    </w:rPr>
    <w:tblPr/>
  </w:style>
  <w:style w:type="character" w:customStyle="1" w:styleId="TG-Label">
    <w:name w:val="TG-Label"/>
    <w:basedOn w:val="Code"/>
    <w:uiPriority w:val="1"/>
    <w:qFormat/>
    <w:rPr>
      <w:rFonts w:ascii="Calibri" w:hAnsi="Calibri" w:cs="Consolas"/>
      <w:noProof/>
      <w:color w:val="0000FF"/>
      <w:bdr w:val="single" w:sz="4" w:space="0" w:color="auto"/>
      <w:shd w:val="clear" w:color="auto" w:fill="auto"/>
    </w:rPr>
  </w:style>
  <w:style w:type="character" w:customStyle="1" w:styleId="LabelEmph">
    <w:name w:val="LabelEmph"/>
    <w:basedOn w:val="TG-Label"/>
    <w:uiPriority w:val="1"/>
    <w:qFormat/>
    <w:rPr>
      <w:rFonts w:ascii="Calibri" w:hAnsi="Calibri" w:cs="Consolas"/>
      <w:noProof/>
      <w:color w:val="FF0000"/>
      <w:bdr w:val="single" w:sz="4" w:space="0" w:color="auto"/>
      <w:shd w:val="clear" w:color="auto" w:fill="auto"/>
    </w:rPr>
  </w:style>
  <w:style w:type="character" w:customStyle="1" w:styleId="Label">
    <w:name w:val="Label"/>
    <w:basedOn w:val="Code"/>
    <w:uiPriority w:val="1"/>
    <w:qFormat/>
    <w:rPr>
      <w:rFonts w:ascii="Calibri" w:hAnsi="Calibri" w:cs="Consolas"/>
      <w:noProof/>
      <w:color w:val="0000FF"/>
      <w:bdr w:val="single" w:sz="4" w:space="0" w:color="auto"/>
      <w:shd w:val="clear" w:color="auto" w:fill="auto"/>
    </w:rPr>
  </w:style>
  <w:style w:type="character" w:customStyle="1" w:styleId="ForeignTeluguScript">
    <w:name w:val="Foreign: TeluguScript"/>
    <w:basedOn w:val="ForeignKannadaScript"/>
    <w:uiPriority w:val="1"/>
    <w:qFormat/>
    <w:rPr>
      <w:rFonts w:ascii="Tiro Telugu" w:hAnsi="Tiro Telugu" w:cs="Nirmala UI"/>
      <w:b w:val="0"/>
      <w:bCs w:val="0"/>
      <w:i w:val="0"/>
      <w:iCs w:val="0"/>
      <w:noProof/>
    </w:rPr>
  </w:style>
  <w:style w:type="character" w:customStyle="1" w:styleId="ForeignJavaneseScript">
    <w:name w:val="Foreign: JavaneseScript"/>
    <w:basedOn w:val="ForeignBalineseScript"/>
    <w:uiPriority w:val="1"/>
    <w:qFormat/>
    <w:rPr>
      <w:rFonts w:ascii="Javanese Text" w:hAnsi="Javanese Text" w:cs="Javanese Text"/>
      <w:b w:val="0"/>
      <w:bCs w:val="0"/>
      <w:i w:val="0"/>
      <w:iCs w:val="0"/>
      <w:noProof/>
      <w:position w:val="0"/>
      <w:szCs w:val="24"/>
    </w:rPr>
  </w:style>
  <w:style w:type="character" w:customStyle="1" w:styleId="LabelGreen">
    <w:name w:val="LabelGreen"/>
    <w:basedOn w:val="Label"/>
    <w:uiPriority w:val="1"/>
    <w:qFormat/>
    <w:rPr>
      <w:rFonts w:ascii="Calibri" w:hAnsi="Calibri" w:cs="Consolas"/>
      <w:noProof/>
      <w:color w:val="4F6228" w:themeColor="accent3" w:themeShade="80"/>
      <w:bdr w:val="single" w:sz="4" w:space="0" w:color="auto"/>
      <w:shd w:val="clear" w:color="auto" w:fill="auto"/>
    </w:rPr>
  </w:style>
  <w:style w:type="character" w:customStyle="1" w:styleId="ForeignSharadaScript">
    <w:name w:val="Foreign: SharadaScript"/>
    <w:basedOn w:val="ForeignDevanagariScript0"/>
    <w:uiPriority w:val="1"/>
    <w:qFormat/>
    <w:rPr>
      <w:rFonts w:ascii="Satisar Sharada" w:hAnsi="Satisar Sharada" w:cs="Tiro Devanagari Sanskrit"/>
      <w:b w:val="0"/>
      <w:bCs w:val="0"/>
      <w:i w:val="0"/>
      <w:iCs w:val="0"/>
      <w:noProof/>
    </w:rPr>
  </w:style>
  <w:style w:type="character" w:customStyle="1" w:styleId="LabelInformal">
    <w:name w:val="LabelInformal"/>
    <w:basedOn w:val="Code"/>
    <w:uiPriority w:val="1"/>
    <w:qFormat/>
    <w:rPr>
      <w:rFonts w:ascii="Calibri" w:hAnsi="Calibri" w:cs="Consolas"/>
      <w:noProof/>
      <w:color w:val="7F7F7F" w:themeColor="text1" w:themeTint="80"/>
      <w:bdr w:val="single" w:sz="4" w:space="0" w:color="auto"/>
      <w:shd w:val="clear" w:color="auto" w:fill="auto"/>
    </w:rPr>
  </w:style>
  <w:style w:type="character" w:customStyle="1" w:styleId="ForeignGurmukhiScript">
    <w:name w:val="Foreign: GurmukhiScript"/>
    <w:basedOn w:val="ForeignDevanagariScript0"/>
    <w:uiPriority w:val="1"/>
    <w:qFormat/>
    <w:rPr>
      <w:rFonts w:ascii="Raavi" w:hAnsi="Raavi" w:cs="Raavi"/>
      <w:b w:val="0"/>
      <w:bCs w:val="0"/>
      <w:i w:val="0"/>
      <w:iCs w:val="0"/>
      <w:noProof/>
      <w:lang w:bidi="pa-IN"/>
    </w:rPr>
  </w:style>
  <w:style w:type="character" w:customStyle="1" w:styleId="ForeignDingbat">
    <w:name w:val="Foreign: Dingbat"/>
    <w:basedOn w:val="ForeignDevanagariScript0"/>
    <w:uiPriority w:val="1"/>
    <w:qFormat/>
    <w:rPr>
      <w:rFonts w:ascii="Segoe UI Symbol" w:hAnsi="Segoe UI Symbol" w:cs="Cambria Math"/>
      <w:b w:val="0"/>
      <w:bCs w:val="0"/>
      <w:i w:val="0"/>
      <w:iCs w:val="0"/>
      <w:noProof/>
      <w:lang w:eastAsia="en-US" w:bidi="ar-SA"/>
    </w:rPr>
  </w:style>
  <w:style w:type="paragraph" w:styleId="Listaszerbekezds">
    <w:name w:val="List Paragraph"/>
    <w:basedOn w:val="Norml"/>
    <w:uiPriority w:val="34"/>
    <w:qFormat/>
    <w:pPr>
      <w:ind w:left="720"/>
      <w:contextualSpacing/>
    </w:pPr>
    <w:rPr>
      <w:rFonts w:cs="Mangal"/>
      <w:szCs w:val="20"/>
    </w:rPr>
  </w:style>
  <w:style w:type="character" w:customStyle="1" w:styleId="Idegen">
    <w:name w:val="Idegen"/>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290">
      <w:bodyDiv w:val="1"/>
      <w:marLeft w:val="0"/>
      <w:marRight w:val="0"/>
      <w:marTop w:val="0"/>
      <w:marBottom w:val="0"/>
      <w:divBdr>
        <w:top w:val="none" w:sz="0" w:space="0" w:color="auto"/>
        <w:left w:val="none" w:sz="0" w:space="0" w:color="auto"/>
        <w:bottom w:val="none" w:sz="0" w:space="0" w:color="auto"/>
        <w:right w:val="none" w:sz="0" w:space="0" w:color="auto"/>
      </w:divBdr>
    </w:div>
    <w:div w:id="45421345">
      <w:bodyDiv w:val="1"/>
      <w:marLeft w:val="0"/>
      <w:marRight w:val="0"/>
      <w:marTop w:val="0"/>
      <w:marBottom w:val="0"/>
      <w:divBdr>
        <w:top w:val="none" w:sz="0" w:space="0" w:color="auto"/>
        <w:left w:val="none" w:sz="0" w:space="0" w:color="auto"/>
        <w:bottom w:val="none" w:sz="0" w:space="0" w:color="auto"/>
        <w:right w:val="none" w:sz="0" w:space="0" w:color="auto"/>
      </w:divBdr>
    </w:div>
    <w:div w:id="102959600">
      <w:bodyDiv w:val="1"/>
      <w:marLeft w:val="0"/>
      <w:marRight w:val="0"/>
      <w:marTop w:val="0"/>
      <w:marBottom w:val="0"/>
      <w:divBdr>
        <w:top w:val="none" w:sz="0" w:space="0" w:color="auto"/>
        <w:left w:val="none" w:sz="0" w:space="0" w:color="auto"/>
        <w:bottom w:val="none" w:sz="0" w:space="0" w:color="auto"/>
        <w:right w:val="none" w:sz="0" w:space="0" w:color="auto"/>
      </w:divBdr>
    </w:div>
    <w:div w:id="105395730">
      <w:bodyDiv w:val="1"/>
      <w:marLeft w:val="0"/>
      <w:marRight w:val="0"/>
      <w:marTop w:val="0"/>
      <w:marBottom w:val="0"/>
      <w:divBdr>
        <w:top w:val="none" w:sz="0" w:space="0" w:color="auto"/>
        <w:left w:val="none" w:sz="0" w:space="0" w:color="auto"/>
        <w:bottom w:val="none" w:sz="0" w:space="0" w:color="auto"/>
        <w:right w:val="none" w:sz="0" w:space="0" w:color="auto"/>
      </w:divBdr>
    </w:div>
    <w:div w:id="109521671">
      <w:bodyDiv w:val="1"/>
      <w:marLeft w:val="0"/>
      <w:marRight w:val="0"/>
      <w:marTop w:val="0"/>
      <w:marBottom w:val="0"/>
      <w:divBdr>
        <w:top w:val="none" w:sz="0" w:space="0" w:color="auto"/>
        <w:left w:val="none" w:sz="0" w:space="0" w:color="auto"/>
        <w:bottom w:val="none" w:sz="0" w:space="0" w:color="auto"/>
        <w:right w:val="none" w:sz="0" w:space="0" w:color="auto"/>
      </w:divBdr>
    </w:div>
    <w:div w:id="110049882">
      <w:bodyDiv w:val="1"/>
      <w:marLeft w:val="0"/>
      <w:marRight w:val="0"/>
      <w:marTop w:val="0"/>
      <w:marBottom w:val="0"/>
      <w:divBdr>
        <w:top w:val="none" w:sz="0" w:space="0" w:color="auto"/>
        <w:left w:val="none" w:sz="0" w:space="0" w:color="auto"/>
        <w:bottom w:val="none" w:sz="0" w:space="0" w:color="auto"/>
        <w:right w:val="none" w:sz="0" w:space="0" w:color="auto"/>
      </w:divBdr>
    </w:div>
    <w:div w:id="132603217">
      <w:bodyDiv w:val="1"/>
      <w:marLeft w:val="0"/>
      <w:marRight w:val="0"/>
      <w:marTop w:val="0"/>
      <w:marBottom w:val="0"/>
      <w:divBdr>
        <w:top w:val="none" w:sz="0" w:space="0" w:color="auto"/>
        <w:left w:val="none" w:sz="0" w:space="0" w:color="auto"/>
        <w:bottom w:val="none" w:sz="0" w:space="0" w:color="auto"/>
        <w:right w:val="none" w:sz="0" w:space="0" w:color="auto"/>
      </w:divBdr>
    </w:div>
    <w:div w:id="141891137">
      <w:bodyDiv w:val="1"/>
      <w:marLeft w:val="0"/>
      <w:marRight w:val="0"/>
      <w:marTop w:val="0"/>
      <w:marBottom w:val="0"/>
      <w:divBdr>
        <w:top w:val="none" w:sz="0" w:space="0" w:color="auto"/>
        <w:left w:val="none" w:sz="0" w:space="0" w:color="auto"/>
        <w:bottom w:val="none" w:sz="0" w:space="0" w:color="auto"/>
        <w:right w:val="none" w:sz="0" w:space="0" w:color="auto"/>
      </w:divBdr>
    </w:div>
    <w:div w:id="145973143">
      <w:bodyDiv w:val="1"/>
      <w:marLeft w:val="0"/>
      <w:marRight w:val="0"/>
      <w:marTop w:val="0"/>
      <w:marBottom w:val="0"/>
      <w:divBdr>
        <w:top w:val="none" w:sz="0" w:space="0" w:color="auto"/>
        <w:left w:val="none" w:sz="0" w:space="0" w:color="auto"/>
        <w:bottom w:val="none" w:sz="0" w:space="0" w:color="auto"/>
        <w:right w:val="none" w:sz="0" w:space="0" w:color="auto"/>
      </w:divBdr>
    </w:div>
    <w:div w:id="157312634">
      <w:bodyDiv w:val="1"/>
      <w:marLeft w:val="0"/>
      <w:marRight w:val="0"/>
      <w:marTop w:val="0"/>
      <w:marBottom w:val="0"/>
      <w:divBdr>
        <w:top w:val="none" w:sz="0" w:space="0" w:color="auto"/>
        <w:left w:val="none" w:sz="0" w:space="0" w:color="auto"/>
        <w:bottom w:val="none" w:sz="0" w:space="0" w:color="auto"/>
        <w:right w:val="none" w:sz="0" w:space="0" w:color="auto"/>
      </w:divBdr>
    </w:div>
    <w:div w:id="183329715">
      <w:bodyDiv w:val="1"/>
      <w:marLeft w:val="0"/>
      <w:marRight w:val="0"/>
      <w:marTop w:val="0"/>
      <w:marBottom w:val="0"/>
      <w:divBdr>
        <w:top w:val="none" w:sz="0" w:space="0" w:color="auto"/>
        <w:left w:val="none" w:sz="0" w:space="0" w:color="auto"/>
        <w:bottom w:val="none" w:sz="0" w:space="0" w:color="auto"/>
        <w:right w:val="none" w:sz="0" w:space="0" w:color="auto"/>
      </w:divBdr>
    </w:div>
    <w:div w:id="193005767">
      <w:bodyDiv w:val="1"/>
      <w:marLeft w:val="0"/>
      <w:marRight w:val="0"/>
      <w:marTop w:val="0"/>
      <w:marBottom w:val="0"/>
      <w:divBdr>
        <w:top w:val="none" w:sz="0" w:space="0" w:color="auto"/>
        <w:left w:val="none" w:sz="0" w:space="0" w:color="auto"/>
        <w:bottom w:val="none" w:sz="0" w:space="0" w:color="auto"/>
        <w:right w:val="none" w:sz="0" w:space="0" w:color="auto"/>
      </w:divBdr>
    </w:div>
    <w:div w:id="211619433">
      <w:bodyDiv w:val="1"/>
      <w:marLeft w:val="0"/>
      <w:marRight w:val="0"/>
      <w:marTop w:val="0"/>
      <w:marBottom w:val="0"/>
      <w:divBdr>
        <w:top w:val="none" w:sz="0" w:space="0" w:color="auto"/>
        <w:left w:val="none" w:sz="0" w:space="0" w:color="auto"/>
        <w:bottom w:val="none" w:sz="0" w:space="0" w:color="auto"/>
        <w:right w:val="none" w:sz="0" w:space="0" w:color="auto"/>
      </w:divBdr>
      <w:divsChild>
        <w:div w:id="11954811">
          <w:marLeft w:val="480"/>
          <w:marRight w:val="0"/>
          <w:marTop w:val="0"/>
          <w:marBottom w:val="0"/>
          <w:divBdr>
            <w:top w:val="none" w:sz="0" w:space="0" w:color="auto"/>
            <w:left w:val="none" w:sz="0" w:space="0" w:color="auto"/>
            <w:bottom w:val="none" w:sz="0" w:space="0" w:color="auto"/>
            <w:right w:val="none" w:sz="0" w:space="0" w:color="auto"/>
          </w:divBdr>
          <w:divsChild>
            <w:div w:id="24210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02970">
      <w:bodyDiv w:val="1"/>
      <w:marLeft w:val="0"/>
      <w:marRight w:val="0"/>
      <w:marTop w:val="0"/>
      <w:marBottom w:val="0"/>
      <w:divBdr>
        <w:top w:val="none" w:sz="0" w:space="0" w:color="auto"/>
        <w:left w:val="none" w:sz="0" w:space="0" w:color="auto"/>
        <w:bottom w:val="none" w:sz="0" w:space="0" w:color="auto"/>
        <w:right w:val="none" w:sz="0" w:space="0" w:color="auto"/>
      </w:divBdr>
    </w:div>
    <w:div w:id="264776259">
      <w:bodyDiv w:val="1"/>
      <w:marLeft w:val="0"/>
      <w:marRight w:val="0"/>
      <w:marTop w:val="0"/>
      <w:marBottom w:val="0"/>
      <w:divBdr>
        <w:top w:val="none" w:sz="0" w:space="0" w:color="auto"/>
        <w:left w:val="none" w:sz="0" w:space="0" w:color="auto"/>
        <w:bottom w:val="none" w:sz="0" w:space="0" w:color="auto"/>
        <w:right w:val="none" w:sz="0" w:space="0" w:color="auto"/>
      </w:divBdr>
    </w:div>
    <w:div w:id="279192214">
      <w:bodyDiv w:val="1"/>
      <w:marLeft w:val="0"/>
      <w:marRight w:val="0"/>
      <w:marTop w:val="0"/>
      <w:marBottom w:val="0"/>
      <w:divBdr>
        <w:top w:val="none" w:sz="0" w:space="0" w:color="auto"/>
        <w:left w:val="none" w:sz="0" w:space="0" w:color="auto"/>
        <w:bottom w:val="none" w:sz="0" w:space="0" w:color="auto"/>
        <w:right w:val="none" w:sz="0" w:space="0" w:color="auto"/>
      </w:divBdr>
    </w:div>
    <w:div w:id="315038910">
      <w:bodyDiv w:val="1"/>
      <w:marLeft w:val="0"/>
      <w:marRight w:val="0"/>
      <w:marTop w:val="0"/>
      <w:marBottom w:val="0"/>
      <w:divBdr>
        <w:top w:val="none" w:sz="0" w:space="0" w:color="auto"/>
        <w:left w:val="none" w:sz="0" w:space="0" w:color="auto"/>
        <w:bottom w:val="none" w:sz="0" w:space="0" w:color="auto"/>
        <w:right w:val="none" w:sz="0" w:space="0" w:color="auto"/>
      </w:divBdr>
    </w:div>
    <w:div w:id="403528943">
      <w:bodyDiv w:val="1"/>
      <w:marLeft w:val="0"/>
      <w:marRight w:val="0"/>
      <w:marTop w:val="0"/>
      <w:marBottom w:val="0"/>
      <w:divBdr>
        <w:top w:val="none" w:sz="0" w:space="0" w:color="auto"/>
        <w:left w:val="none" w:sz="0" w:space="0" w:color="auto"/>
        <w:bottom w:val="none" w:sz="0" w:space="0" w:color="auto"/>
        <w:right w:val="none" w:sz="0" w:space="0" w:color="auto"/>
      </w:divBdr>
    </w:div>
    <w:div w:id="430588830">
      <w:bodyDiv w:val="1"/>
      <w:marLeft w:val="0"/>
      <w:marRight w:val="0"/>
      <w:marTop w:val="0"/>
      <w:marBottom w:val="0"/>
      <w:divBdr>
        <w:top w:val="none" w:sz="0" w:space="0" w:color="auto"/>
        <w:left w:val="none" w:sz="0" w:space="0" w:color="auto"/>
        <w:bottom w:val="none" w:sz="0" w:space="0" w:color="auto"/>
        <w:right w:val="none" w:sz="0" w:space="0" w:color="auto"/>
      </w:divBdr>
    </w:div>
    <w:div w:id="437071191">
      <w:bodyDiv w:val="1"/>
      <w:marLeft w:val="0"/>
      <w:marRight w:val="0"/>
      <w:marTop w:val="0"/>
      <w:marBottom w:val="0"/>
      <w:divBdr>
        <w:top w:val="none" w:sz="0" w:space="0" w:color="auto"/>
        <w:left w:val="none" w:sz="0" w:space="0" w:color="auto"/>
        <w:bottom w:val="none" w:sz="0" w:space="0" w:color="auto"/>
        <w:right w:val="none" w:sz="0" w:space="0" w:color="auto"/>
      </w:divBdr>
    </w:div>
    <w:div w:id="471562700">
      <w:bodyDiv w:val="1"/>
      <w:marLeft w:val="0"/>
      <w:marRight w:val="0"/>
      <w:marTop w:val="0"/>
      <w:marBottom w:val="0"/>
      <w:divBdr>
        <w:top w:val="none" w:sz="0" w:space="0" w:color="auto"/>
        <w:left w:val="none" w:sz="0" w:space="0" w:color="auto"/>
        <w:bottom w:val="none" w:sz="0" w:space="0" w:color="auto"/>
        <w:right w:val="none" w:sz="0" w:space="0" w:color="auto"/>
      </w:divBdr>
    </w:div>
    <w:div w:id="485707158">
      <w:bodyDiv w:val="1"/>
      <w:marLeft w:val="0"/>
      <w:marRight w:val="0"/>
      <w:marTop w:val="0"/>
      <w:marBottom w:val="0"/>
      <w:divBdr>
        <w:top w:val="none" w:sz="0" w:space="0" w:color="auto"/>
        <w:left w:val="none" w:sz="0" w:space="0" w:color="auto"/>
        <w:bottom w:val="none" w:sz="0" w:space="0" w:color="auto"/>
        <w:right w:val="none" w:sz="0" w:space="0" w:color="auto"/>
      </w:divBdr>
    </w:div>
    <w:div w:id="509568200">
      <w:bodyDiv w:val="1"/>
      <w:marLeft w:val="0"/>
      <w:marRight w:val="0"/>
      <w:marTop w:val="0"/>
      <w:marBottom w:val="0"/>
      <w:divBdr>
        <w:top w:val="none" w:sz="0" w:space="0" w:color="auto"/>
        <w:left w:val="none" w:sz="0" w:space="0" w:color="auto"/>
        <w:bottom w:val="none" w:sz="0" w:space="0" w:color="auto"/>
        <w:right w:val="none" w:sz="0" w:space="0" w:color="auto"/>
      </w:divBdr>
    </w:div>
    <w:div w:id="540214831">
      <w:bodyDiv w:val="1"/>
      <w:marLeft w:val="0"/>
      <w:marRight w:val="0"/>
      <w:marTop w:val="0"/>
      <w:marBottom w:val="0"/>
      <w:divBdr>
        <w:top w:val="none" w:sz="0" w:space="0" w:color="auto"/>
        <w:left w:val="none" w:sz="0" w:space="0" w:color="auto"/>
        <w:bottom w:val="none" w:sz="0" w:space="0" w:color="auto"/>
        <w:right w:val="none" w:sz="0" w:space="0" w:color="auto"/>
      </w:divBdr>
    </w:div>
    <w:div w:id="565577944">
      <w:bodyDiv w:val="1"/>
      <w:marLeft w:val="0"/>
      <w:marRight w:val="0"/>
      <w:marTop w:val="0"/>
      <w:marBottom w:val="0"/>
      <w:divBdr>
        <w:top w:val="none" w:sz="0" w:space="0" w:color="auto"/>
        <w:left w:val="none" w:sz="0" w:space="0" w:color="auto"/>
        <w:bottom w:val="none" w:sz="0" w:space="0" w:color="auto"/>
        <w:right w:val="none" w:sz="0" w:space="0" w:color="auto"/>
      </w:divBdr>
    </w:div>
    <w:div w:id="574362720">
      <w:bodyDiv w:val="1"/>
      <w:marLeft w:val="0"/>
      <w:marRight w:val="0"/>
      <w:marTop w:val="0"/>
      <w:marBottom w:val="0"/>
      <w:divBdr>
        <w:top w:val="none" w:sz="0" w:space="0" w:color="auto"/>
        <w:left w:val="none" w:sz="0" w:space="0" w:color="auto"/>
        <w:bottom w:val="none" w:sz="0" w:space="0" w:color="auto"/>
        <w:right w:val="none" w:sz="0" w:space="0" w:color="auto"/>
      </w:divBdr>
    </w:div>
    <w:div w:id="575744209">
      <w:bodyDiv w:val="1"/>
      <w:marLeft w:val="0"/>
      <w:marRight w:val="0"/>
      <w:marTop w:val="0"/>
      <w:marBottom w:val="0"/>
      <w:divBdr>
        <w:top w:val="none" w:sz="0" w:space="0" w:color="auto"/>
        <w:left w:val="none" w:sz="0" w:space="0" w:color="auto"/>
        <w:bottom w:val="none" w:sz="0" w:space="0" w:color="auto"/>
        <w:right w:val="none" w:sz="0" w:space="0" w:color="auto"/>
      </w:divBdr>
    </w:div>
    <w:div w:id="597524147">
      <w:bodyDiv w:val="1"/>
      <w:marLeft w:val="0"/>
      <w:marRight w:val="0"/>
      <w:marTop w:val="0"/>
      <w:marBottom w:val="0"/>
      <w:divBdr>
        <w:top w:val="none" w:sz="0" w:space="0" w:color="auto"/>
        <w:left w:val="none" w:sz="0" w:space="0" w:color="auto"/>
        <w:bottom w:val="none" w:sz="0" w:space="0" w:color="auto"/>
        <w:right w:val="none" w:sz="0" w:space="0" w:color="auto"/>
      </w:divBdr>
    </w:div>
    <w:div w:id="609238002">
      <w:bodyDiv w:val="1"/>
      <w:marLeft w:val="0"/>
      <w:marRight w:val="0"/>
      <w:marTop w:val="0"/>
      <w:marBottom w:val="0"/>
      <w:divBdr>
        <w:top w:val="none" w:sz="0" w:space="0" w:color="auto"/>
        <w:left w:val="none" w:sz="0" w:space="0" w:color="auto"/>
        <w:bottom w:val="none" w:sz="0" w:space="0" w:color="auto"/>
        <w:right w:val="none" w:sz="0" w:space="0" w:color="auto"/>
      </w:divBdr>
    </w:div>
    <w:div w:id="612976669">
      <w:bodyDiv w:val="1"/>
      <w:marLeft w:val="0"/>
      <w:marRight w:val="0"/>
      <w:marTop w:val="0"/>
      <w:marBottom w:val="0"/>
      <w:divBdr>
        <w:top w:val="none" w:sz="0" w:space="0" w:color="auto"/>
        <w:left w:val="none" w:sz="0" w:space="0" w:color="auto"/>
        <w:bottom w:val="none" w:sz="0" w:space="0" w:color="auto"/>
        <w:right w:val="none" w:sz="0" w:space="0" w:color="auto"/>
      </w:divBdr>
      <w:divsChild>
        <w:div w:id="23212860">
          <w:marLeft w:val="480"/>
          <w:marRight w:val="0"/>
          <w:marTop w:val="0"/>
          <w:marBottom w:val="0"/>
          <w:divBdr>
            <w:top w:val="none" w:sz="0" w:space="0" w:color="auto"/>
            <w:left w:val="none" w:sz="0" w:space="0" w:color="auto"/>
            <w:bottom w:val="none" w:sz="0" w:space="0" w:color="auto"/>
            <w:right w:val="none" w:sz="0" w:space="0" w:color="auto"/>
          </w:divBdr>
          <w:divsChild>
            <w:div w:id="193443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6736">
      <w:bodyDiv w:val="1"/>
      <w:marLeft w:val="0"/>
      <w:marRight w:val="0"/>
      <w:marTop w:val="0"/>
      <w:marBottom w:val="0"/>
      <w:divBdr>
        <w:top w:val="none" w:sz="0" w:space="0" w:color="auto"/>
        <w:left w:val="none" w:sz="0" w:space="0" w:color="auto"/>
        <w:bottom w:val="none" w:sz="0" w:space="0" w:color="auto"/>
        <w:right w:val="none" w:sz="0" w:space="0" w:color="auto"/>
      </w:divBdr>
    </w:div>
    <w:div w:id="665136187">
      <w:bodyDiv w:val="1"/>
      <w:marLeft w:val="0"/>
      <w:marRight w:val="0"/>
      <w:marTop w:val="0"/>
      <w:marBottom w:val="0"/>
      <w:divBdr>
        <w:top w:val="none" w:sz="0" w:space="0" w:color="auto"/>
        <w:left w:val="none" w:sz="0" w:space="0" w:color="auto"/>
        <w:bottom w:val="none" w:sz="0" w:space="0" w:color="auto"/>
        <w:right w:val="none" w:sz="0" w:space="0" w:color="auto"/>
      </w:divBdr>
    </w:div>
    <w:div w:id="696613784">
      <w:bodyDiv w:val="1"/>
      <w:marLeft w:val="0"/>
      <w:marRight w:val="0"/>
      <w:marTop w:val="0"/>
      <w:marBottom w:val="0"/>
      <w:divBdr>
        <w:top w:val="none" w:sz="0" w:space="0" w:color="auto"/>
        <w:left w:val="none" w:sz="0" w:space="0" w:color="auto"/>
        <w:bottom w:val="none" w:sz="0" w:space="0" w:color="auto"/>
        <w:right w:val="none" w:sz="0" w:space="0" w:color="auto"/>
      </w:divBdr>
    </w:div>
    <w:div w:id="704526947">
      <w:bodyDiv w:val="1"/>
      <w:marLeft w:val="0"/>
      <w:marRight w:val="0"/>
      <w:marTop w:val="0"/>
      <w:marBottom w:val="0"/>
      <w:divBdr>
        <w:top w:val="none" w:sz="0" w:space="0" w:color="auto"/>
        <w:left w:val="none" w:sz="0" w:space="0" w:color="auto"/>
        <w:bottom w:val="none" w:sz="0" w:space="0" w:color="auto"/>
        <w:right w:val="none" w:sz="0" w:space="0" w:color="auto"/>
      </w:divBdr>
    </w:div>
    <w:div w:id="725030592">
      <w:bodyDiv w:val="1"/>
      <w:marLeft w:val="0"/>
      <w:marRight w:val="0"/>
      <w:marTop w:val="0"/>
      <w:marBottom w:val="0"/>
      <w:divBdr>
        <w:top w:val="none" w:sz="0" w:space="0" w:color="auto"/>
        <w:left w:val="none" w:sz="0" w:space="0" w:color="auto"/>
        <w:bottom w:val="none" w:sz="0" w:space="0" w:color="auto"/>
        <w:right w:val="none" w:sz="0" w:space="0" w:color="auto"/>
      </w:divBdr>
    </w:div>
    <w:div w:id="757599133">
      <w:bodyDiv w:val="1"/>
      <w:marLeft w:val="0"/>
      <w:marRight w:val="0"/>
      <w:marTop w:val="0"/>
      <w:marBottom w:val="0"/>
      <w:divBdr>
        <w:top w:val="none" w:sz="0" w:space="0" w:color="auto"/>
        <w:left w:val="none" w:sz="0" w:space="0" w:color="auto"/>
        <w:bottom w:val="none" w:sz="0" w:space="0" w:color="auto"/>
        <w:right w:val="none" w:sz="0" w:space="0" w:color="auto"/>
      </w:divBdr>
    </w:div>
    <w:div w:id="801309072">
      <w:bodyDiv w:val="1"/>
      <w:marLeft w:val="0"/>
      <w:marRight w:val="0"/>
      <w:marTop w:val="0"/>
      <w:marBottom w:val="0"/>
      <w:divBdr>
        <w:top w:val="none" w:sz="0" w:space="0" w:color="auto"/>
        <w:left w:val="none" w:sz="0" w:space="0" w:color="auto"/>
        <w:bottom w:val="none" w:sz="0" w:space="0" w:color="auto"/>
        <w:right w:val="none" w:sz="0" w:space="0" w:color="auto"/>
      </w:divBdr>
    </w:div>
    <w:div w:id="819157559">
      <w:bodyDiv w:val="1"/>
      <w:marLeft w:val="0"/>
      <w:marRight w:val="0"/>
      <w:marTop w:val="0"/>
      <w:marBottom w:val="0"/>
      <w:divBdr>
        <w:top w:val="none" w:sz="0" w:space="0" w:color="auto"/>
        <w:left w:val="none" w:sz="0" w:space="0" w:color="auto"/>
        <w:bottom w:val="none" w:sz="0" w:space="0" w:color="auto"/>
        <w:right w:val="none" w:sz="0" w:space="0" w:color="auto"/>
      </w:divBdr>
    </w:div>
    <w:div w:id="882331959">
      <w:bodyDiv w:val="1"/>
      <w:marLeft w:val="0"/>
      <w:marRight w:val="0"/>
      <w:marTop w:val="0"/>
      <w:marBottom w:val="0"/>
      <w:divBdr>
        <w:top w:val="none" w:sz="0" w:space="0" w:color="auto"/>
        <w:left w:val="none" w:sz="0" w:space="0" w:color="auto"/>
        <w:bottom w:val="none" w:sz="0" w:space="0" w:color="auto"/>
        <w:right w:val="none" w:sz="0" w:space="0" w:color="auto"/>
      </w:divBdr>
    </w:div>
    <w:div w:id="916087369">
      <w:bodyDiv w:val="1"/>
      <w:marLeft w:val="0"/>
      <w:marRight w:val="0"/>
      <w:marTop w:val="0"/>
      <w:marBottom w:val="0"/>
      <w:divBdr>
        <w:top w:val="none" w:sz="0" w:space="0" w:color="auto"/>
        <w:left w:val="none" w:sz="0" w:space="0" w:color="auto"/>
        <w:bottom w:val="none" w:sz="0" w:space="0" w:color="auto"/>
        <w:right w:val="none" w:sz="0" w:space="0" w:color="auto"/>
      </w:divBdr>
    </w:div>
    <w:div w:id="948009768">
      <w:bodyDiv w:val="1"/>
      <w:marLeft w:val="0"/>
      <w:marRight w:val="0"/>
      <w:marTop w:val="0"/>
      <w:marBottom w:val="0"/>
      <w:divBdr>
        <w:top w:val="none" w:sz="0" w:space="0" w:color="auto"/>
        <w:left w:val="none" w:sz="0" w:space="0" w:color="auto"/>
        <w:bottom w:val="none" w:sz="0" w:space="0" w:color="auto"/>
        <w:right w:val="none" w:sz="0" w:space="0" w:color="auto"/>
      </w:divBdr>
    </w:div>
    <w:div w:id="972053480">
      <w:bodyDiv w:val="1"/>
      <w:marLeft w:val="0"/>
      <w:marRight w:val="0"/>
      <w:marTop w:val="0"/>
      <w:marBottom w:val="0"/>
      <w:divBdr>
        <w:top w:val="none" w:sz="0" w:space="0" w:color="auto"/>
        <w:left w:val="none" w:sz="0" w:space="0" w:color="auto"/>
        <w:bottom w:val="none" w:sz="0" w:space="0" w:color="auto"/>
        <w:right w:val="none" w:sz="0" w:space="0" w:color="auto"/>
      </w:divBdr>
    </w:div>
    <w:div w:id="997810290">
      <w:bodyDiv w:val="1"/>
      <w:marLeft w:val="0"/>
      <w:marRight w:val="0"/>
      <w:marTop w:val="0"/>
      <w:marBottom w:val="0"/>
      <w:divBdr>
        <w:top w:val="none" w:sz="0" w:space="0" w:color="auto"/>
        <w:left w:val="none" w:sz="0" w:space="0" w:color="auto"/>
        <w:bottom w:val="none" w:sz="0" w:space="0" w:color="auto"/>
        <w:right w:val="none" w:sz="0" w:space="0" w:color="auto"/>
      </w:divBdr>
      <w:divsChild>
        <w:div w:id="1052116420">
          <w:marLeft w:val="480"/>
          <w:marRight w:val="0"/>
          <w:marTop w:val="0"/>
          <w:marBottom w:val="0"/>
          <w:divBdr>
            <w:top w:val="none" w:sz="0" w:space="0" w:color="auto"/>
            <w:left w:val="none" w:sz="0" w:space="0" w:color="auto"/>
            <w:bottom w:val="none" w:sz="0" w:space="0" w:color="auto"/>
            <w:right w:val="none" w:sz="0" w:space="0" w:color="auto"/>
          </w:divBdr>
          <w:divsChild>
            <w:div w:id="3644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01293">
      <w:bodyDiv w:val="1"/>
      <w:marLeft w:val="0"/>
      <w:marRight w:val="0"/>
      <w:marTop w:val="0"/>
      <w:marBottom w:val="0"/>
      <w:divBdr>
        <w:top w:val="none" w:sz="0" w:space="0" w:color="auto"/>
        <w:left w:val="none" w:sz="0" w:space="0" w:color="auto"/>
        <w:bottom w:val="none" w:sz="0" w:space="0" w:color="auto"/>
        <w:right w:val="none" w:sz="0" w:space="0" w:color="auto"/>
      </w:divBdr>
    </w:div>
    <w:div w:id="1007513102">
      <w:bodyDiv w:val="1"/>
      <w:marLeft w:val="0"/>
      <w:marRight w:val="0"/>
      <w:marTop w:val="0"/>
      <w:marBottom w:val="0"/>
      <w:divBdr>
        <w:top w:val="none" w:sz="0" w:space="0" w:color="auto"/>
        <w:left w:val="none" w:sz="0" w:space="0" w:color="auto"/>
        <w:bottom w:val="none" w:sz="0" w:space="0" w:color="auto"/>
        <w:right w:val="none" w:sz="0" w:space="0" w:color="auto"/>
      </w:divBdr>
    </w:div>
    <w:div w:id="1065179567">
      <w:bodyDiv w:val="1"/>
      <w:marLeft w:val="0"/>
      <w:marRight w:val="0"/>
      <w:marTop w:val="0"/>
      <w:marBottom w:val="0"/>
      <w:divBdr>
        <w:top w:val="none" w:sz="0" w:space="0" w:color="auto"/>
        <w:left w:val="none" w:sz="0" w:space="0" w:color="auto"/>
        <w:bottom w:val="none" w:sz="0" w:space="0" w:color="auto"/>
        <w:right w:val="none" w:sz="0" w:space="0" w:color="auto"/>
      </w:divBdr>
    </w:div>
    <w:div w:id="1129861277">
      <w:bodyDiv w:val="1"/>
      <w:marLeft w:val="0"/>
      <w:marRight w:val="0"/>
      <w:marTop w:val="0"/>
      <w:marBottom w:val="0"/>
      <w:divBdr>
        <w:top w:val="none" w:sz="0" w:space="0" w:color="auto"/>
        <w:left w:val="none" w:sz="0" w:space="0" w:color="auto"/>
        <w:bottom w:val="none" w:sz="0" w:space="0" w:color="auto"/>
        <w:right w:val="none" w:sz="0" w:space="0" w:color="auto"/>
      </w:divBdr>
    </w:div>
    <w:div w:id="1132090427">
      <w:bodyDiv w:val="1"/>
      <w:marLeft w:val="0"/>
      <w:marRight w:val="0"/>
      <w:marTop w:val="0"/>
      <w:marBottom w:val="0"/>
      <w:divBdr>
        <w:top w:val="none" w:sz="0" w:space="0" w:color="auto"/>
        <w:left w:val="none" w:sz="0" w:space="0" w:color="auto"/>
        <w:bottom w:val="none" w:sz="0" w:space="0" w:color="auto"/>
        <w:right w:val="none" w:sz="0" w:space="0" w:color="auto"/>
      </w:divBdr>
    </w:div>
    <w:div w:id="1142430154">
      <w:bodyDiv w:val="1"/>
      <w:marLeft w:val="0"/>
      <w:marRight w:val="0"/>
      <w:marTop w:val="0"/>
      <w:marBottom w:val="0"/>
      <w:divBdr>
        <w:top w:val="none" w:sz="0" w:space="0" w:color="auto"/>
        <w:left w:val="none" w:sz="0" w:space="0" w:color="auto"/>
        <w:bottom w:val="none" w:sz="0" w:space="0" w:color="auto"/>
        <w:right w:val="none" w:sz="0" w:space="0" w:color="auto"/>
      </w:divBdr>
    </w:div>
    <w:div w:id="1166827826">
      <w:bodyDiv w:val="1"/>
      <w:marLeft w:val="0"/>
      <w:marRight w:val="0"/>
      <w:marTop w:val="0"/>
      <w:marBottom w:val="0"/>
      <w:divBdr>
        <w:top w:val="none" w:sz="0" w:space="0" w:color="auto"/>
        <w:left w:val="none" w:sz="0" w:space="0" w:color="auto"/>
        <w:bottom w:val="none" w:sz="0" w:space="0" w:color="auto"/>
        <w:right w:val="none" w:sz="0" w:space="0" w:color="auto"/>
      </w:divBdr>
    </w:div>
    <w:div w:id="1181776373">
      <w:bodyDiv w:val="1"/>
      <w:marLeft w:val="0"/>
      <w:marRight w:val="0"/>
      <w:marTop w:val="0"/>
      <w:marBottom w:val="0"/>
      <w:divBdr>
        <w:top w:val="none" w:sz="0" w:space="0" w:color="auto"/>
        <w:left w:val="none" w:sz="0" w:space="0" w:color="auto"/>
        <w:bottom w:val="none" w:sz="0" w:space="0" w:color="auto"/>
        <w:right w:val="none" w:sz="0" w:space="0" w:color="auto"/>
      </w:divBdr>
    </w:div>
    <w:div w:id="1186793211">
      <w:bodyDiv w:val="1"/>
      <w:marLeft w:val="0"/>
      <w:marRight w:val="0"/>
      <w:marTop w:val="0"/>
      <w:marBottom w:val="0"/>
      <w:divBdr>
        <w:top w:val="none" w:sz="0" w:space="0" w:color="auto"/>
        <w:left w:val="none" w:sz="0" w:space="0" w:color="auto"/>
        <w:bottom w:val="none" w:sz="0" w:space="0" w:color="auto"/>
        <w:right w:val="none" w:sz="0" w:space="0" w:color="auto"/>
      </w:divBdr>
      <w:divsChild>
        <w:div w:id="1690522852">
          <w:marLeft w:val="-20"/>
          <w:marRight w:val="0"/>
          <w:marTop w:val="0"/>
          <w:marBottom w:val="0"/>
          <w:divBdr>
            <w:top w:val="none" w:sz="0" w:space="0" w:color="auto"/>
            <w:left w:val="none" w:sz="0" w:space="0" w:color="auto"/>
            <w:bottom w:val="none" w:sz="0" w:space="0" w:color="auto"/>
            <w:right w:val="none" w:sz="0" w:space="0" w:color="auto"/>
          </w:divBdr>
        </w:div>
      </w:divsChild>
    </w:div>
    <w:div w:id="1200823290">
      <w:bodyDiv w:val="1"/>
      <w:marLeft w:val="0"/>
      <w:marRight w:val="0"/>
      <w:marTop w:val="0"/>
      <w:marBottom w:val="0"/>
      <w:divBdr>
        <w:top w:val="none" w:sz="0" w:space="0" w:color="auto"/>
        <w:left w:val="none" w:sz="0" w:space="0" w:color="auto"/>
        <w:bottom w:val="none" w:sz="0" w:space="0" w:color="auto"/>
        <w:right w:val="none" w:sz="0" w:space="0" w:color="auto"/>
      </w:divBdr>
    </w:div>
    <w:div w:id="1204363142">
      <w:bodyDiv w:val="1"/>
      <w:marLeft w:val="0"/>
      <w:marRight w:val="0"/>
      <w:marTop w:val="0"/>
      <w:marBottom w:val="0"/>
      <w:divBdr>
        <w:top w:val="none" w:sz="0" w:space="0" w:color="auto"/>
        <w:left w:val="none" w:sz="0" w:space="0" w:color="auto"/>
        <w:bottom w:val="none" w:sz="0" w:space="0" w:color="auto"/>
        <w:right w:val="none" w:sz="0" w:space="0" w:color="auto"/>
      </w:divBdr>
    </w:div>
    <w:div w:id="1224608296">
      <w:bodyDiv w:val="1"/>
      <w:marLeft w:val="0"/>
      <w:marRight w:val="0"/>
      <w:marTop w:val="0"/>
      <w:marBottom w:val="0"/>
      <w:divBdr>
        <w:top w:val="none" w:sz="0" w:space="0" w:color="auto"/>
        <w:left w:val="none" w:sz="0" w:space="0" w:color="auto"/>
        <w:bottom w:val="none" w:sz="0" w:space="0" w:color="auto"/>
        <w:right w:val="none" w:sz="0" w:space="0" w:color="auto"/>
      </w:divBdr>
    </w:div>
    <w:div w:id="1247305847">
      <w:bodyDiv w:val="1"/>
      <w:marLeft w:val="0"/>
      <w:marRight w:val="0"/>
      <w:marTop w:val="0"/>
      <w:marBottom w:val="0"/>
      <w:divBdr>
        <w:top w:val="none" w:sz="0" w:space="0" w:color="auto"/>
        <w:left w:val="none" w:sz="0" w:space="0" w:color="auto"/>
        <w:bottom w:val="none" w:sz="0" w:space="0" w:color="auto"/>
        <w:right w:val="none" w:sz="0" w:space="0" w:color="auto"/>
      </w:divBdr>
    </w:div>
    <w:div w:id="1250115219">
      <w:bodyDiv w:val="1"/>
      <w:marLeft w:val="0"/>
      <w:marRight w:val="0"/>
      <w:marTop w:val="0"/>
      <w:marBottom w:val="0"/>
      <w:divBdr>
        <w:top w:val="none" w:sz="0" w:space="0" w:color="auto"/>
        <w:left w:val="none" w:sz="0" w:space="0" w:color="auto"/>
        <w:bottom w:val="none" w:sz="0" w:space="0" w:color="auto"/>
        <w:right w:val="none" w:sz="0" w:space="0" w:color="auto"/>
      </w:divBdr>
    </w:div>
    <w:div w:id="1279488718">
      <w:bodyDiv w:val="1"/>
      <w:marLeft w:val="0"/>
      <w:marRight w:val="0"/>
      <w:marTop w:val="0"/>
      <w:marBottom w:val="0"/>
      <w:divBdr>
        <w:top w:val="none" w:sz="0" w:space="0" w:color="auto"/>
        <w:left w:val="none" w:sz="0" w:space="0" w:color="auto"/>
        <w:bottom w:val="none" w:sz="0" w:space="0" w:color="auto"/>
        <w:right w:val="none" w:sz="0" w:space="0" w:color="auto"/>
      </w:divBdr>
    </w:div>
    <w:div w:id="1291745147">
      <w:bodyDiv w:val="1"/>
      <w:marLeft w:val="0"/>
      <w:marRight w:val="0"/>
      <w:marTop w:val="0"/>
      <w:marBottom w:val="0"/>
      <w:divBdr>
        <w:top w:val="none" w:sz="0" w:space="0" w:color="auto"/>
        <w:left w:val="none" w:sz="0" w:space="0" w:color="auto"/>
        <w:bottom w:val="none" w:sz="0" w:space="0" w:color="auto"/>
        <w:right w:val="none" w:sz="0" w:space="0" w:color="auto"/>
      </w:divBdr>
    </w:div>
    <w:div w:id="1315719046">
      <w:bodyDiv w:val="1"/>
      <w:marLeft w:val="0"/>
      <w:marRight w:val="0"/>
      <w:marTop w:val="0"/>
      <w:marBottom w:val="0"/>
      <w:divBdr>
        <w:top w:val="none" w:sz="0" w:space="0" w:color="auto"/>
        <w:left w:val="none" w:sz="0" w:space="0" w:color="auto"/>
        <w:bottom w:val="none" w:sz="0" w:space="0" w:color="auto"/>
        <w:right w:val="none" w:sz="0" w:space="0" w:color="auto"/>
      </w:divBdr>
    </w:div>
    <w:div w:id="1327708922">
      <w:bodyDiv w:val="1"/>
      <w:marLeft w:val="0"/>
      <w:marRight w:val="0"/>
      <w:marTop w:val="0"/>
      <w:marBottom w:val="0"/>
      <w:divBdr>
        <w:top w:val="none" w:sz="0" w:space="0" w:color="auto"/>
        <w:left w:val="none" w:sz="0" w:space="0" w:color="auto"/>
        <w:bottom w:val="none" w:sz="0" w:space="0" w:color="auto"/>
        <w:right w:val="none" w:sz="0" w:space="0" w:color="auto"/>
      </w:divBdr>
    </w:div>
    <w:div w:id="1329554844">
      <w:bodyDiv w:val="1"/>
      <w:marLeft w:val="0"/>
      <w:marRight w:val="0"/>
      <w:marTop w:val="0"/>
      <w:marBottom w:val="0"/>
      <w:divBdr>
        <w:top w:val="none" w:sz="0" w:space="0" w:color="auto"/>
        <w:left w:val="none" w:sz="0" w:space="0" w:color="auto"/>
        <w:bottom w:val="none" w:sz="0" w:space="0" w:color="auto"/>
        <w:right w:val="none" w:sz="0" w:space="0" w:color="auto"/>
      </w:divBdr>
    </w:div>
    <w:div w:id="1352874006">
      <w:bodyDiv w:val="1"/>
      <w:marLeft w:val="0"/>
      <w:marRight w:val="0"/>
      <w:marTop w:val="0"/>
      <w:marBottom w:val="0"/>
      <w:divBdr>
        <w:top w:val="none" w:sz="0" w:space="0" w:color="auto"/>
        <w:left w:val="none" w:sz="0" w:space="0" w:color="auto"/>
        <w:bottom w:val="none" w:sz="0" w:space="0" w:color="auto"/>
        <w:right w:val="none" w:sz="0" w:space="0" w:color="auto"/>
      </w:divBdr>
    </w:div>
    <w:div w:id="1368872382">
      <w:bodyDiv w:val="1"/>
      <w:marLeft w:val="0"/>
      <w:marRight w:val="0"/>
      <w:marTop w:val="0"/>
      <w:marBottom w:val="0"/>
      <w:divBdr>
        <w:top w:val="none" w:sz="0" w:space="0" w:color="auto"/>
        <w:left w:val="none" w:sz="0" w:space="0" w:color="auto"/>
        <w:bottom w:val="none" w:sz="0" w:space="0" w:color="auto"/>
        <w:right w:val="none" w:sz="0" w:space="0" w:color="auto"/>
      </w:divBdr>
    </w:div>
    <w:div w:id="1402944226">
      <w:bodyDiv w:val="1"/>
      <w:marLeft w:val="0"/>
      <w:marRight w:val="0"/>
      <w:marTop w:val="0"/>
      <w:marBottom w:val="0"/>
      <w:divBdr>
        <w:top w:val="none" w:sz="0" w:space="0" w:color="auto"/>
        <w:left w:val="none" w:sz="0" w:space="0" w:color="auto"/>
        <w:bottom w:val="none" w:sz="0" w:space="0" w:color="auto"/>
        <w:right w:val="none" w:sz="0" w:space="0" w:color="auto"/>
      </w:divBdr>
    </w:div>
    <w:div w:id="1414426317">
      <w:bodyDiv w:val="1"/>
      <w:marLeft w:val="0"/>
      <w:marRight w:val="0"/>
      <w:marTop w:val="0"/>
      <w:marBottom w:val="0"/>
      <w:divBdr>
        <w:top w:val="none" w:sz="0" w:space="0" w:color="auto"/>
        <w:left w:val="none" w:sz="0" w:space="0" w:color="auto"/>
        <w:bottom w:val="none" w:sz="0" w:space="0" w:color="auto"/>
        <w:right w:val="none" w:sz="0" w:space="0" w:color="auto"/>
      </w:divBdr>
    </w:div>
    <w:div w:id="1423448894">
      <w:bodyDiv w:val="1"/>
      <w:marLeft w:val="0"/>
      <w:marRight w:val="0"/>
      <w:marTop w:val="0"/>
      <w:marBottom w:val="0"/>
      <w:divBdr>
        <w:top w:val="none" w:sz="0" w:space="0" w:color="auto"/>
        <w:left w:val="none" w:sz="0" w:space="0" w:color="auto"/>
        <w:bottom w:val="none" w:sz="0" w:space="0" w:color="auto"/>
        <w:right w:val="none" w:sz="0" w:space="0" w:color="auto"/>
      </w:divBdr>
    </w:div>
    <w:div w:id="1449007817">
      <w:bodyDiv w:val="1"/>
      <w:marLeft w:val="0"/>
      <w:marRight w:val="0"/>
      <w:marTop w:val="0"/>
      <w:marBottom w:val="0"/>
      <w:divBdr>
        <w:top w:val="none" w:sz="0" w:space="0" w:color="auto"/>
        <w:left w:val="none" w:sz="0" w:space="0" w:color="auto"/>
        <w:bottom w:val="none" w:sz="0" w:space="0" w:color="auto"/>
        <w:right w:val="none" w:sz="0" w:space="0" w:color="auto"/>
      </w:divBdr>
    </w:div>
    <w:div w:id="1467510145">
      <w:bodyDiv w:val="1"/>
      <w:marLeft w:val="0"/>
      <w:marRight w:val="0"/>
      <w:marTop w:val="0"/>
      <w:marBottom w:val="0"/>
      <w:divBdr>
        <w:top w:val="none" w:sz="0" w:space="0" w:color="auto"/>
        <w:left w:val="none" w:sz="0" w:space="0" w:color="auto"/>
        <w:bottom w:val="none" w:sz="0" w:space="0" w:color="auto"/>
        <w:right w:val="none" w:sz="0" w:space="0" w:color="auto"/>
      </w:divBdr>
    </w:div>
    <w:div w:id="1491628735">
      <w:bodyDiv w:val="1"/>
      <w:marLeft w:val="0"/>
      <w:marRight w:val="0"/>
      <w:marTop w:val="0"/>
      <w:marBottom w:val="0"/>
      <w:divBdr>
        <w:top w:val="none" w:sz="0" w:space="0" w:color="auto"/>
        <w:left w:val="none" w:sz="0" w:space="0" w:color="auto"/>
        <w:bottom w:val="none" w:sz="0" w:space="0" w:color="auto"/>
        <w:right w:val="none" w:sz="0" w:space="0" w:color="auto"/>
      </w:divBdr>
    </w:div>
    <w:div w:id="1554464516">
      <w:bodyDiv w:val="1"/>
      <w:marLeft w:val="0"/>
      <w:marRight w:val="0"/>
      <w:marTop w:val="0"/>
      <w:marBottom w:val="0"/>
      <w:divBdr>
        <w:top w:val="none" w:sz="0" w:space="0" w:color="auto"/>
        <w:left w:val="none" w:sz="0" w:space="0" w:color="auto"/>
        <w:bottom w:val="none" w:sz="0" w:space="0" w:color="auto"/>
        <w:right w:val="none" w:sz="0" w:space="0" w:color="auto"/>
      </w:divBdr>
      <w:divsChild>
        <w:div w:id="128253981">
          <w:marLeft w:val="480"/>
          <w:marRight w:val="0"/>
          <w:marTop w:val="0"/>
          <w:marBottom w:val="0"/>
          <w:divBdr>
            <w:top w:val="none" w:sz="0" w:space="0" w:color="auto"/>
            <w:left w:val="none" w:sz="0" w:space="0" w:color="auto"/>
            <w:bottom w:val="none" w:sz="0" w:space="0" w:color="auto"/>
            <w:right w:val="none" w:sz="0" w:space="0" w:color="auto"/>
          </w:divBdr>
          <w:divsChild>
            <w:div w:id="92114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96009">
      <w:bodyDiv w:val="1"/>
      <w:marLeft w:val="0"/>
      <w:marRight w:val="0"/>
      <w:marTop w:val="0"/>
      <w:marBottom w:val="0"/>
      <w:divBdr>
        <w:top w:val="none" w:sz="0" w:space="0" w:color="auto"/>
        <w:left w:val="none" w:sz="0" w:space="0" w:color="auto"/>
        <w:bottom w:val="none" w:sz="0" w:space="0" w:color="auto"/>
        <w:right w:val="none" w:sz="0" w:space="0" w:color="auto"/>
      </w:divBdr>
      <w:divsChild>
        <w:div w:id="603348450">
          <w:marLeft w:val="480"/>
          <w:marRight w:val="0"/>
          <w:marTop w:val="0"/>
          <w:marBottom w:val="0"/>
          <w:divBdr>
            <w:top w:val="none" w:sz="0" w:space="0" w:color="auto"/>
            <w:left w:val="none" w:sz="0" w:space="0" w:color="auto"/>
            <w:bottom w:val="none" w:sz="0" w:space="0" w:color="auto"/>
            <w:right w:val="none" w:sz="0" w:space="0" w:color="auto"/>
          </w:divBdr>
          <w:divsChild>
            <w:div w:id="29217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272174">
      <w:bodyDiv w:val="1"/>
      <w:marLeft w:val="0"/>
      <w:marRight w:val="0"/>
      <w:marTop w:val="0"/>
      <w:marBottom w:val="0"/>
      <w:divBdr>
        <w:top w:val="none" w:sz="0" w:space="0" w:color="auto"/>
        <w:left w:val="none" w:sz="0" w:space="0" w:color="auto"/>
        <w:bottom w:val="none" w:sz="0" w:space="0" w:color="auto"/>
        <w:right w:val="none" w:sz="0" w:space="0" w:color="auto"/>
      </w:divBdr>
    </w:div>
    <w:div w:id="1606696698">
      <w:bodyDiv w:val="1"/>
      <w:marLeft w:val="0"/>
      <w:marRight w:val="0"/>
      <w:marTop w:val="0"/>
      <w:marBottom w:val="0"/>
      <w:divBdr>
        <w:top w:val="none" w:sz="0" w:space="0" w:color="auto"/>
        <w:left w:val="none" w:sz="0" w:space="0" w:color="auto"/>
        <w:bottom w:val="none" w:sz="0" w:space="0" w:color="auto"/>
        <w:right w:val="none" w:sz="0" w:space="0" w:color="auto"/>
      </w:divBdr>
    </w:div>
    <w:div w:id="1621692634">
      <w:bodyDiv w:val="1"/>
      <w:marLeft w:val="0"/>
      <w:marRight w:val="0"/>
      <w:marTop w:val="0"/>
      <w:marBottom w:val="0"/>
      <w:divBdr>
        <w:top w:val="none" w:sz="0" w:space="0" w:color="auto"/>
        <w:left w:val="none" w:sz="0" w:space="0" w:color="auto"/>
        <w:bottom w:val="none" w:sz="0" w:space="0" w:color="auto"/>
        <w:right w:val="none" w:sz="0" w:space="0" w:color="auto"/>
      </w:divBdr>
    </w:div>
    <w:div w:id="1634603264">
      <w:bodyDiv w:val="1"/>
      <w:marLeft w:val="0"/>
      <w:marRight w:val="0"/>
      <w:marTop w:val="0"/>
      <w:marBottom w:val="0"/>
      <w:divBdr>
        <w:top w:val="none" w:sz="0" w:space="0" w:color="auto"/>
        <w:left w:val="none" w:sz="0" w:space="0" w:color="auto"/>
        <w:bottom w:val="none" w:sz="0" w:space="0" w:color="auto"/>
        <w:right w:val="none" w:sz="0" w:space="0" w:color="auto"/>
      </w:divBdr>
    </w:div>
    <w:div w:id="1655404465">
      <w:bodyDiv w:val="1"/>
      <w:marLeft w:val="0"/>
      <w:marRight w:val="0"/>
      <w:marTop w:val="0"/>
      <w:marBottom w:val="0"/>
      <w:divBdr>
        <w:top w:val="none" w:sz="0" w:space="0" w:color="auto"/>
        <w:left w:val="none" w:sz="0" w:space="0" w:color="auto"/>
        <w:bottom w:val="none" w:sz="0" w:space="0" w:color="auto"/>
        <w:right w:val="none" w:sz="0" w:space="0" w:color="auto"/>
      </w:divBdr>
    </w:div>
    <w:div w:id="1656567996">
      <w:bodyDiv w:val="1"/>
      <w:marLeft w:val="0"/>
      <w:marRight w:val="0"/>
      <w:marTop w:val="0"/>
      <w:marBottom w:val="0"/>
      <w:divBdr>
        <w:top w:val="none" w:sz="0" w:space="0" w:color="auto"/>
        <w:left w:val="none" w:sz="0" w:space="0" w:color="auto"/>
        <w:bottom w:val="none" w:sz="0" w:space="0" w:color="auto"/>
        <w:right w:val="none" w:sz="0" w:space="0" w:color="auto"/>
      </w:divBdr>
    </w:div>
    <w:div w:id="1693602554">
      <w:bodyDiv w:val="1"/>
      <w:marLeft w:val="0"/>
      <w:marRight w:val="0"/>
      <w:marTop w:val="0"/>
      <w:marBottom w:val="0"/>
      <w:divBdr>
        <w:top w:val="none" w:sz="0" w:space="0" w:color="auto"/>
        <w:left w:val="none" w:sz="0" w:space="0" w:color="auto"/>
        <w:bottom w:val="none" w:sz="0" w:space="0" w:color="auto"/>
        <w:right w:val="none" w:sz="0" w:space="0" w:color="auto"/>
      </w:divBdr>
      <w:divsChild>
        <w:div w:id="1184594118">
          <w:marLeft w:val="-20"/>
          <w:marRight w:val="0"/>
          <w:marTop w:val="0"/>
          <w:marBottom w:val="0"/>
          <w:divBdr>
            <w:top w:val="none" w:sz="0" w:space="0" w:color="auto"/>
            <w:left w:val="none" w:sz="0" w:space="0" w:color="auto"/>
            <w:bottom w:val="none" w:sz="0" w:space="0" w:color="auto"/>
            <w:right w:val="none" w:sz="0" w:space="0" w:color="auto"/>
          </w:divBdr>
        </w:div>
      </w:divsChild>
    </w:div>
    <w:div w:id="1706369682">
      <w:bodyDiv w:val="1"/>
      <w:marLeft w:val="0"/>
      <w:marRight w:val="0"/>
      <w:marTop w:val="0"/>
      <w:marBottom w:val="0"/>
      <w:divBdr>
        <w:top w:val="none" w:sz="0" w:space="0" w:color="auto"/>
        <w:left w:val="none" w:sz="0" w:space="0" w:color="auto"/>
        <w:bottom w:val="none" w:sz="0" w:space="0" w:color="auto"/>
        <w:right w:val="none" w:sz="0" w:space="0" w:color="auto"/>
      </w:divBdr>
    </w:div>
    <w:div w:id="1712076084">
      <w:bodyDiv w:val="1"/>
      <w:marLeft w:val="0"/>
      <w:marRight w:val="0"/>
      <w:marTop w:val="0"/>
      <w:marBottom w:val="0"/>
      <w:divBdr>
        <w:top w:val="none" w:sz="0" w:space="0" w:color="auto"/>
        <w:left w:val="none" w:sz="0" w:space="0" w:color="auto"/>
        <w:bottom w:val="none" w:sz="0" w:space="0" w:color="auto"/>
        <w:right w:val="none" w:sz="0" w:space="0" w:color="auto"/>
      </w:divBdr>
    </w:div>
    <w:div w:id="1714883744">
      <w:bodyDiv w:val="1"/>
      <w:marLeft w:val="0"/>
      <w:marRight w:val="0"/>
      <w:marTop w:val="0"/>
      <w:marBottom w:val="0"/>
      <w:divBdr>
        <w:top w:val="none" w:sz="0" w:space="0" w:color="auto"/>
        <w:left w:val="none" w:sz="0" w:space="0" w:color="auto"/>
        <w:bottom w:val="none" w:sz="0" w:space="0" w:color="auto"/>
        <w:right w:val="none" w:sz="0" w:space="0" w:color="auto"/>
      </w:divBdr>
    </w:div>
    <w:div w:id="1721052387">
      <w:bodyDiv w:val="1"/>
      <w:marLeft w:val="0"/>
      <w:marRight w:val="0"/>
      <w:marTop w:val="0"/>
      <w:marBottom w:val="0"/>
      <w:divBdr>
        <w:top w:val="none" w:sz="0" w:space="0" w:color="auto"/>
        <w:left w:val="none" w:sz="0" w:space="0" w:color="auto"/>
        <w:bottom w:val="none" w:sz="0" w:space="0" w:color="auto"/>
        <w:right w:val="none" w:sz="0" w:space="0" w:color="auto"/>
      </w:divBdr>
    </w:div>
    <w:div w:id="1740402044">
      <w:bodyDiv w:val="1"/>
      <w:marLeft w:val="0"/>
      <w:marRight w:val="0"/>
      <w:marTop w:val="0"/>
      <w:marBottom w:val="0"/>
      <w:divBdr>
        <w:top w:val="none" w:sz="0" w:space="0" w:color="auto"/>
        <w:left w:val="none" w:sz="0" w:space="0" w:color="auto"/>
        <w:bottom w:val="none" w:sz="0" w:space="0" w:color="auto"/>
        <w:right w:val="none" w:sz="0" w:space="0" w:color="auto"/>
      </w:divBdr>
    </w:div>
    <w:div w:id="1760788204">
      <w:bodyDiv w:val="1"/>
      <w:marLeft w:val="0"/>
      <w:marRight w:val="0"/>
      <w:marTop w:val="0"/>
      <w:marBottom w:val="0"/>
      <w:divBdr>
        <w:top w:val="none" w:sz="0" w:space="0" w:color="auto"/>
        <w:left w:val="none" w:sz="0" w:space="0" w:color="auto"/>
        <w:bottom w:val="none" w:sz="0" w:space="0" w:color="auto"/>
        <w:right w:val="none" w:sz="0" w:space="0" w:color="auto"/>
      </w:divBdr>
    </w:div>
    <w:div w:id="1784615747">
      <w:bodyDiv w:val="1"/>
      <w:marLeft w:val="0"/>
      <w:marRight w:val="0"/>
      <w:marTop w:val="0"/>
      <w:marBottom w:val="0"/>
      <w:divBdr>
        <w:top w:val="none" w:sz="0" w:space="0" w:color="auto"/>
        <w:left w:val="none" w:sz="0" w:space="0" w:color="auto"/>
        <w:bottom w:val="none" w:sz="0" w:space="0" w:color="auto"/>
        <w:right w:val="none" w:sz="0" w:space="0" w:color="auto"/>
      </w:divBdr>
    </w:div>
    <w:div w:id="1794323378">
      <w:bodyDiv w:val="1"/>
      <w:marLeft w:val="0"/>
      <w:marRight w:val="0"/>
      <w:marTop w:val="0"/>
      <w:marBottom w:val="0"/>
      <w:divBdr>
        <w:top w:val="none" w:sz="0" w:space="0" w:color="auto"/>
        <w:left w:val="none" w:sz="0" w:space="0" w:color="auto"/>
        <w:bottom w:val="none" w:sz="0" w:space="0" w:color="auto"/>
        <w:right w:val="none" w:sz="0" w:space="0" w:color="auto"/>
      </w:divBdr>
    </w:div>
    <w:div w:id="1796369480">
      <w:bodyDiv w:val="1"/>
      <w:marLeft w:val="0"/>
      <w:marRight w:val="0"/>
      <w:marTop w:val="0"/>
      <w:marBottom w:val="0"/>
      <w:divBdr>
        <w:top w:val="none" w:sz="0" w:space="0" w:color="auto"/>
        <w:left w:val="none" w:sz="0" w:space="0" w:color="auto"/>
        <w:bottom w:val="none" w:sz="0" w:space="0" w:color="auto"/>
        <w:right w:val="none" w:sz="0" w:space="0" w:color="auto"/>
      </w:divBdr>
      <w:divsChild>
        <w:div w:id="727264499">
          <w:marLeft w:val="480"/>
          <w:marRight w:val="0"/>
          <w:marTop w:val="0"/>
          <w:marBottom w:val="0"/>
          <w:divBdr>
            <w:top w:val="none" w:sz="0" w:space="0" w:color="auto"/>
            <w:left w:val="none" w:sz="0" w:space="0" w:color="auto"/>
            <w:bottom w:val="none" w:sz="0" w:space="0" w:color="auto"/>
            <w:right w:val="none" w:sz="0" w:space="0" w:color="auto"/>
          </w:divBdr>
          <w:divsChild>
            <w:div w:id="4387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01580">
      <w:bodyDiv w:val="1"/>
      <w:marLeft w:val="0"/>
      <w:marRight w:val="0"/>
      <w:marTop w:val="0"/>
      <w:marBottom w:val="0"/>
      <w:divBdr>
        <w:top w:val="none" w:sz="0" w:space="0" w:color="auto"/>
        <w:left w:val="none" w:sz="0" w:space="0" w:color="auto"/>
        <w:bottom w:val="none" w:sz="0" w:space="0" w:color="auto"/>
        <w:right w:val="none" w:sz="0" w:space="0" w:color="auto"/>
      </w:divBdr>
    </w:div>
    <w:div w:id="1820341092">
      <w:bodyDiv w:val="1"/>
      <w:marLeft w:val="0"/>
      <w:marRight w:val="0"/>
      <w:marTop w:val="0"/>
      <w:marBottom w:val="0"/>
      <w:divBdr>
        <w:top w:val="none" w:sz="0" w:space="0" w:color="auto"/>
        <w:left w:val="none" w:sz="0" w:space="0" w:color="auto"/>
        <w:bottom w:val="none" w:sz="0" w:space="0" w:color="auto"/>
        <w:right w:val="none" w:sz="0" w:space="0" w:color="auto"/>
      </w:divBdr>
    </w:div>
    <w:div w:id="1820657246">
      <w:bodyDiv w:val="1"/>
      <w:marLeft w:val="0"/>
      <w:marRight w:val="0"/>
      <w:marTop w:val="0"/>
      <w:marBottom w:val="0"/>
      <w:divBdr>
        <w:top w:val="none" w:sz="0" w:space="0" w:color="auto"/>
        <w:left w:val="none" w:sz="0" w:space="0" w:color="auto"/>
        <w:bottom w:val="none" w:sz="0" w:space="0" w:color="auto"/>
        <w:right w:val="none" w:sz="0" w:space="0" w:color="auto"/>
      </w:divBdr>
    </w:div>
    <w:div w:id="1836450937">
      <w:bodyDiv w:val="1"/>
      <w:marLeft w:val="0"/>
      <w:marRight w:val="0"/>
      <w:marTop w:val="0"/>
      <w:marBottom w:val="0"/>
      <w:divBdr>
        <w:top w:val="none" w:sz="0" w:space="0" w:color="auto"/>
        <w:left w:val="none" w:sz="0" w:space="0" w:color="auto"/>
        <w:bottom w:val="none" w:sz="0" w:space="0" w:color="auto"/>
        <w:right w:val="none" w:sz="0" w:space="0" w:color="auto"/>
      </w:divBdr>
    </w:div>
    <w:div w:id="1841893421">
      <w:bodyDiv w:val="1"/>
      <w:marLeft w:val="0"/>
      <w:marRight w:val="0"/>
      <w:marTop w:val="0"/>
      <w:marBottom w:val="0"/>
      <w:divBdr>
        <w:top w:val="none" w:sz="0" w:space="0" w:color="auto"/>
        <w:left w:val="none" w:sz="0" w:space="0" w:color="auto"/>
        <w:bottom w:val="none" w:sz="0" w:space="0" w:color="auto"/>
        <w:right w:val="none" w:sz="0" w:space="0" w:color="auto"/>
      </w:divBdr>
    </w:div>
    <w:div w:id="1912227252">
      <w:bodyDiv w:val="1"/>
      <w:marLeft w:val="0"/>
      <w:marRight w:val="0"/>
      <w:marTop w:val="0"/>
      <w:marBottom w:val="0"/>
      <w:divBdr>
        <w:top w:val="none" w:sz="0" w:space="0" w:color="auto"/>
        <w:left w:val="none" w:sz="0" w:space="0" w:color="auto"/>
        <w:bottom w:val="none" w:sz="0" w:space="0" w:color="auto"/>
        <w:right w:val="none" w:sz="0" w:space="0" w:color="auto"/>
      </w:divBdr>
    </w:div>
    <w:div w:id="1914268656">
      <w:bodyDiv w:val="1"/>
      <w:marLeft w:val="0"/>
      <w:marRight w:val="0"/>
      <w:marTop w:val="0"/>
      <w:marBottom w:val="0"/>
      <w:divBdr>
        <w:top w:val="none" w:sz="0" w:space="0" w:color="auto"/>
        <w:left w:val="none" w:sz="0" w:space="0" w:color="auto"/>
        <w:bottom w:val="none" w:sz="0" w:space="0" w:color="auto"/>
        <w:right w:val="none" w:sz="0" w:space="0" w:color="auto"/>
      </w:divBdr>
      <w:divsChild>
        <w:div w:id="1476070971">
          <w:marLeft w:val="480"/>
          <w:marRight w:val="0"/>
          <w:marTop w:val="0"/>
          <w:marBottom w:val="0"/>
          <w:divBdr>
            <w:top w:val="none" w:sz="0" w:space="0" w:color="auto"/>
            <w:left w:val="none" w:sz="0" w:space="0" w:color="auto"/>
            <w:bottom w:val="none" w:sz="0" w:space="0" w:color="auto"/>
            <w:right w:val="none" w:sz="0" w:space="0" w:color="auto"/>
          </w:divBdr>
          <w:divsChild>
            <w:div w:id="71388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07623">
      <w:bodyDiv w:val="1"/>
      <w:marLeft w:val="0"/>
      <w:marRight w:val="0"/>
      <w:marTop w:val="0"/>
      <w:marBottom w:val="0"/>
      <w:divBdr>
        <w:top w:val="none" w:sz="0" w:space="0" w:color="auto"/>
        <w:left w:val="none" w:sz="0" w:space="0" w:color="auto"/>
        <w:bottom w:val="none" w:sz="0" w:space="0" w:color="auto"/>
        <w:right w:val="none" w:sz="0" w:space="0" w:color="auto"/>
      </w:divBdr>
    </w:div>
    <w:div w:id="1957102964">
      <w:bodyDiv w:val="1"/>
      <w:marLeft w:val="0"/>
      <w:marRight w:val="0"/>
      <w:marTop w:val="0"/>
      <w:marBottom w:val="0"/>
      <w:divBdr>
        <w:top w:val="none" w:sz="0" w:space="0" w:color="auto"/>
        <w:left w:val="none" w:sz="0" w:space="0" w:color="auto"/>
        <w:bottom w:val="none" w:sz="0" w:space="0" w:color="auto"/>
        <w:right w:val="none" w:sz="0" w:space="0" w:color="auto"/>
      </w:divBdr>
    </w:div>
    <w:div w:id="1963343730">
      <w:bodyDiv w:val="1"/>
      <w:marLeft w:val="0"/>
      <w:marRight w:val="0"/>
      <w:marTop w:val="0"/>
      <w:marBottom w:val="0"/>
      <w:divBdr>
        <w:top w:val="none" w:sz="0" w:space="0" w:color="auto"/>
        <w:left w:val="none" w:sz="0" w:space="0" w:color="auto"/>
        <w:bottom w:val="none" w:sz="0" w:space="0" w:color="auto"/>
        <w:right w:val="none" w:sz="0" w:space="0" w:color="auto"/>
      </w:divBdr>
    </w:div>
    <w:div w:id="1968389594">
      <w:bodyDiv w:val="1"/>
      <w:marLeft w:val="0"/>
      <w:marRight w:val="0"/>
      <w:marTop w:val="0"/>
      <w:marBottom w:val="0"/>
      <w:divBdr>
        <w:top w:val="none" w:sz="0" w:space="0" w:color="auto"/>
        <w:left w:val="none" w:sz="0" w:space="0" w:color="auto"/>
        <w:bottom w:val="none" w:sz="0" w:space="0" w:color="auto"/>
        <w:right w:val="none" w:sz="0" w:space="0" w:color="auto"/>
      </w:divBdr>
    </w:div>
    <w:div w:id="2036802956">
      <w:bodyDiv w:val="1"/>
      <w:marLeft w:val="0"/>
      <w:marRight w:val="0"/>
      <w:marTop w:val="0"/>
      <w:marBottom w:val="0"/>
      <w:divBdr>
        <w:top w:val="none" w:sz="0" w:space="0" w:color="auto"/>
        <w:left w:val="none" w:sz="0" w:space="0" w:color="auto"/>
        <w:bottom w:val="none" w:sz="0" w:space="0" w:color="auto"/>
        <w:right w:val="none" w:sz="0" w:space="0" w:color="auto"/>
      </w:divBdr>
    </w:div>
    <w:div w:id="2041934335">
      <w:bodyDiv w:val="1"/>
      <w:marLeft w:val="0"/>
      <w:marRight w:val="0"/>
      <w:marTop w:val="0"/>
      <w:marBottom w:val="0"/>
      <w:divBdr>
        <w:top w:val="none" w:sz="0" w:space="0" w:color="auto"/>
        <w:left w:val="none" w:sz="0" w:space="0" w:color="auto"/>
        <w:bottom w:val="none" w:sz="0" w:space="0" w:color="auto"/>
        <w:right w:val="none" w:sz="0" w:space="0" w:color="auto"/>
      </w:divBdr>
    </w:div>
    <w:div w:id="2087265611">
      <w:bodyDiv w:val="1"/>
      <w:marLeft w:val="0"/>
      <w:marRight w:val="0"/>
      <w:marTop w:val="0"/>
      <w:marBottom w:val="0"/>
      <w:divBdr>
        <w:top w:val="none" w:sz="0" w:space="0" w:color="auto"/>
        <w:left w:val="none" w:sz="0" w:space="0" w:color="auto"/>
        <w:bottom w:val="none" w:sz="0" w:space="0" w:color="auto"/>
        <w:right w:val="none" w:sz="0" w:space="0" w:color="auto"/>
      </w:divBdr>
    </w:div>
    <w:div w:id="2104183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krutable.info/"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nskritlibrary.org:8080/MeterIdentificatio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anskritmetres.appspo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GoogleDrive\Handy%20stuff\Templates\DHARMA%20guide%2020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1C529-8F06-411A-BE2B-F56574124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DHARMA guide 2024.dotx</Template>
  <TotalTime>6</TotalTime>
  <Pages>14</Pages>
  <Words>5227</Words>
  <Characters>29798</Characters>
  <Application>Microsoft Office Word</Application>
  <DocSecurity>0</DocSecurity>
  <Lines>248</Lines>
  <Paragraphs>69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Dániel Balogh</dc:creator>
  <cp:keywords/>
  <dc:description/>
  <cp:lastModifiedBy>Dániel Balogh</cp:lastModifiedBy>
  <cp:revision>8</cp:revision>
  <cp:lastPrinted>2026-04-27T09:41:00Z</cp:lastPrinted>
  <dcterms:created xsi:type="dcterms:W3CDTF">2026-09-16T07:26:00Z</dcterms:created>
  <dcterms:modified xsi:type="dcterms:W3CDTF">2026-10-07T10:01:00Z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id="YumpwgB1"/&gt;&lt;style id="https://github.com/erc-dharma/project-documentation/blob/master/bibliography/DHARMA_modified-Chicago-Author-Date_v03.csl" locale="en-GB" hasBibliography="1" bibliographyStyle</vt:lpwstr>
  </property>
  <property fmtid="{D5CDD505-2E9C-101B-9397-08002B2CF9AE}" pid="3" name="ZOTERO_PREF_2">
    <vt:lpwstr>HasBeenSet="1"/&gt;&lt;prefs&gt;&lt;pref name="fieldType" value="Field"/&gt;&lt;/prefs&gt;&lt;/data&gt;</vt:lpwstr>
  </property>
</Properties>
</file>